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Yu Gothic"/>
          <w:b/>
          <w:color w:val="172033"/>
          <w:sz w:val="36"/>
        </w:rPr>
        <w:t>職 務 経 歴 書</w:t>
      </w:r>
    </w:p>
    <w:p>
      <w:pPr>
        <w:spacing w:before="0" w:after="0" w:line="276" w:lineRule="auto"/>
        <w:jc w:val="right"/>
      </w:pPr>
      <w:r>
        <w:rPr>
          <w:rFonts w:ascii="Arial" w:hAnsi="Arial" w:eastAsia="Yu Gothic"/>
          <w:b w:val="0"/>
          <w:color w:val="526071"/>
          <w:sz w:val="17"/>
        </w:rPr>
        <w:t>2026年7月19日現在</w:t>
      </w:r>
    </w:p>
    <w:p>
      <w:pPr>
        <w:spacing w:before="0" w:after="100" w:line="276" w:lineRule="auto"/>
        <w:jc w:val="right"/>
      </w:pPr>
      <w:r>
        <w:rPr>
          <w:rFonts w:ascii="Arial" w:hAnsi="Arial" w:eastAsia="Yu Gothic"/>
          <w:b/>
          <w:color w:val="172033"/>
          <w:sz w:val="19"/>
        </w:rPr>
        <w:t>氏名　CHOI WON JIP</w:t>
      </w:r>
    </w:p>
    <w:p>
      <w:pPr>
        <w:spacing w:before="200" w:after="80" w:line="240" w:lineRule="auto"/>
        <w:pBdr>
          <w:bottom w:val="single" w:sz="6" w:space="2" w:color="AEBBC5"/>
        </w:pBdr>
      </w:pPr>
      <w:r>
        <w:rPr>
          <w:rFonts w:ascii="Arial" w:hAnsi="Arial" w:eastAsia="Yu Gothic"/>
          <w:b/>
          <w:color w:val="1F6D78"/>
          <w:sz w:val="25"/>
        </w:rPr>
        <w:t>■ 職務要約</w:t>
      </w:r>
    </w:p>
    <w:p>
      <w:pPr>
        <w:spacing w:before="0" w:after="60" w:line="276" w:lineRule="auto"/>
      </w:pPr>
      <w:r>
        <w:rPr>
          <w:rFonts w:ascii="Arial" w:hAnsi="Arial" w:eastAsia="Yu Gothic"/>
          <w:b w:val="0"/>
          <w:color w:val="172033"/>
          <w:sz w:val="19"/>
        </w:rPr>
        <w:t>造船設計・業務改善エンジニアとして、2021年9月から船舶の構造設計、複雑な構造図面の分析、建造工程の調整に従事しています。基本設計・詳細設計から現場工程管理までを経験し、設備故障や悪天候などの制約が発生した際には、残工程、要員、設備の優先順位を再構築して納期を守りました。</w:t>
      </w:r>
    </w:p>
    <w:p>
      <w:pPr>
        <w:spacing w:before="0" w:after="60" w:line="276" w:lineRule="auto"/>
      </w:pPr>
      <w:r>
        <w:rPr>
          <w:rFonts w:ascii="Arial" w:hAnsi="Arial" w:eastAsia="Yu Gothic"/>
          <w:b w:val="0"/>
          <w:color w:val="172033"/>
          <w:sz w:val="19"/>
        </w:rPr>
        <w:t>造船・製造現場で培った業務理解に加え、TypeScript、Next.js、PostgreSQLを用いた業務システム開発と品質検証を個人で継続しています。DrawingFlowでは図面改訂、影響確認、独立承認、発行、製造確認、監査履歴を一連のワークフローとして実装し、DocuMindでは出典付き技術文書検索とアクセス制御を実装しました。</w:t>
      </w:r>
    </w:p>
    <w:p>
      <w:pPr>
        <w:spacing w:before="0" w:after="60" w:line="276" w:lineRule="auto"/>
      </w:pPr>
      <w:r>
        <w:rPr>
          <w:rFonts w:ascii="Arial" w:hAnsi="Arial" w:eastAsia="Yu Gothic"/>
          <w:b w:val="0"/>
          <w:color w:val="172033"/>
          <w:sz w:val="19"/>
        </w:rPr>
        <w:t>造船設計、製造DX、エンジニアリングシステム、CAD／PDM／PLM運用支援、技術オペレーション、業務自動化など、現場知識とデジタル実装を組み合わせられる職務を志望しています。日本でのワーキングホリデー経験があり、日本語での日常会話・基本的な業務コミュニケーションが可能です。就労ビザのサポートが必要ですが、日本での勤務・移住を前提に応募しています。</w:t>
      </w:r>
    </w:p>
    <w:p>
      <w:pPr>
        <w:spacing w:before="200" w:after="80" w:line="240" w:lineRule="auto"/>
        <w:pBdr>
          <w:bottom w:val="single" w:sz="6" w:space="2" w:color="AEBBC5"/>
        </w:pBdr>
      </w:pPr>
      <w:r>
        <w:rPr>
          <w:rFonts w:ascii="Arial" w:hAnsi="Arial" w:eastAsia="Yu Gothic"/>
          <w:b/>
          <w:color w:val="1F6D78"/>
          <w:sz w:val="25"/>
        </w:rPr>
        <w:t>■ 職務経歴</w:t>
      </w:r>
    </w:p>
    <w:p>
      <w:pPr>
        <w:spacing w:before="120" w:after="40" w:line="240" w:lineRule="auto"/>
      </w:pPr>
      <w:r>
        <w:rPr>
          <w:rFonts w:ascii="Arial" w:hAnsi="Arial" w:eastAsia="Yu Gothic"/>
          <w:b/>
          <w:color w:val="172033"/>
          <w:sz w:val="21"/>
        </w:rPr>
        <w:t>株式会社マンムルジョソン｜船舶設計・建造・エンジニアリング</w:t>
      </w:r>
    </w:p>
    <w:p>
      <w:pPr>
        <w:spacing w:before="0" w:after="60" w:line="276" w:lineRule="auto"/>
      </w:pPr>
      <w:r>
        <w:rPr>
          <w:rFonts w:ascii="Arial" w:hAnsi="Arial" w:eastAsia="Yu Gothic"/>
          <w:b w:val="0"/>
          <w:color w:val="526071"/>
          <w:sz w:val="17"/>
        </w:rPr>
        <w:t>在籍期間：2021年9月～現在　／　従業員数：30名　／　プロジェクト体制：10名</w:t>
      </w:r>
    </w:p>
    <w:p>
      <w:pPr>
        <w:spacing w:before="120" w:after="40" w:line="240" w:lineRule="auto"/>
      </w:pPr>
      <w:r>
        <w:rPr>
          <w:rFonts w:ascii="Arial" w:hAnsi="Arial" w:eastAsia="Yu Gothic"/>
          <w:b/>
          <w:color w:val="172033"/>
          <w:sz w:val="21"/>
        </w:rPr>
        <w:t>担当領域</w:t>
      </w:r>
    </w:p>
    <w:p>
      <w:pPr>
        <w:pStyle w:val="ListBullet"/>
        <w:spacing w:after="40" w:line="269" w:lineRule="auto"/>
        <w:ind w:left="340" w:hanging="170"/>
      </w:pPr>
      <w:r>
        <w:rPr>
          <w:rFonts w:ascii="Arial" w:hAnsi="Arial" w:eastAsia="Yu Gothic"/>
          <w:b w:val="0"/>
          <w:color w:val="172033"/>
          <w:sz w:val="18"/>
        </w:rPr>
        <w:t>船舶構造設計における基本設計・詳細設計・建造工程調整</w:t>
      </w:r>
    </w:p>
    <w:p>
      <w:pPr>
        <w:pStyle w:val="ListBullet"/>
        <w:spacing w:after="40" w:line="269" w:lineRule="auto"/>
        <w:ind w:left="340" w:hanging="170"/>
      </w:pPr>
      <w:r>
        <w:rPr>
          <w:rFonts w:ascii="Arial" w:hAnsi="Arial" w:eastAsia="Yu Gothic"/>
          <w:b w:val="0"/>
          <w:color w:val="172033"/>
          <w:sz w:val="18"/>
        </w:rPr>
        <w:t>複雑な船舶構造図面の分析と、施工上の制約・優先事項の整理</w:t>
      </w:r>
    </w:p>
    <w:p>
      <w:pPr>
        <w:pStyle w:val="ListBullet"/>
        <w:spacing w:after="40" w:line="269" w:lineRule="auto"/>
        <w:ind w:left="340" w:hanging="170"/>
      </w:pPr>
      <w:r>
        <w:rPr>
          <w:rFonts w:ascii="Arial" w:hAnsi="Arial" w:eastAsia="Yu Gothic"/>
          <w:b w:val="0"/>
          <w:color w:val="172033"/>
          <w:sz w:val="18"/>
        </w:rPr>
        <w:t>建造工程のボトルネック特定、残工程・要員・設備の再優先順位付け</w:t>
      </w:r>
    </w:p>
    <w:p>
      <w:pPr>
        <w:pStyle w:val="ListBullet"/>
        <w:spacing w:after="40" w:line="269" w:lineRule="auto"/>
        <w:ind w:left="340" w:hanging="170"/>
      </w:pPr>
      <w:r>
        <w:rPr>
          <w:rFonts w:ascii="Arial" w:hAnsi="Arial" w:eastAsia="Yu Gothic"/>
          <w:b w:val="0"/>
          <w:color w:val="172033"/>
          <w:sz w:val="18"/>
        </w:rPr>
        <w:t>現場の不確実な条件に対する工学的根拠に基づく設計変更と関係者調整</w:t>
      </w:r>
    </w:p>
    <w:p>
      <w:pPr>
        <w:pStyle w:val="ListBullet"/>
        <w:spacing w:after="40" w:line="269" w:lineRule="auto"/>
        <w:ind w:left="340" w:hanging="170"/>
      </w:pPr>
      <w:r>
        <w:rPr>
          <w:rFonts w:ascii="Arial" w:hAnsi="Arial" w:eastAsia="Yu Gothic"/>
          <w:b w:val="0"/>
          <w:color w:val="172033"/>
          <w:sz w:val="18"/>
        </w:rPr>
        <w:t>設計上の課題、対応方針、変更内容の文書化と共有</w:t>
      </w:r>
    </w:p>
    <w:p>
      <w:pPr>
        <w:spacing w:before="120" w:after="40" w:line="240" w:lineRule="auto"/>
      </w:pPr>
      <w:r>
        <w:rPr>
          <w:rFonts w:ascii="Arial" w:hAnsi="Arial" w:eastAsia="Yu Gothic"/>
          <w:b/>
          <w:color w:val="172033"/>
          <w:sz w:val="21"/>
        </w:rPr>
        <w:t>主な実績</w:t>
      </w:r>
    </w:p>
    <w:p>
      <w:pPr>
        <w:spacing w:before="0" w:after="60" w:line="276" w:lineRule="auto"/>
      </w:pPr>
      <w:r>
        <w:rPr>
          <w:rFonts w:ascii="Arial" w:hAnsi="Arial" w:eastAsia="Yu Gothic"/>
          <w:b w:val="0"/>
          <w:color w:val="172033"/>
          <w:sz w:val="19"/>
        </w:rPr>
        <w:t>設備故障と悪天候により工程遅延の危機が発生した際、残りの全工程を見直し、ボトルネックとなる作業へ人員と設備を集中させる実行計画へ再構成しました。現場条件に合わせて優先順位を継続的に調整し、最終納期を一日も遅延させず完了しました。</w:t>
      </w:r>
    </w:p>
    <w:p>
      <w:pPr>
        <w:spacing w:before="200" w:after="80" w:line="240" w:lineRule="auto"/>
        <w:pBdr>
          <w:bottom w:val="single" w:sz="6" w:space="2" w:color="AEBBC5"/>
        </w:pBdr>
      </w:pPr>
      <w:r>
        <w:rPr>
          <w:rFonts w:ascii="Arial" w:hAnsi="Arial" w:eastAsia="Yu Gothic"/>
          <w:b/>
          <w:color w:val="1F6D78"/>
          <w:sz w:val="25"/>
        </w:rPr>
        <w:t>■ 活かせる経験・知識</w:t>
      </w:r>
    </w:p>
    <w:tbl>
      <w:tblPr>
        <w:tblW w:type="auto" w:w="0"/>
        <w:jc w:val="center"/>
        <w:tblLayout w:type="fixed"/>
        <w:tblLook w:firstColumn="1" w:firstRow="1" w:lastColumn="0" w:lastRow="0" w:noHBand="0" w:noVBand="1" w:val="04A0"/>
      </w:tblPr>
      <w:tblGrid>
        <w:gridCol w:w="5046"/>
        <w:gridCol w:w="5046"/>
      </w:tblGrid>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造船・設計</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構造図面分析、基本設計・詳細設計支援、建造工程調整、施工制約の整理</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業務改善</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工程可視化、ボトルネック分析、要員・設備の優先順位付け、変更記録</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製造DX</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図面改訂・影響管理、承認・発行ゲート、技術文書検索、アクセス制御、追記専用監査ログ</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品質・検証</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Vitest、Playwright、入力検証、回帰テスト、DB整合性確認、制約・改善項目の文書化</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協働</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技術情報の整理、現場条件の共有、関係者間の優先順位調整、基本的な日本語業務コミュニケーション</w:t>
            </w:r>
          </w:p>
        </w:tc>
      </w:tr>
    </w:tbl>
    <w:p>
      <w:pPr>
        <w:spacing w:after="0"/>
      </w:pPr>
    </w:p>
    <w:p>
      <w:pPr>
        <w:spacing w:before="200" w:after="80" w:line="240" w:lineRule="auto"/>
        <w:pBdr>
          <w:bottom w:val="single" w:sz="6" w:space="2" w:color="AEBBC5"/>
        </w:pBdr>
      </w:pPr>
      <w:r>
        <w:rPr>
          <w:rFonts w:ascii="Arial" w:hAnsi="Arial" w:eastAsia="Yu Gothic"/>
          <w:b/>
          <w:color w:val="1F6D78"/>
          <w:sz w:val="25"/>
        </w:rPr>
        <w:t>■ 独立開発によるDX・業務システム実績</w:t>
      </w:r>
    </w:p>
    <w:p>
      <w:pPr>
        <w:spacing w:before="120" w:after="40" w:line="240" w:lineRule="auto"/>
      </w:pPr>
      <w:r>
        <w:rPr>
          <w:rFonts w:ascii="Arial" w:hAnsi="Arial" w:eastAsia="Yu Gothic"/>
          <w:b/>
          <w:color w:val="172033"/>
          <w:sz w:val="21"/>
        </w:rPr>
        <w:t>DrawingFlow｜図面改訂・影響管理ワークフロー</w:t>
      </w:r>
    </w:p>
    <w:p>
      <w:pPr>
        <w:spacing w:before="0" w:after="40" w:line="276" w:lineRule="auto"/>
      </w:pPr>
      <w:r>
        <w:rPr>
          <w:rFonts w:ascii="Arial" w:hAnsi="Arial" w:eastAsia="Yu Gothic"/>
          <w:b w:val="0"/>
          <w:color w:val="526071"/>
          <w:sz w:val="17"/>
        </w:rPr>
        <w:t>Next.js / TypeScript / PostgreSQL / Prisma / Auth.js / Zod / Vitest / Playwright</w:t>
      </w:r>
    </w:p>
    <w:p>
      <w:pPr>
        <w:pStyle w:val="ListBullet"/>
        <w:spacing w:after="40" w:line="269" w:lineRule="auto"/>
        <w:ind w:left="340" w:hanging="170"/>
      </w:pPr>
      <w:r>
        <w:rPr>
          <w:rFonts w:ascii="Arial" w:hAnsi="Arial" w:eastAsia="Yu Gothic"/>
          <w:b w:val="0"/>
          <w:color w:val="172033"/>
          <w:sz w:val="18"/>
        </w:rPr>
        <w:t>図面改訂をDraft、Review、Approved、Issued、Closedの状態で管理し、影響項目とリスクを審査前に可視化</w:t>
      </w:r>
    </w:p>
    <w:p>
      <w:pPr>
        <w:pStyle w:val="ListBullet"/>
        <w:spacing w:after="40" w:line="269" w:lineRule="auto"/>
        <w:ind w:left="340" w:hanging="170"/>
      </w:pPr>
      <w:r>
        <w:rPr>
          <w:rFonts w:ascii="Arial" w:hAnsi="Arial" w:eastAsia="Yu Gothic"/>
          <w:b w:val="0"/>
          <w:color w:val="172033"/>
          <w:sz w:val="18"/>
        </w:rPr>
        <w:t>起案者と承認者の分離、発効日、製造部門の受領確認をリリースゲートとして実装</w:t>
      </w:r>
    </w:p>
    <w:p>
      <w:pPr>
        <w:pStyle w:val="ListBullet"/>
        <w:spacing w:after="40" w:line="269" w:lineRule="auto"/>
        <w:ind w:left="340" w:hanging="170"/>
      </w:pPr>
      <w:r>
        <w:rPr>
          <w:rFonts w:ascii="Arial" w:hAnsi="Arial" w:eastAsia="Yu Gothic"/>
          <w:b w:val="0"/>
          <w:color w:val="172033"/>
          <w:sz w:val="18"/>
        </w:rPr>
        <w:t>プロジェクト単位の権限管理と、更新・削除をDB側で拒否する追記専用監査ログを実装</w:t>
      </w:r>
    </w:p>
    <w:p>
      <w:pPr>
        <w:pStyle w:val="ListBullet"/>
        <w:spacing w:after="40" w:line="269" w:lineRule="auto"/>
        <w:ind w:left="340" w:hanging="170"/>
      </w:pPr>
      <w:r>
        <w:rPr>
          <w:rFonts w:ascii="Arial" w:hAnsi="Arial" w:eastAsia="Yu Gothic"/>
          <w:b w:val="0"/>
          <w:color w:val="172033"/>
          <w:sz w:val="18"/>
        </w:rPr>
        <w:t>CSV図面台帳取込、型付きREST PDMアダプター境界、再試行可能なWebhook通知アウトボックスを実装</w:t>
      </w:r>
    </w:p>
    <w:p>
      <w:pPr>
        <w:pStyle w:val="ListBullet"/>
        <w:spacing w:after="40" w:line="269" w:lineRule="auto"/>
        <w:ind w:left="340" w:hanging="170"/>
      </w:pPr>
      <w:r>
        <w:rPr>
          <w:rFonts w:ascii="Arial" w:hAnsi="Arial" w:eastAsia="Yu Gothic"/>
          <w:b w:val="0"/>
          <w:color w:val="172033"/>
          <w:sz w:val="18"/>
        </w:rPr>
        <w:t>12件の単体・結合テスト、4件の複数ロールE2Eシナリオ、DB監査ログ不変性テストで検証</w:t>
      </w:r>
    </w:p>
    <w:p>
      <w:pPr>
        <w:spacing w:before="0" w:after="80" w:line="276" w:lineRule="auto"/>
      </w:pPr>
      <w:r>
        <w:rPr>
          <w:rFonts w:ascii="Arial" w:hAnsi="Arial" w:eastAsia="Yu Gothic"/>
          <w:b w:val="0"/>
          <w:color w:val="526071"/>
          <w:sz w:val="16"/>
        </w:rPr>
        <w:t>※ 合成データのみを使用した個人開発であり、勤務先への導入実績や実在するCAD／PDMとの接続を示すものではありません。</w:t>
      </w:r>
    </w:p>
    <w:p>
      <w:pPr>
        <w:spacing w:before="120" w:after="40" w:line="240" w:lineRule="auto"/>
      </w:pPr>
      <w:r>
        <w:rPr>
          <w:rFonts w:ascii="Arial" w:hAnsi="Arial" w:eastAsia="Yu Gothic"/>
          <w:b/>
          <w:color w:val="172033"/>
          <w:sz w:val="21"/>
        </w:rPr>
        <w:t>DocuMind｜技術文書検索・トレーサビリティのケーススタディ</w:t>
      </w:r>
    </w:p>
    <w:p>
      <w:pPr>
        <w:spacing w:before="0" w:after="40" w:line="276" w:lineRule="auto"/>
      </w:pPr>
      <w:r>
        <w:rPr>
          <w:rFonts w:ascii="Arial" w:hAnsi="Arial" w:eastAsia="Yu Gothic"/>
          <w:b w:val="0"/>
          <w:color w:val="526071"/>
          <w:sz w:val="17"/>
        </w:rPr>
        <w:t>Next.js / TypeScript / PostgreSQL / Prisma / pgvector / Auth.js / OpenAI API / Vitest</w:t>
      </w:r>
    </w:p>
    <w:p>
      <w:pPr>
        <w:pStyle w:val="ListBullet"/>
        <w:spacing w:after="40" w:line="269" w:lineRule="auto"/>
        <w:ind w:left="340" w:hanging="170"/>
      </w:pPr>
      <w:r>
        <w:rPr>
          <w:rFonts w:ascii="Arial" w:hAnsi="Arial" w:eastAsia="Yu Gothic"/>
          <w:b w:val="0"/>
          <w:color w:val="172033"/>
          <w:sz w:val="18"/>
        </w:rPr>
        <w:t>認証付き文書登録、文書分割、セマンティック検索、出典付きAI回答を実装</w:t>
      </w:r>
    </w:p>
    <w:p>
      <w:pPr>
        <w:pStyle w:val="ListBullet"/>
        <w:spacing w:after="40" w:line="269" w:lineRule="auto"/>
        <w:ind w:left="340" w:hanging="170"/>
      </w:pPr>
      <w:r>
        <w:rPr>
          <w:rFonts w:ascii="Arial" w:hAnsi="Arial" w:eastAsia="Yu Gothic"/>
          <w:b w:val="0"/>
          <w:color w:val="172033"/>
          <w:sz w:val="18"/>
        </w:rPr>
        <w:t>ユーザー単位のアクセス制御と監査ログにより、文書利用の追跡性を確保</w:t>
      </w:r>
    </w:p>
    <w:p>
      <w:pPr>
        <w:pStyle w:val="ListBullet"/>
        <w:spacing w:after="40" w:line="269" w:lineRule="auto"/>
        <w:ind w:left="340" w:hanging="170"/>
      </w:pPr>
      <w:r>
        <w:rPr>
          <w:rFonts w:ascii="Arial" w:hAnsi="Arial" w:eastAsia="Yu Gothic"/>
          <w:b w:val="0"/>
          <w:color w:val="172033"/>
          <w:sz w:val="18"/>
        </w:rPr>
        <w:t>入力、検索、引用形式、アクセス境界、API動作を対象に55ファイル・339件の自動テストを整備</w:t>
      </w:r>
    </w:p>
    <w:p>
      <w:pPr>
        <w:pStyle w:val="ListBullet"/>
        <w:spacing w:after="40" w:line="269" w:lineRule="auto"/>
        <w:ind w:left="340" w:hanging="170"/>
      </w:pPr>
      <w:r>
        <w:rPr>
          <w:rFonts w:ascii="Arial" w:hAnsi="Arial" w:eastAsia="Yu Gothic"/>
          <w:b w:val="0"/>
          <w:color w:val="172033"/>
          <w:sz w:val="18"/>
        </w:rPr>
        <w:t>実装済み機能、制約、将来改善をREADMEで区分し、説明可能な状態を維持</w:t>
      </w:r>
    </w:p>
    <w:p>
      <w:pPr>
        <w:pStyle w:val="ListBullet"/>
        <w:spacing w:after="40" w:line="269" w:lineRule="auto"/>
        <w:ind w:left="340" w:hanging="170"/>
      </w:pPr>
      <w:r>
        <w:rPr>
          <w:rFonts w:ascii="Arial" w:hAnsi="Arial" w:eastAsia="Yu Gothic"/>
          <w:b w:val="0"/>
          <w:color w:val="172033"/>
          <w:sz w:val="18"/>
        </w:rPr>
        <w:t>製造業への応用想定：技術仕様書・作業標準・プロジェクト文書の検索、根拠表示、履歴管理</w:t>
      </w:r>
    </w:p>
    <w:p>
      <w:pPr>
        <w:spacing w:before="0" w:after="80" w:line="276" w:lineRule="auto"/>
      </w:pPr>
      <w:r>
        <w:rPr>
          <w:rFonts w:ascii="Arial" w:hAnsi="Arial" w:eastAsia="Yu Gothic"/>
          <w:b w:val="0"/>
          <w:color w:val="526071"/>
          <w:sz w:val="16"/>
        </w:rPr>
        <w:t>※ 個人開発のケーススタディであり、勤務先への導入実績ではありません。</w:t>
      </w:r>
    </w:p>
    <w:p>
      <w:pPr>
        <w:spacing w:before="120" w:after="40" w:line="240" w:lineRule="auto"/>
      </w:pPr>
      <w:r>
        <w:rPr>
          <w:rFonts w:ascii="Arial" w:hAnsi="Arial" w:eastAsia="Yu Gothic"/>
          <w:b/>
          <w:color w:val="172033"/>
          <w:sz w:val="21"/>
        </w:rPr>
        <w:t>SVG Converter｜ブラウザ内技術ファイル処理</w:t>
      </w:r>
    </w:p>
    <w:p>
      <w:pPr>
        <w:pStyle w:val="ListBullet"/>
        <w:spacing w:after="40" w:line="269" w:lineRule="auto"/>
        <w:ind w:left="340" w:hanging="170"/>
      </w:pPr>
      <w:r>
        <w:rPr>
          <w:rFonts w:ascii="Arial" w:hAnsi="Arial" w:eastAsia="Yu Gothic"/>
          <w:b w:val="0"/>
          <w:color w:val="172033"/>
          <w:sz w:val="18"/>
        </w:rPr>
        <w:t>TypeScript、Canvas API、SVGを用いたブラウザ内ファイル処理ツールを開発</w:t>
      </w:r>
    </w:p>
    <w:p>
      <w:pPr>
        <w:pStyle w:val="ListBullet"/>
        <w:spacing w:after="40" w:line="269" w:lineRule="auto"/>
        <w:ind w:left="340" w:hanging="170"/>
      </w:pPr>
      <w:r>
        <w:rPr>
          <w:rFonts w:ascii="Arial" w:hAnsi="Arial" w:eastAsia="Yu Gothic"/>
          <w:b w:val="0"/>
          <w:color w:val="172033"/>
          <w:sz w:val="18"/>
        </w:rPr>
        <w:t>入力検証、処理結果の確認、再現可能な出力を重視し、画像処理性能と出力サイズを改善</w:t>
      </w:r>
    </w:p>
    <w:p>
      <w:pPr>
        <w:spacing w:before="200" w:after="80" w:line="240" w:lineRule="auto"/>
        <w:pBdr>
          <w:bottom w:val="single" w:sz="6" w:space="2" w:color="AEBBC5"/>
        </w:pBdr>
      </w:pPr>
      <w:r>
        <w:rPr>
          <w:rFonts w:ascii="Arial" w:hAnsi="Arial" w:eastAsia="Yu Gothic"/>
          <w:b/>
          <w:color w:val="1F6D78"/>
          <w:sz w:val="25"/>
        </w:rPr>
        <w:t>■ テクニカルスキル</w:t>
      </w:r>
    </w:p>
    <w:tbl>
      <w:tblPr>
        <w:tblW w:type="auto" w:w="0"/>
        <w:jc w:val="center"/>
        <w:tblLayout w:type="fixed"/>
        <w:tblLook w:firstColumn="1" w:firstRow="1" w:lastColumn="0" w:lastRow="0" w:noHBand="0" w:noVBand="1" w:val="04A0"/>
      </w:tblPr>
      <w:tblGrid>
        <w:gridCol w:w="5046"/>
        <w:gridCol w:w="5046"/>
      </w:tblGrid>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Web / API</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TypeScript、JavaScript、React、Next.js、REST形式API、Auth.js</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Data</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PostgreSQL、Prisma、pgvector、Firebase / Firestore、MySQL</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AI / Search</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OpenAI API、RAG、Embeddings、Semantic Search、出典付き回答</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Quality</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Vitest、Playwright、入力検証、回帰テスト、アクセス制御、監査ログ</w:t>
            </w:r>
          </w:p>
        </w:tc>
      </w:tr>
      <w:tr>
        <w:tc>
          <w:tcPr>
            <w:tcW w:type="dxa" w:w="2268"/>
            <w:vAlign w:val="center"/>
            <w:shd w:fill="EAF3F3"/>
            <w:tcMar>
              <w:top w:w="80" w:type="dxa"/>
              <w:start w:w="120" w:type="dxa"/>
              <w:bottom w:w="80" w:type="dxa"/>
              <w:end w:w="120" w:type="dxa"/>
            </w:tcMar>
          </w:tcPr>
          <w:p>
            <w:pPr>
              <w:spacing w:before="0" w:after="0" w:line="264" w:lineRule="auto"/>
            </w:pPr>
            <w:r>
              <w:rPr>
                <w:rFonts w:ascii="Arial" w:hAnsi="Arial" w:eastAsia="Yu Gothic"/>
                <w:b/>
                <w:color w:val="1F6D78"/>
                <w:sz w:val="18"/>
              </w:rPr>
              <w:t>Tools</w:t>
            </w:r>
          </w:p>
        </w:tc>
        <w:tc>
          <w:tcPr>
            <w:tcW w:type="dxa" w:w="7370"/>
            <w:vAlign w:val="center"/>
            <w:tcMar>
              <w:top w:w="80" w:type="dxa"/>
              <w:start w:w="120" w:type="dxa"/>
              <w:bottom w:w="80" w:type="dxa"/>
              <w:end w:w="120" w:type="dxa"/>
            </w:tcMar>
          </w:tcPr>
          <w:p>
            <w:pPr>
              <w:spacing w:before="0" w:after="0" w:line="264" w:lineRule="auto"/>
            </w:pPr>
            <w:r>
              <w:rPr>
                <w:rFonts w:ascii="Arial" w:hAnsi="Arial" w:eastAsia="Yu Gothic"/>
                <w:b w:val="0"/>
                <w:color w:val="172033"/>
                <w:sz w:val="18"/>
              </w:rPr>
              <w:t>Git、GitHub Actions、Vercel、Docker、技術文書・README・運用チェックリスト作成</w:t>
            </w:r>
          </w:p>
        </w:tc>
      </w:tr>
    </w:tbl>
    <w:p>
      <w:pPr>
        <w:spacing w:after="0"/>
      </w:pPr>
    </w:p>
    <w:p>
      <w:pPr>
        <w:spacing w:before="200" w:after="80" w:line="240" w:lineRule="auto"/>
        <w:pBdr>
          <w:bottom w:val="single" w:sz="6" w:space="2" w:color="AEBBC5"/>
        </w:pBdr>
      </w:pPr>
      <w:r>
        <w:rPr>
          <w:rFonts w:ascii="Arial" w:hAnsi="Arial" w:eastAsia="Yu Gothic"/>
          <w:b/>
          <w:color w:val="1F6D78"/>
          <w:sz w:val="25"/>
        </w:rPr>
        <w:t>■ 保有資格・語学</w:t>
      </w:r>
    </w:p>
    <w:p>
      <w:pPr>
        <w:pStyle w:val="ListBullet"/>
        <w:spacing w:after="40" w:line="269" w:lineRule="auto"/>
        <w:ind w:left="340" w:hanging="170"/>
      </w:pPr>
      <w:r>
        <w:rPr>
          <w:rFonts w:ascii="Arial" w:hAnsi="Arial" w:eastAsia="Yu Gothic"/>
          <w:b w:val="0"/>
          <w:color w:val="172033"/>
          <w:sz w:val="18"/>
        </w:rPr>
        <w:t>韓国情報処理技師（情報処理技術者試験）｜2020年7月取得</w:t>
      </w:r>
    </w:p>
    <w:p>
      <w:pPr>
        <w:pStyle w:val="ListBullet"/>
        <w:spacing w:after="40" w:line="269" w:lineRule="auto"/>
        <w:ind w:left="340" w:hanging="170"/>
      </w:pPr>
      <w:r>
        <w:rPr>
          <w:rFonts w:ascii="Arial" w:hAnsi="Arial" w:eastAsia="Yu Gothic"/>
          <w:b w:val="0"/>
          <w:color w:val="172033"/>
          <w:sz w:val="18"/>
        </w:rPr>
        <w:t>TOEIC Speaking 140点｜2022年4月取得</w:t>
      </w:r>
    </w:p>
    <w:p>
      <w:pPr>
        <w:pStyle w:val="ListBullet"/>
        <w:spacing w:after="40" w:line="269" w:lineRule="auto"/>
        <w:ind w:left="340" w:hanging="170"/>
      </w:pPr>
      <w:r>
        <w:rPr>
          <w:rFonts w:ascii="Arial" w:hAnsi="Arial" w:eastAsia="Yu Gothic"/>
          <w:b w:val="0"/>
          <w:color w:val="172033"/>
          <w:sz w:val="18"/>
        </w:rPr>
        <w:t>普通自動車第一種運転免許｜2015年2月取得</w:t>
      </w:r>
    </w:p>
    <w:p>
      <w:pPr>
        <w:pStyle w:val="ListBullet"/>
        <w:spacing w:after="40" w:line="269" w:lineRule="auto"/>
        <w:ind w:left="340" w:hanging="170"/>
      </w:pPr>
      <w:r>
        <w:rPr>
          <w:rFonts w:ascii="Arial" w:hAnsi="Arial" w:eastAsia="Yu Gothic"/>
          <w:b w:val="0"/>
          <w:color w:val="172033"/>
          <w:sz w:val="18"/>
        </w:rPr>
        <w:t>韓国語：ネイティブ／日本語：日常会話レベル（日本でのワーキングホリデー経験あり）／英語：技術文書の読解・作成</w:t>
      </w:r>
    </w:p>
    <w:p>
      <w:pPr>
        <w:spacing w:before="200" w:after="80" w:line="240" w:lineRule="auto"/>
        <w:pBdr>
          <w:bottom w:val="single" w:sz="6" w:space="2" w:color="AEBBC5"/>
        </w:pBdr>
      </w:pPr>
      <w:r>
        <w:rPr>
          <w:rFonts w:ascii="Arial" w:hAnsi="Arial" w:eastAsia="Yu Gothic"/>
          <w:b/>
          <w:color w:val="1F6D78"/>
          <w:sz w:val="25"/>
        </w:rPr>
        <w:t>■ 自己PR</w:t>
      </w:r>
    </w:p>
    <w:p>
      <w:pPr>
        <w:spacing w:before="0" w:after="60" w:line="276" w:lineRule="auto"/>
      </w:pPr>
      <w:r>
        <w:rPr>
          <w:rFonts w:ascii="Arial" w:hAnsi="Arial" w:eastAsia="Yu Gothic"/>
          <w:b w:val="0"/>
          <w:color w:val="172033"/>
          <w:sz w:val="19"/>
        </w:rPr>
        <w:t>私の強みは、現場の制約を理解した上で問題を構造化し、実行可能な手順へ落とし込む力です。造船設計業務では、図面だけでなく設備、天候、要員、納期を含む全体工程を見て優先順位を判断してきました。</w:t>
      </w:r>
    </w:p>
    <w:p>
      <w:pPr>
        <w:spacing w:before="0" w:after="60" w:line="276" w:lineRule="auto"/>
      </w:pPr>
      <w:r>
        <w:rPr>
          <w:rFonts w:ascii="Arial" w:hAnsi="Arial" w:eastAsia="Yu Gothic"/>
          <w:b w:val="0"/>
          <w:color w:val="172033"/>
          <w:sz w:val="19"/>
        </w:rPr>
        <w:t>また、業務改善の可能性を自ら実装して確かめるため、情報処理技師の知識を基礎にWeb・データベース・AI・自動テストを学び、複数のシステムを企画から公開まで完遂しました。AIを利用する場合も、出典、権限、監査、テストを設け、人が結果を確認できる設計を重視しています。</w:t>
      </w:r>
    </w:p>
    <w:p>
      <w:pPr>
        <w:spacing w:before="0" w:after="60" w:line="276" w:lineRule="auto"/>
      </w:pPr>
      <w:r>
        <w:rPr>
          <w:rFonts w:ascii="Arial" w:hAnsi="Arial" w:eastAsia="Yu Gothic"/>
          <w:b w:val="0"/>
          <w:color w:val="172033"/>
          <w:sz w:val="19"/>
        </w:rPr>
        <w:t>造船・製造の現場知識とデジタル実装力を分離せず、技術文書、設計変更、工程判断、品質確認をより正確かつ追跡可能にする役割で貢献したいと考えています。</w:t>
      </w:r>
    </w:p>
    <w:p>
      <w:pPr>
        <w:spacing w:before="0" w:after="40" w:line="276" w:lineRule="auto"/>
      </w:pPr>
      <w:r>
        <w:rPr>
          <w:rFonts w:ascii="Arial" w:hAnsi="Arial" w:eastAsia="Yu Gothic"/>
          <w:b w:val="0"/>
          <w:color w:val="1F6D78"/>
          <w:sz w:val="17"/>
        </w:rPr>
        <w:t>ポートフォリオ：https://jiwonjae-portfolio.vercel.app/</w:t>
      </w:r>
    </w:p>
    <w:p>
      <w:pPr>
        <w:spacing w:before="0" w:after="0" w:line="276" w:lineRule="auto"/>
        <w:jc w:val="right"/>
      </w:pPr>
      <w:r>
        <w:rPr>
          <w:rFonts w:ascii="Arial" w:hAnsi="Arial" w:eastAsia="Yu Gothic"/>
          <w:b w:val="0"/>
          <w:color w:val="172033"/>
          <w:sz w:val="18"/>
        </w:rPr>
        <w:t>以上</w:t>
      </w:r>
    </w:p>
    <w:sectPr w:rsidR="00FC693F" w:rsidRPr="0006063C" w:rsidSect="00034616">
      <w:footerReference w:type="default" r:id="rId9"/>
      <w:pgSz w:w="11906" w:h="16838"/>
      <w:pgMar w:top="907" w:right="907" w:bottom="907"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Yu Gothic"/>
        <w:b w:val="0"/>
        <w:color w:val="52607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