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1bb59d3" w14:textId="b1bb59d3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b w:val="true"/>
          <w:color w:val="000000"/>
          <w:sz w:val="24"/>
        </w:rPr>
        <w:t xml:space="preserve">Table 1. </w:t>
      </w:r>
      <w:r>
        <w:rPr>
          <w:rFonts w:ascii="Times" w:hAnsi="Times" w:cs="Times"/>
          <w:color w:val="000000"/>
          <w:sz w:val="24"/>
        </w:rPr>
        <w:t xml:space="preserve">Baseline characteristics of patients in the study group as a whole (overall) and in patients with complete, partial, or no remission or who received hormone and Tripterygium as therapy.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b w:val="true"/>
                <w:color w:val="000000"/>
                <w:sz w:val="24"/>
              </w:rPr>
              <w:t xml:space="preserve">Characteristic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b w:val="true"/>
                <w:color w:val="000000"/>
                <w:sz w:val="24"/>
              </w:rPr>
              <w:t xml:space="preserve">Overall (n=124)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b w:val="true"/>
                <w:color w:val="000000"/>
                <w:sz w:val="24"/>
              </w:rPr>
              <w:t xml:space="preserve">Complete Remission (n=76)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b w:val="true"/>
                <w:color w:val="000000"/>
                <w:sz w:val="24"/>
              </w:rPr>
              <w:t xml:space="preserve">Partial Remission (n=26)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b w:val="true"/>
                <w:color w:val="000000"/>
                <w:sz w:val="24"/>
              </w:rPr>
              <w:t xml:space="preserve">No Remission (n=22)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Female, n(%)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37(29.8%)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31(40.8%)a,b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3(11.5%)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3(13.6%)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History of smoke,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15(12.1%)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9(11.8%)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3(11.5%)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3(13.6%)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History of drink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5(4.03%)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3(3.95%)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0(0%)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2(9.09%)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Hypertension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25(20.2%)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16(21.1%)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5(19.2%)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4(18.2%)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Diabetes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8(6.45%)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4(5.26%)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1(3.85%)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3(13.6%)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Hepatitis B,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13(10.5%)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8(10.5%)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2(7.69%)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3(13.6%)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History of hormone,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41(33.1%)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20(26.3%)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10(38.5%)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11(50%)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History of CTX,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9(7.26%)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3(3.95%)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3(11.5%)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3(13.6%)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History of CNI,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15(12.1%)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5(6.58%)b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4(15.4%)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6(27.3%)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History of MMC,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7(5.65%)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5(6.58%)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2(7.69%)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0(0%)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History of Leflunomide,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2(1.61%)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1(1.32%)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0(0%)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1(4.55%)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ACEI/ARB,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24(19.4%)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14(18.4%)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4(15.4%)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6(27.3%)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Age (yr)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50(42.8-61)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50(42.8-61)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50(44-60.5)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54(36.2-56.8)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Height (cm)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165±8.15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164±8.91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166±6.6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165±7.12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Body weight (kg)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66±10.8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65.5±11.5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67±8.8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66.8±10.9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NS course (m)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7(4-12)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6.5(4-12)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8.5(5.25-13.5)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7.5(5-12)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Serum creatinine (mg/dl)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76(61.8-88.2)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74(55.8-85.2)b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75(67.2-101)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80.5(73.2-114)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CystatinC (mg/L)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1.13(0.938-1.38)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1.06(0.928-1.25)b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1.26(0.933-1.52)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1.24(0.972-1.64)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UA (umol/L)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421±117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428±120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421±102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393±126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Cholesterol (mg/dl)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7.8(6.52-9.1)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7.64(6.19-8.47)b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7.94(6.98-9.12)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9.32(7.29-11.1)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Serum albumin (g/dl)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23.4±6.46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24.9±6.11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23.1±6.66b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18.6±5.11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Glucosuria （mmol/24h）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4.76(4.43-5.22)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4.9(4.46-5.3)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4.66(4.36-5.1)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4.62(4.47-4.99)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proteinuria (g/24h)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6.1(3.61-9.15)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4.8(3.35-7.66)a,b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7.7(4.64-10.7)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6.96(4.85-10.8)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eGFR (ml/min per 1.73 m²)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106±33.5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113±32.5b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99.9±33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88.6±31.1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color w:val="000000"/>
          <w:sz w:val="24"/>
        </w:rPr>
        <w:t xml:space="preserve">Variables expressed as mean ± SD are compared using one-way ANOVA. Variables expressed as median (IQR) are compared using the Kruskal–Wallis test. Categorical variables are expressed in percentages and compared using the chi-squared test.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color w:val="000000"/>
          <w:sz w:val="24"/>
          <w:vertAlign w:val="superscript"/>
        </w:rPr>
        <w:t xml:space="preserve">a</w:t>
      </w:r>
      <w:r>
        <w:rPr>
          <w:rFonts w:ascii="Times" w:hAnsi="Times" w:cs="Times"/>
          <w:i w:val="true"/>
          <w:color w:val="000000"/>
          <w:sz w:val="24"/>
        </w:rPr>
        <w:t xml:space="preserve">p</w:t>
      </w:r>
      <w:r>
        <w:rPr>
          <w:rFonts w:ascii="Times" w:hAnsi="Times" w:cs="Times"/>
          <w:color w:val="000000"/>
          <w:sz w:val="24"/>
        </w:rPr>
        <w:t xml:space="preserve">&lt;0.05 versus partial remission.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color w:val="000000"/>
          <w:sz w:val="24"/>
          <w:vertAlign w:val="superscript"/>
        </w:rPr>
        <w:t xml:space="preserve">b</w:t>
      </w:r>
      <w:r>
        <w:rPr>
          <w:rFonts w:ascii="Times" w:hAnsi="Times" w:cs="Times"/>
          <w:i w:val="true"/>
          <w:color w:val="000000"/>
          <w:sz w:val="24"/>
        </w:rPr>
        <w:t xml:space="preserve">p</w:t>
      </w:r>
      <w:r>
        <w:rPr>
          <w:rFonts w:ascii="Times" w:hAnsi="Times" w:cs="Times"/>
          <w:color w:val="000000"/>
          <w:sz w:val="24"/>
        </w:rPr>
        <w:t xml:space="preserve">&lt;0.05 versus no remission.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