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Summary descriptives table by groups of `BMI分组’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1559"/>
        <w:tblLook w:firstRow="1" w:lastRow="0" w:firstColumn="0" w:lastColumn="0" w:noHBand="0" w:noVBand="1"/>
      </w:tblPr>
      <w:tblGrid>
        <w:gridCol w:w="1914"/>
        <w:gridCol w:w="2123"/>
        <w:gridCol w:w="2123"/>
        <w:gridCol w:w="2123"/>
        <w:gridCol w:w="2123"/>
        <w:gridCol w:w="1151"/>
      </w:tblGrid>
      <w:tr>
        <w:trPr>
          <w:cantSplit/>
          <w:trHeight w:val="332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     [ALL]      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     Normal     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  Over weight   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     Obese      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p-value</w:t>
            </w:r>
          </w:p>
        </w:tc>
      </w:tr>
      <w:tr>
        <w:trPr>
          <w:cantSplit/>
          <w:trHeight w:val="290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i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i/>
                <w:sz w:val="20"/>
                <w:szCs w:val="20"/>
                <w:color w:val="000000"/>
              </w:rPr>
              <w:t xml:space="preserve">     N=660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i/>
                <w:sz w:val="20"/>
                <w:szCs w:val="20"/>
                <w:color w:val="000000"/>
              </w:rPr>
              <w:t xml:space="preserve">     N=392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i/>
                <w:sz w:val="20"/>
                <w:szCs w:val="20"/>
                <w:color w:val="000000"/>
              </w:rPr>
              <w:t xml:space="preserve">     N=129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i/>
                <w:sz w:val="20"/>
                <w:szCs w:val="20"/>
                <w:color w:val="000000"/>
              </w:rPr>
              <w:t xml:space="preserve">     N=139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i/>
                <w:sz w:val="20"/>
                <w:szCs w:val="20"/>
                <w:color w:val="000000"/>
              </w:rPr>
              <w:t xml:space="preserve">       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分娩孕周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37.0 [34.0;38.0]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37.0 [34.0;38.8]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37.0 [34.0;38.0]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37.0 [35.0;38.0]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0.375 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剖宫产: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0.052 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153 (23.2%)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103 (26.3%)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27 (20.9%)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23 (16.5%)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507 (76.8%)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289 (73.7%)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102 (79.1%)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116 (83.5%)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新生儿结局: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0.535 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活产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617 (93.5%)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363 (92.6%)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122 (94.6%)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132 (95.0%)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围产死亡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43 (6.52%)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29 (7.40%)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7 (5.43%)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7 (5.04%)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婴儿出生体重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2465 [1770;3080]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2440 [1722;3010]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2380 [1700;3100]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2770 [2020;3230]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0.004 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婴儿出生体重分类: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 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正常体重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384 (58.2%)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226 (57.7%)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67 (51.9%)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91 (65.5%)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小于胎龄儿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242 (36.7%)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157 (40.1%)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56 (43.4%)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29 (20.9%)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大于胎龄儿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34 (5.15%)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9 (2.30%)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 (4.65%)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19 (13.7%)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入住MICU: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0.389 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465 (70.5%)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278 (70.9%)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95 (73.6%)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92 (66.2%)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195 (29.5%)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114 (29.1%)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34 (26.4%)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47 (33.8%)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入住NICU: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0.121 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333 (50.5%)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208 (53.1%)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55 (42.6%)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70 (50.4%)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327 (49.5%)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184 (46.9%)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74 (57.4%)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69 (49.6%)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有1项不良母儿结局: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0.401 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227 (34.4%)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141 (36.0%)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38 (29.5%)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48 (34.5%)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433 (65.6%)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251 (64.0%)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91 (70.5%)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91 (65.5%)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2020-08-17T02:49:16Z</dcterms:created>
  <dcterms:modified xsi:type="dcterms:W3CDTF">2020-08-17T02:49:16Z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