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vnd.openxmlformats-officedocument.spreadsheetml.sheet" Extension="xlsx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v="urn:schemas-microsoft-com:vml" xmlns:o="urn:schemas-microsoft-com:office:office" xmlns:r="http://schemas.openxmlformats.org/officeDocument/2006/relationships" xmlns:wp="http://schemas.openxmlformats.org/drawingml/2006/wordprocessingDrawing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Budvest V0.4 技术架构白皮书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b w:val="true"/>
          <w:sz w:val="36"/>
        </w:rPr>
        <w:t>Budvest V0.4 技术架构白皮书</w:t>
      </w:r>
      <w:bookmarkEnd w:id="0"/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i w:val="true"/>
                <w:color w:val="646a73"/>
                <w:sz w:val="22"/>
              </w:rPr>
              <w:t>核心理念：以高性能本地数据为基石，以云端 AI 智能为大脑，打造“更懂市场”的投资陪伴 PWA。</w:t>
            </w:r>
            <w:r>
              <w:rPr>
                <w:rFonts w:eastAsia="等线" w:ascii="Arial" w:cs="Arial" w:hAnsi="Arial"/>
                <w:color w:val="646a73"/>
                <w:sz w:val="22"/>
              </w:rPr>
              <w:br/>
            </w:r>
            <w:r>
              <w:rPr>
                <w:rFonts w:eastAsia="等线" w:ascii="Arial" w:cs="Arial" w:hAnsi="Arial"/>
                <w:b w:val="true"/>
                <w:color w:val="646a73"/>
                <w:sz w:val="22"/>
                <w:shd w:fill="ffe928"/>
              </w:rPr>
              <w:t>PS:现在的架构根据github上的V0.4版本代码库→Antigravity总结生成</w:t>
            </w:r>
          </w:p>
        </w:tc>
      </w:tr>
    </w:tbl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" w:id="1"/>
      <w:r>
        <w:rPr>
          <w:rFonts w:eastAsia="等线" w:ascii="Arial" w:cs="Arial" w:hAnsi="Arial"/>
          <w:color w:val="3370ff"/>
          <w:sz w:val="36"/>
        </w:rPr>
        <w:t xml:space="preserve">1. </w:t>
      </w:r>
      <w:r>
        <w:rPr>
          <w:rFonts w:eastAsia="等线" w:ascii="Arial" w:cs="Arial" w:hAnsi="Arial"/>
          <w:b w:val="true"/>
          <w:sz w:val="36"/>
        </w:rPr>
        <w:t>全局架构图 (System Overview)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我们将系统划分为三个核心域：Web 应用域、智能计算域、数据供给域。</w:t>
      </w:r>
    </w:p>
    <w:p>
      <w:pPr>
        <w:spacing w:before="120" w:after="120" w:line="288" w:lineRule="auto"/>
        <w:ind w:left="0"/>
      </w:pPr>
      <w:r>
        <w:object>
          <v:shapetype coordsize="21600,21600" filled="f" id="_x0000_t75" o:preferrelative="t" path="m@4@5l@4@11@9@11@9@5xe" stroked="f" o:spt="75.0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gradientshapeok="t" o:connecttype="rect" o:extrusionok="f"/>
            <o:lock aspectratio="t" v:ext="edit"/>
          </v:shapetype>
          <v:shape id="_x0000_i1025" style="width:414pt;height:134pt;mso-width-percent:0;mso-height-percent:0;mso-width-percent:0;mso-height-percent:0" type="#_x0000_t75" o:ole="">
            <v:imagedata r:id="rId5" o:title=""/>
          </v:shape>
          <o:OLEObject DrawAspect="Icon" ObjectID="_1718471219" ProgID="Excel.Sheet.12" ShapeID="_x0000_i1025" Type="Embed" r:id="rId4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br/>
        <w:t>1.1基础市场数据架构</w:t>
        <w:br/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目前代码结构采用了**混合（Hybrid）**的设计模式，不同的市场选择了不同的处理方式和供应商：</w:t>
        <w:br/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457450"/>
            <wp:docPr id="0" name="Drawing 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45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" w:id="3"/>
      <w:r>
        <w:rPr>
          <w:rFonts w:eastAsia="等线" w:ascii="Arial" w:cs="Arial" w:hAnsi="Arial"/>
          <w:b w:val="true"/>
          <w:sz w:val="30"/>
        </w:rPr>
        <w:t>1.1.1  🇨🇳 A股市场（Local-First模式）</w:t>
      </w:r>
      <w:bookmarkEnd w:id="3"/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供应商：AkShare (开源接口库) -&gt; 底层调用 东方财富 (EastMoney) 接口。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设计模式：先采集入库，再读取 (Store-then-Query)。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流程：</w:t>
      </w:r>
    </w:p>
    <w:p>
      <w:pPr>
        <w:numPr>
          <w:numId w:val="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 xml:space="preserve">Python 服务 (data-service/collectors/stock_news.py) 调用 </w:t>
      </w:r>
    </w:p>
    <w:tbl>
      <w:tblPr>
        <w:tblW w:w="0" w:type="auto"/>
        <w:tblInd w:w="453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7827"/>
      </w:tblGrid>
      <w:tr>
        <w:tc>
          <w:tcPr>
            <w:tcW w:w="7827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ak.stock_news_em(symbol)</w:t>
            </w:r>
          </w:p>
        </w:tc>
      </w:tr>
    </w:tbl>
    <w:p>
      <w:pPr>
        <w:numPr>
          <w:numId w:val="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 xml:space="preserve"> 接口抓取新闻。</w:t>
      </w:r>
    </w:p>
    <w:p>
      <w:pPr>
        <w:numPr>
          <w:numId w:val="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数据被写入本地 SQLite 数据库 (</w:t>
      </w:r>
    </w:p>
    <w:tbl>
      <w:tblPr>
        <w:tblW w:w="0" w:type="auto"/>
        <w:tblInd w:w="453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7827"/>
      </w:tblGrid>
      <w:tr>
        <w:tc>
          <w:tcPr>
            <w:tcW w:w="7827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data/investbuddy.db</w:t>
            </w:r>
          </w:p>
        </w:tc>
      </w:tr>
    </w:tbl>
    <w:p>
      <w:pPr>
        <w:numPr>
          <w:numId w:val="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)。</w:t>
      </w:r>
    </w:p>
    <w:p>
      <w:pPr>
        <w:numPr>
          <w:numId w:val="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Next.js API (app/api/market/news/route.ts) 优先从 SQLite 数据库中查询数据返回给前端。</w:t>
      </w:r>
    </w:p>
    <w:p>
      <w:pPr>
        <w:numPr>
          <w:numId w:val="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i w:val="true"/>
          <w:sz w:val="22"/>
        </w:rPr>
        <w:t>注：代码中保留了 fallback 机制，如果数据库为空，会尝试直接请求上交所 SSE 接口作为兜底，但主要逻辑是依赖本地库。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" w:id="4"/>
      <w:r>
        <w:rPr>
          <w:rFonts w:eastAsia="等线" w:ascii="Arial" w:cs="Arial" w:hAnsi="Arial"/>
          <w:b w:val="true"/>
          <w:sz w:val="30"/>
        </w:rPr>
        <w:t>1.1.2  🇺🇸 美股与 🇭🇰 港股市场（Pass-through模式）</w:t>
      </w:r>
      <w:bookmarkEnd w:id="4"/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供应商：</w:t>
      </w:r>
    </w:p>
    <w:p>
      <w:pPr>
        <w:numPr>
          <w:numId w:val="1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美股：SEC EDGAR (官方 API)。</w:t>
      </w:r>
    </w:p>
    <w:p>
      <w:pPr>
        <w:numPr>
          <w:numId w:val="1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港股：HKEX (香港交易所 RSS)。</w:t>
      </w:r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设计模式：直接 API 透传 (Direct API Pass-through)。</w:t>
      </w:r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流程：</w:t>
      </w:r>
    </w:p>
    <w:p>
      <w:pPr>
        <w:numPr>
          <w:numId w:val="1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Next.js API 收到请求。</w:t>
      </w:r>
    </w:p>
    <w:p>
      <w:pPr>
        <w:numPr>
          <w:numId w:val="1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服务器端 (lib/market/providers.ts) 直接发起 HTTP 请求 (fetch) 到 SEC 或 HKEX。</w:t>
      </w:r>
    </w:p>
    <w:p>
      <w:pPr>
        <w:numPr>
          <w:numId w:val="1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解析 XML/JSON 响应并标准化格式。</w:t>
      </w:r>
    </w:p>
    <w:p>
      <w:pPr>
        <w:numPr>
          <w:numId w:val="1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直接返回给前端，不进行数据库持久化存储。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" w:id="5"/>
      <w:r>
        <w:rPr>
          <w:rFonts w:eastAsia="等线" w:ascii="Arial" w:cs="Arial" w:hAnsi="Arial"/>
          <w:b w:val="true"/>
          <w:sz w:val="30"/>
        </w:rPr>
        <w:t>总结对照表</w:t>
      </w:r>
      <w:bookmarkEnd w:id="5"/>
    </w:p>
    <w:p>
      <w:pPr>
        <w:spacing w:before="120" w:after="120" w:line="288" w:lineRule="auto"/>
        <w:ind w:left="0"/>
      </w:pPr>
      <w:r>
        <w:object>
          <v:shape id="_x0000_i1026" style="width:414pt;height:85pt;mso-width-percent:0;mso-height-percent:0;mso-width-percent:0;mso-height-percent:0" type="#_x0000_t75" o:ole="">
            <v:imagedata r:id="rId9" o:title=""/>
          </v:shape>
          <o:OLEObject DrawAspect="Icon" ObjectID="_1718471220" ProgID="Excel.Sheet.12" ShapeID="_x0000_i1026" Type="Embed" r:id="rId8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6" w:id="6"/>
      <w:r>
        <w:rPr>
          <w:rFonts w:eastAsia="等线" w:ascii="Arial" w:cs="Arial" w:hAnsi="Arial"/>
          <w:b w:val="true"/>
          <w:sz w:val="32"/>
        </w:rPr>
        <w:t>1.2陪伴助手架构设计</w:t>
        <w:br/>
      </w:r>
      <w:bookmarkEnd w:id="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陪伴助手（AI Companion）采用了**「认知-记忆-反思」的三层类脑架构，旨在提供具有长期记忆和情感感知**能力的投资陪伴体验，而不仅仅是一个简单的问答机器人。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其核心架构设计如下：</w:t>
        <w:br/>
        <w:br/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5353050"/>
            <wp:docPr id="1" name="Drawing 1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5353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" w:id="7"/>
      <w:r>
        <w:rPr>
          <w:rFonts w:eastAsia="等线" w:ascii="Arial" w:cs="Arial" w:hAnsi="Arial"/>
          <w:b w:val="true"/>
          <w:sz w:val="30"/>
        </w:rPr>
        <w:t>1. 🧠 认知层 (Cognition Layer) - 即时反应</w:t>
      </w:r>
      <w:bookmarkEnd w:id="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这是 AI 的大脑前额叶，负责处理当下的对话。</w:t>
      </w:r>
    </w:p>
    <w:p>
      <w:pPr>
        <w:numPr>
          <w:numId w:val="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入口: app/api/chat/route.ts</w:t>
      </w:r>
    </w:p>
    <w:p>
      <w:pPr>
        <w:numPr>
          <w:numId w:val="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角色扮演系统 (Persona System):</w:t>
      </w:r>
    </w:p>
    <w:p>
      <w:pPr>
        <w:numPr>
          <w:numId w:val="2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预置了 7 位“传奇导师”人格（如巴菲特、索罗斯、达利欧、心理教练等）。</w:t>
      </w:r>
    </w:p>
    <w:p>
      <w:pPr>
        <w:numPr>
          <w:numId w:val="2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 xml:space="preserve">每位导师拥有独立的 </w:t>
      </w:r>
    </w:p>
    <w:tbl>
      <w:tblPr>
        <w:tblW w:w="0" w:type="auto"/>
        <w:tblInd w:w="453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7827"/>
      </w:tblGrid>
      <w:tr>
        <w:tc>
          <w:tcPr>
            <w:tcW w:w="7827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System Prompt</w:t>
            </w:r>
          </w:p>
        </w:tc>
      </w:tr>
    </w:tbl>
    <w:p>
      <w:pPr>
        <w:numPr>
          <w:numId w:val="2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，定义了其投资哲学、说话风格和禁忌（例如：绝不直接给出买卖建议）。</w:t>
      </w:r>
    </w:p>
    <w:p>
      <w:pPr>
        <w:numPr>
          <w:numId w:val="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意图识别 (Intent Classification):</w:t>
      </w:r>
    </w:p>
    <w:p>
      <w:pPr>
        <w:numPr>
          <w:numId w:val="2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在回复前，先对用户消息进行意图分类（如：</w:t>
      </w:r>
    </w:p>
    <w:tbl>
      <w:tblPr>
        <w:tblW w:w="0" w:type="auto"/>
        <w:tblInd w:w="453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7827"/>
      </w:tblGrid>
      <w:tr>
        <w:tc>
          <w:tcPr>
            <w:tcW w:w="7827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seek_advice</w:t>
            </w:r>
          </w:p>
        </w:tc>
      </w:tr>
    </w:tbl>
    <w:p>
      <w:pPr>
        <w:numPr>
          <w:numId w:val="2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 xml:space="preserve"> 求助, </w:t>
      </w:r>
    </w:p>
    <w:tbl>
      <w:tblPr>
        <w:tblW w:w="0" w:type="auto"/>
        <w:tblInd w:w="453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7827"/>
      </w:tblGrid>
      <w:tr>
        <w:tc>
          <w:tcPr>
            <w:tcW w:w="7827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vent</w:t>
            </w:r>
          </w:p>
        </w:tc>
      </w:tr>
    </w:tbl>
    <w:p>
      <w:pPr>
        <w:numPr>
          <w:numId w:val="2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 xml:space="preserve"> 宣泄情绪, </w:t>
      </w:r>
    </w:p>
    <w:tbl>
      <w:tblPr>
        <w:tblW w:w="0" w:type="auto"/>
        <w:tblInd w:w="453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7827"/>
      </w:tblGrid>
      <w:tr>
        <w:tc>
          <w:tcPr>
            <w:tcW w:w="7827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review</w:t>
            </w:r>
          </w:p>
        </w:tc>
      </w:tr>
    </w:tbl>
    <w:p>
      <w:pPr>
        <w:numPr>
          <w:numId w:val="2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 xml:space="preserve"> 复盘）。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8" w:id="8"/>
      <w:r>
        <w:rPr>
          <w:rFonts w:eastAsia="等线" w:ascii="Arial" w:cs="Arial" w:hAnsi="Arial"/>
          <w:b w:val="true"/>
          <w:sz w:val="30"/>
        </w:rPr>
        <w:t>2. 📚 记忆层 (Memory Layer) - 长期积累</w:t>
      </w:r>
      <w:bookmarkEnd w:id="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这是 AI 的海马体，负责让对话具有连续性和个性化。</w:t>
      </w:r>
    </w:p>
    <w:p>
      <w:pPr>
        <w:numPr>
          <w:numId w:val="2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模块: lib/memory.ts + Supabase PostgreSQL</w:t>
      </w:r>
    </w:p>
    <w:p>
      <w:pPr>
        <w:numPr>
          <w:numId w:val="3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短期工作记忆 (Working Memory):</w:t>
      </w:r>
    </w:p>
    <w:p>
      <w:pPr>
        <w:numPr>
          <w:numId w:val="3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保存当前 Session 的最近 6 轮对话，确保上下文连贯。</w:t>
      </w:r>
    </w:p>
    <w:p>
      <w:pPr>
        <w:numPr>
          <w:numId w:val="3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长期情景记忆 (Episodic Memory):</w:t>
      </w:r>
    </w:p>
    <w:p>
      <w:pPr>
        <w:numPr>
          <w:numId w:val="3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Emotional Journey: 记录用户在一段时间内的情绪轨迹（如：从这个月的“恐慌”逐渐变为“平静”）。</w:t>
      </w:r>
    </w:p>
    <w:p>
      <w:pPr>
        <w:numPr>
          <w:numId w:val="3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用户画像库 (User Profile):</w:t>
      </w:r>
    </w:p>
    <w:p>
      <w:pPr>
        <w:numPr>
          <w:numId w:val="3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基于历史对话自动提炼用户的投资风格（风险偏好）、常见情绪触发点（如：大跌时容易恐慌）和决策模式。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9" w:id="9"/>
      <w:r>
        <w:rPr>
          <w:rFonts w:eastAsia="等线" w:ascii="Arial" w:cs="Arial" w:hAnsi="Arial"/>
          <w:b w:val="true"/>
          <w:sz w:val="30"/>
        </w:rPr>
        <w:t>3. 📖 知识层 (RAG Layer) - 外部大脑</w:t>
      </w:r>
      <w:bookmarkEnd w:id="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这是 AI 的书架，存放专业知识，弥补大模型的幻觉。</w:t>
      </w:r>
    </w:p>
    <w:p>
      <w:pPr>
        <w:numPr>
          <w:numId w:val="3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模块: lib/rag.ts + Supabase pgvector</w:t>
      </w:r>
    </w:p>
    <w:p>
      <w:pPr>
        <w:numPr>
          <w:numId w:val="3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知识库内容:</w:t>
      </w:r>
    </w:p>
    <w:p>
      <w:pPr>
        <w:numPr>
          <w:numId w:val="3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大师语录: 经过向量化的经典投资名言。</w:t>
      </w:r>
    </w:p>
    <w:p>
      <w:pPr>
        <w:numPr>
          <w:numId w:val="3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投教知识: 针对小白用户的金融概念解释。</w:t>
      </w:r>
    </w:p>
    <w:p>
      <w:pPr>
        <w:numPr>
          <w:numId w:val="4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投资案例: 历史上的经典市场波动案例。</w:t>
      </w:r>
    </w:p>
    <w:p>
      <w:pPr>
        <w:numPr>
          <w:numId w:val="4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检索流程:</w:t>
      </w:r>
    </w:p>
    <w:p>
      <w:pPr>
        <w:numPr>
          <w:numId w:val="4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当用户提问触发特定关键词时，系统会将 Queries 转化为向量 (Embedding)，在 Supabase 中搜索最相关的知识片段，动态注入到 Context 中。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0" w:id="10"/>
      <w:r>
        <w:rPr>
          <w:rFonts w:eastAsia="等线" w:ascii="Arial" w:cs="Arial" w:hAnsi="Arial"/>
          <w:b w:val="true"/>
          <w:sz w:val="30"/>
        </w:rPr>
        <w:t>4. 🛡️ 安全与合规层 (Safety Layer)</w:t>
      </w:r>
      <w:bookmarkEnd w:id="1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这是 AI 的超我，负责风险控制。</w:t>
      </w:r>
    </w:p>
    <w:p>
      <w:pPr>
        <w:numPr>
          <w:numId w:val="4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关键词过滤: 强制过滤所有涉及具体买卖建议的词汇（如“买入”、“加仓”），将其替换为方法论建议。</w:t>
      </w:r>
    </w:p>
    <w:p>
      <w:pPr>
        <w:numPr>
          <w:numId w:val="4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情绪风控: 识别用户极端情绪（如 Panic），触发“高安全等级”模式，优先进行心理疏导而非市场分析。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1" w:id="11"/>
      <w:r>
        <w:rPr>
          <w:rFonts w:eastAsia="等线" w:ascii="Arial" w:cs="Arial" w:hAnsi="Arial"/>
          <w:color w:val="3370ff"/>
          <w:sz w:val="36"/>
        </w:rPr>
        <w:t xml:space="preserve">2. </w:t>
      </w:r>
      <w:r>
        <w:rPr>
          <w:rFonts w:eastAsia="等线" w:ascii="Arial" w:cs="Arial" w:hAnsi="Arial"/>
          <w:b w:val="true"/>
          <w:sz w:val="36"/>
        </w:rPr>
        <w:t>核心模块详解</w:t>
      </w:r>
      <w:bookmarkEnd w:id="11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2" w:id="12"/>
      <w:r>
        <w:rPr>
          <w:rFonts w:eastAsia="等线" w:ascii="Arial" w:cs="Arial" w:hAnsi="Arial"/>
          <w:b w:val="true"/>
          <w:sz w:val="28"/>
        </w:rPr>
        <w:t>🟢 绿色通道：Python 数据服务 (</w:t>
      </w:r>
      <w:bookmarkEnd w:id="12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data-service/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3" w:id="13"/>
      <w:r>
        <w:rPr>
          <w:rFonts w:eastAsia="等线" w:ascii="Arial" w:cs="Arial" w:hAnsi="Arial"/>
          <w:b w:val="true"/>
          <w:sz w:val="28"/>
        </w:rPr>
        <w:t>)</w:t>
      </w:r>
      <w:bookmarkEnd w:id="1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这是我们的数据工兵。它独立运行，默默守护数据的鲜活度。</w:t>
      </w:r>
    </w:p>
    <w:p>
      <w:pPr>
        <w:numPr>
          <w:numId w:val="4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职责：利用 AkShare SDK 采集 A 股行情、新闻、资金流向。</w:t>
      </w:r>
    </w:p>
    <w:p>
      <w:pPr>
        <w:numPr>
          <w:numId w:val="4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机制：基于 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apscheduler</w:t>
            </w:r>
          </w:p>
        </w:tc>
      </w:tr>
    </w:tbl>
    <w:p>
      <w:pPr>
        <w:numPr>
          <w:numId w:val="4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进行定时任务调度 (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data-service/run.py</w:t>
            </w:r>
          </w:p>
        </w:tc>
      </w:tr>
    </w:tbl>
    <w:p>
      <w:pPr>
        <w:numPr>
          <w:numId w:val="4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)。</w:t>
      </w:r>
    </w:p>
    <w:p>
      <w:pPr>
        <w:numPr>
          <w:numId w:val="4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产出：将数据写入本地 SQLite 数据库，供 Next.js 直接读取。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4" w:id="14"/>
      <w:r>
        <w:rPr>
          <w:rFonts w:eastAsia="等线" w:ascii="Arial" w:cs="Arial" w:hAnsi="Arial"/>
          <w:b w:val="true"/>
          <w:sz w:val="28"/>
        </w:rPr>
        <w:t>🔵 蓝色通道：Next.js 应用核心 (</w:t>
      </w:r>
      <w:bookmarkEnd w:id="14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app/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5" w:id="15"/>
      <w:r>
        <w:rPr>
          <w:rFonts w:eastAsia="等线" w:ascii="Arial" w:cs="Arial" w:hAnsi="Arial"/>
          <w:b w:val="true"/>
          <w:sz w:val="28"/>
        </w:rPr>
        <w:t xml:space="preserve"> &amp; </w:t>
      </w:r>
      <w:bookmarkEnd w:id="15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lib/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6" w:id="16"/>
      <w:r>
        <w:rPr>
          <w:rFonts w:eastAsia="等线" w:ascii="Arial" w:cs="Arial" w:hAnsi="Arial"/>
          <w:b w:val="true"/>
          <w:sz w:val="28"/>
        </w:rPr>
        <w:t>)</w:t>
      </w:r>
      <w:bookmarkEnd w:id="1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这是我们的大脑与面孔。</w:t>
      </w:r>
    </w:p>
    <w:p>
      <w:pPr>
        <w:numPr>
          <w:numId w:val="5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混合数据源 (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lib/</w:t>
            </w:r>
          </w:p>
        </w:tc>
      </w:tr>
    </w:tbl>
    <w:p>
      <w:pPr>
        <w:numPr>
          <w:numId w:val="5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)：</w:t>
      </w:r>
    </w:p>
    <w:tbl>
      <w:tblPr>
        <w:tblW w:w="0" w:type="auto"/>
        <w:tblInd w:w="453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7827"/>
      </w:tblGrid>
      <w:tr>
        <w:tc>
          <w:tcPr>
            <w:tcW w:w="7827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db.ts</w:t>
            </w:r>
          </w:p>
        </w:tc>
      </w:tr>
    </w:tbl>
    <w:p>
      <w:pPr>
        <w:numPr>
          <w:numId w:val="5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 xml:space="preserve">: 通过 </w:t>
      </w:r>
    </w:p>
    <w:tbl>
      <w:tblPr>
        <w:tblW w:w="0" w:type="auto"/>
        <w:tblInd w:w="453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7827"/>
      </w:tblGrid>
      <w:tr>
        <w:tc>
          <w:tcPr>
            <w:tcW w:w="7827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better-sqlite3</w:t>
            </w:r>
          </w:p>
        </w:tc>
      </w:tr>
    </w:tbl>
    <w:p>
      <w:pPr>
        <w:numPr>
          <w:numId w:val="5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 xml:space="preserve"> 毫秒级读取本地 A 股数据。</w:t>
      </w:r>
    </w:p>
    <w:tbl>
      <w:tblPr>
        <w:tblW w:w="0" w:type="auto"/>
        <w:tblInd w:w="453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7827"/>
      </w:tblGrid>
      <w:tr>
        <w:tc>
          <w:tcPr>
            <w:tcW w:w="7827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supabase.ts</w:t>
            </w:r>
          </w:p>
        </w:tc>
      </w:tr>
    </w:tbl>
    <w:p>
      <w:pPr>
        <w:numPr>
          <w:numId w:val="5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: (演进中) 连接云端，处理用户 Auth 和未来的向量检索。</w:t>
      </w:r>
    </w:p>
    <w:p>
      <w:pPr>
        <w:numPr>
          <w:numId w:val="5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AI 引擎：</w:t>
      </w:r>
    </w:p>
    <w:tbl>
      <w:tblPr>
        <w:tblW w:w="0" w:type="auto"/>
        <w:tblInd w:w="453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7827"/>
      </w:tblGrid>
      <w:tr>
        <w:tc>
          <w:tcPr>
            <w:tcW w:w="7827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market-sentiment-analyzer.ts</w:t>
            </w:r>
          </w:p>
        </w:tc>
      </w:tr>
    </w:tbl>
    <w:p>
      <w:pPr>
        <w:numPr>
          <w:numId w:val="5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: 结合行情数据分析市场情绪。</w:t>
      </w:r>
    </w:p>
    <w:tbl>
      <w:tblPr>
        <w:tblW w:w="0" w:type="auto"/>
        <w:tblInd w:w="453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7827"/>
      </w:tblGrid>
      <w:tr>
        <w:tc>
          <w:tcPr>
            <w:tcW w:w="7827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rag.ts</w:t>
            </w:r>
          </w:p>
        </w:tc>
      </w:tr>
    </w:tbl>
    <w:p>
      <w:pPr>
        <w:numPr>
          <w:numId w:val="5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: 检索增强生成，让 AI 说“人话”且有理有据。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7" w:id="17"/>
      <w:r>
        <w:rPr>
          <w:rFonts w:eastAsia="等线" w:ascii="Arial" w:cs="Arial" w:hAnsi="Arial"/>
          <w:color w:val="3370ff"/>
          <w:sz w:val="36"/>
        </w:rPr>
        <w:t xml:space="preserve">3. </w:t>
      </w:r>
      <w:r>
        <w:rPr>
          <w:rFonts w:eastAsia="等线" w:ascii="Arial" w:cs="Arial" w:hAnsi="Arial"/>
          <w:b w:val="true"/>
          <w:sz w:val="36"/>
        </w:rPr>
        <w:t>📅 待办事项与战队分工 (Squad Goals)</w:t>
      </w:r>
      <w:bookmarkEnd w:id="1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为了确保 V0.4 顺利发布并为 V1.0 打好基础，我建议将团队分为三个特遣队：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8" w:id="18"/>
      <w:r>
        <w:rPr>
          <w:rFonts w:eastAsia="等线" w:ascii="Arial" w:cs="Arial" w:hAnsi="Arial"/>
          <w:b w:val="true"/>
          <w:sz w:val="28"/>
        </w:rPr>
        <w:t>🛠️ Team Data (基建组) - 稳固后方</w:t>
      </w:r>
      <w:bookmarkEnd w:id="1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目标：确保数据“准、快、全”。</w:t>
      </w:r>
    </w:p>
    <w:p>
      <w:pPr>
        <w:numPr>
          <w:numId w:val="5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待办 1: 优化 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data-service/collectors</w:t>
            </w:r>
          </w:p>
        </w:tc>
      </w:tr>
    </w:tbl>
    <w:p>
      <w:pPr>
        <w:numPr>
          <w:numId w:val="5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的异常处理机制，防止某个源失效导致服务崩溃。</w:t>
      </w:r>
    </w:p>
    <w:p>
      <w:pPr>
        <w:numPr>
          <w:numId w:val="6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待办 2: 完善 SQLite 数据库索引，提高 Next.js 读取大量 K 线数据时的性能。</w:t>
      </w:r>
    </w:p>
    <w:p>
      <w:pPr>
        <w:numPr>
          <w:numId w:val="6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待办 3: 监控 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data/investbuddy.db</w:t>
            </w:r>
          </w:p>
        </w:tc>
      </w:tr>
    </w:tbl>
    <w:p>
      <w:pPr>
        <w:numPr>
          <w:numId w:val="6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的体积，设计归档或清理策略。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9" w:id="19"/>
      <w:r>
        <w:rPr>
          <w:rFonts w:eastAsia="等线" w:ascii="Arial" w:cs="Arial" w:hAnsi="Arial"/>
          <w:b w:val="true"/>
          <w:sz w:val="28"/>
        </w:rPr>
        <w:t>🎨 Team Product (体验组) - 极致交互</w:t>
      </w:r>
      <w:bookmarkEnd w:id="1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目标：让用户“一见倾心，久处不厌”。</w:t>
      </w:r>
    </w:p>
    <w:p>
      <w:pPr>
        <w:numPr>
          <w:numId w:val="6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待办 1: 完善 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app/dashboard</w:t>
            </w:r>
          </w:p>
        </w:tc>
      </w:tr>
    </w:tbl>
    <w:p>
      <w:pPr>
        <w:numPr>
          <w:numId w:val="6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，将 SQLite 中的冷数据可视化为动态图表。</w:t>
      </w:r>
    </w:p>
    <w:p>
      <w:pPr>
        <w:numPr>
          <w:numId w:val="6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待办 2: 优化 PWA 体验，设计桌面端与移动端的响应式适配。</w:t>
      </w:r>
    </w:p>
    <w:p>
      <w:pPr>
        <w:numPr>
          <w:numId w:val="6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待办 3: 实现“加载中”和“空状态”的优雅降级 (Skeleton Screens)。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0" w:id="20"/>
      <w:r>
        <w:rPr>
          <w:rFonts w:eastAsia="等线" w:ascii="Arial" w:cs="Arial" w:hAnsi="Arial"/>
          <w:b w:val="true"/>
          <w:sz w:val="28"/>
        </w:rPr>
        <w:t>🧠 Team Intelligence (AI 组) - 赋予灵魂</w:t>
      </w:r>
      <w:bookmarkEnd w:id="2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目标：让 AI 从“复读机”变成“真导师”。</w:t>
      </w:r>
    </w:p>
    <w:p>
      <w:pPr>
        <w:numPr>
          <w:numId w:val="6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待办 1: 梳理 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lib/rag.ts</w:t>
            </w:r>
          </w:p>
        </w:tc>
      </w:tr>
    </w:tbl>
    <w:p>
      <w:pPr>
        <w:numPr>
          <w:numId w:val="6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，明确向量数据是存本地还是迁移至 Supabase pgvector。</w:t>
      </w:r>
    </w:p>
    <w:p>
      <w:pPr>
        <w:numPr>
          <w:numId w:val="6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待办 2: 增强 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memory.ts</w:t>
            </w:r>
          </w:p>
        </w:tc>
      </w:tr>
    </w:tbl>
    <w:p>
      <w:pPr>
        <w:numPr>
          <w:numId w:val="7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，让 AI 记住用户的投资风格（激进/保守），在下一次对话中体现。</w:t>
      </w:r>
    </w:p>
    <w:p>
      <w:pPr>
        <w:numPr>
          <w:numId w:val="7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待办 3: 联调 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market-sentiment-analyzer.ts</w:t>
            </w:r>
          </w:p>
        </w:tc>
      </w:tr>
    </w:tbl>
    <w:p>
      <w:pPr>
        <w:numPr>
          <w:numId w:val="7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，将实时行情波动实时反馈给 AI 提示词相。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21" w:id="21"/>
      <w:r>
        <w:rPr>
          <w:rFonts w:eastAsia="等线" w:ascii="Arial" w:cs="Arial" w:hAnsi="Arial"/>
          <w:color w:val="3370ff"/>
          <w:sz w:val="36"/>
        </w:rPr>
        <w:t xml:space="preserve">4. </w:t>
      </w:r>
      <w:r>
        <w:rPr>
          <w:rFonts w:eastAsia="等线" w:ascii="Arial" w:cs="Arial" w:hAnsi="Arial"/>
          <w:b w:val="true"/>
          <w:sz w:val="36"/>
        </w:rPr>
        <w:t>立即行动 (Next Action)</w:t>
      </w:r>
      <w:bookmarkEnd w:id="2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致所有开发者： 请首先运行以下命令，确保本地环境跑通：</w:t>
      </w:r>
    </w:p>
    <w:p>
      <w:pPr>
        <w:numPr>
          <w:numId w:val="7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启动数据心脏: 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cd data-service &amp;&amp; pip install -r requirements.txt &amp;&amp; python run.py</w:t>
            </w:r>
          </w:p>
        </w:tc>
      </w:tr>
    </w:tbl>
    <w:p>
      <w:pPr>
        <w:numPr>
          <w:numId w:val="7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(保持后台运行)</w:t>
      </w:r>
    </w:p>
    <w:p>
      <w:pPr>
        <w:numPr>
          <w:numId w:val="7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启动应用界面: 新开终端 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npm install &amp;&amp; npm run dev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如有任何架构疑问，请随时在该 Thread 中提出。Let's build this! 🚀</w:t>
      </w:r>
    </w:p>
    <w:p>
      <w:pPr>
        <w:spacing w:before="120" w:after="120" w:line="288" w:lineRule="auto"/>
        <w:ind w:left="0"/>
        <w:jc w:val="left"/>
      </w:pPr>
    </w:p>
    <w:sectPr>
      <w:footerReference w:type="default" r:id="rId3"/>
      <w:headerReference w:type="default" r:id="rId11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246450">
    <w:lvl>
      <w:numFmt w:val="bullet"/>
      <w:suff w:val="tab"/>
      <w:lvlText w:val="•"/>
      <w:rPr>
        <w:color w:val="3370ff"/>
      </w:rPr>
    </w:lvl>
  </w:abstractNum>
  <w:abstractNum w:abstractNumId="246451">
    <w:lvl>
      <w:numFmt w:val="bullet"/>
      <w:suff w:val="tab"/>
      <w:lvlText w:val="•"/>
      <w:rPr>
        <w:color w:val="3370ff"/>
      </w:rPr>
    </w:lvl>
  </w:abstractNum>
  <w:abstractNum w:abstractNumId="246452">
    <w:lvl>
      <w:numFmt w:val="bullet"/>
      <w:suff w:val="tab"/>
      <w:lvlText w:val="•"/>
      <w:rPr>
        <w:color w:val="3370ff"/>
      </w:rPr>
    </w:lvl>
  </w:abstractNum>
  <w:abstractNum w:abstractNumId="246453">
    <w:lvl>
      <w:start w:val="1"/>
      <w:numFmt w:val="lowerLetter"/>
      <w:suff w:val="tab"/>
      <w:lvlText w:val="%1."/>
      <w:rPr>
        <w:color w:val="3370ff"/>
      </w:rPr>
    </w:lvl>
  </w:abstractNum>
  <w:abstractNum w:abstractNumId="246454">
    <w:lvl>
      <w:start w:val="1"/>
      <w:numFmt w:val="lowerLetter"/>
      <w:suff w:val="tab"/>
      <w:lvlText w:val="%1."/>
      <w:rPr>
        <w:color w:val="3370ff"/>
      </w:rPr>
    </w:lvl>
  </w:abstractNum>
  <w:abstractNum w:abstractNumId="246455">
    <w:lvl>
      <w:start w:val="2"/>
      <w:numFmt w:val="lowerLetter"/>
      <w:suff w:val="tab"/>
      <w:lvlText w:val="%1."/>
      <w:rPr>
        <w:color w:val="3370ff"/>
      </w:rPr>
    </w:lvl>
  </w:abstractNum>
  <w:abstractNum w:abstractNumId="246456">
    <w:lvl>
      <w:start w:val="1"/>
      <w:numFmt w:val="lowerLetter"/>
      <w:suff w:val="tab"/>
      <w:lvlText w:val="%1."/>
      <w:rPr>
        <w:color w:val="3370ff"/>
      </w:rPr>
    </w:lvl>
  </w:abstractNum>
  <w:abstractNum w:abstractNumId="246457">
    <w:lvl>
      <w:start w:val="2"/>
      <w:numFmt w:val="lowerLetter"/>
      <w:suff w:val="tab"/>
      <w:lvlText w:val="%1."/>
      <w:rPr>
        <w:color w:val="3370ff"/>
      </w:rPr>
    </w:lvl>
  </w:abstractNum>
  <w:abstractNum w:abstractNumId="246458">
    <w:lvl>
      <w:numFmt w:val="bullet"/>
      <w:suff w:val="tab"/>
      <w:lvlText w:val="￮"/>
      <w:rPr>
        <w:color w:val="3370ff"/>
      </w:rPr>
    </w:lvl>
  </w:abstractNum>
  <w:abstractNum w:abstractNumId="246459">
    <w:lvl>
      <w:numFmt w:val="bullet"/>
      <w:suff w:val="tab"/>
      <w:lvlText w:val="•"/>
      <w:rPr>
        <w:color w:val="3370ff"/>
      </w:rPr>
    </w:lvl>
  </w:abstractNum>
  <w:abstractNum w:abstractNumId="246460">
    <w:lvl>
      <w:numFmt w:val="bullet"/>
      <w:suff w:val="tab"/>
      <w:lvlText w:val="￮"/>
      <w:rPr>
        <w:color w:val="3370ff"/>
      </w:rPr>
    </w:lvl>
  </w:abstractNum>
  <w:abstractNum w:abstractNumId="246461">
    <w:lvl>
      <w:numFmt w:val="bullet"/>
      <w:suff w:val="tab"/>
      <w:lvlText w:val="￮"/>
      <w:rPr>
        <w:color w:val="3370ff"/>
      </w:rPr>
    </w:lvl>
  </w:abstractNum>
  <w:abstractNum w:abstractNumId="246462">
    <w:lvl>
      <w:numFmt w:val="bullet"/>
      <w:suff w:val="tab"/>
      <w:lvlText w:val="•"/>
      <w:rPr>
        <w:color w:val="3370ff"/>
      </w:rPr>
    </w:lvl>
  </w:abstractNum>
  <w:abstractNum w:abstractNumId="246463">
    <w:lvl>
      <w:numFmt w:val="bullet"/>
      <w:suff w:val="tab"/>
      <w:lvlText w:val="•"/>
      <w:rPr>
        <w:color w:val="3370ff"/>
      </w:rPr>
    </w:lvl>
  </w:abstractNum>
  <w:abstractNum w:abstractNumId="246464">
    <w:lvl>
      <w:start w:val="1"/>
      <w:numFmt w:val="lowerLetter"/>
      <w:suff w:val="tab"/>
      <w:lvlText w:val="%1."/>
      <w:rPr>
        <w:color w:val="3370ff"/>
      </w:rPr>
    </w:lvl>
  </w:abstractNum>
  <w:abstractNum w:abstractNumId="246465">
    <w:lvl>
      <w:start w:val="2"/>
      <w:numFmt w:val="lowerLetter"/>
      <w:suff w:val="tab"/>
      <w:lvlText w:val="%1."/>
      <w:rPr>
        <w:color w:val="3370ff"/>
      </w:rPr>
    </w:lvl>
  </w:abstractNum>
  <w:abstractNum w:abstractNumId="246466">
    <w:lvl>
      <w:start w:val="3"/>
      <w:numFmt w:val="lowerLetter"/>
      <w:suff w:val="tab"/>
      <w:lvlText w:val="%1."/>
      <w:rPr>
        <w:color w:val="3370ff"/>
      </w:rPr>
    </w:lvl>
  </w:abstractNum>
  <w:abstractNum w:abstractNumId="246467">
    <w:lvl>
      <w:start w:val="4"/>
      <w:numFmt w:val="lowerLetter"/>
      <w:suff w:val="tab"/>
      <w:lvlText w:val="%1."/>
      <w:rPr>
        <w:color w:val="3370ff"/>
      </w:rPr>
    </w:lvl>
  </w:abstractNum>
  <w:abstractNum w:abstractNumId="246468">
    <w:lvl>
      <w:numFmt w:val="bullet"/>
      <w:suff w:val="tab"/>
      <w:lvlText w:val="•"/>
      <w:rPr>
        <w:color w:val="3370ff"/>
      </w:rPr>
    </w:lvl>
  </w:abstractNum>
  <w:abstractNum w:abstractNumId="246469">
    <w:lvl>
      <w:numFmt w:val="bullet"/>
      <w:suff w:val="tab"/>
      <w:lvlText w:val="•"/>
      <w:rPr>
        <w:color w:val="3370ff"/>
      </w:rPr>
    </w:lvl>
  </w:abstractNum>
  <w:abstractNum w:abstractNumId="246470">
    <w:lvl>
      <w:numFmt w:val="bullet"/>
      <w:suff w:val="tab"/>
      <w:lvlText w:val="￮"/>
      <w:rPr>
        <w:color w:val="3370ff"/>
      </w:rPr>
    </w:lvl>
  </w:abstractNum>
  <w:abstractNum w:abstractNumId="246471">
    <w:lvl>
      <w:numFmt w:val="bullet"/>
      <w:suff w:val="tab"/>
      <w:lvlText w:val="￮"/>
      <w:rPr>
        <w:color w:val="3370ff"/>
      </w:rPr>
    </w:lvl>
  </w:abstractNum>
  <w:abstractNum w:abstractNumId="246472">
    <w:lvl>
      <w:numFmt w:val="bullet"/>
      <w:suff w:val="tab"/>
      <w:lvlText w:val="￮"/>
      <w:rPr>
        <w:color w:val="3370ff"/>
      </w:rPr>
    </w:lvl>
  </w:abstractNum>
  <w:abstractNum w:abstractNumId="246473">
    <w:lvl>
      <w:numFmt w:val="bullet"/>
      <w:suff w:val="tab"/>
      <w:lvlText w:val="•"/>
      <w:rPr>
        <w:color w:val="3370ff"/>
      </w:rPr>
    </w:lvl>
  </w:abstractNum>
  <w:abstractNum w:abstractNumId="246474">
    <w:lvl>
      <w:numFmt w:val="bullet"/>
      <w:suff w:val="tab"/>
      <w:lvlText w:val="￮"/>
      <w:rPr>
        <w:color w:val="3370ff"/>
      </w:rPr>
    </w:lvl>
  </w:abstractNum>
  <w:abstractNum w:abstractNumId="246475">
    <w:lvl>
      <w:numFmt w:val="bullet"/>
      <w:suff w:val="tab"/>
      <w:lvlText w:val="￮"/>
      <w:rPr>
        <w:color w:val="3370ff"/>
      </w:rPr>
    </w:lvl>
  </w:abstractNum>
  <w:abstractNum w:abstractNumId="246476">
    <w:lvl>
      <w:numFmt w:val="bullet"/>
      <w:suff w:val="tab"/>
      <w:lvlText w:val="￮"/>
      <w:rPr>
        <w:color w:val="3370ff"/>
      </w:rPr>
    </w:lvl>
  </w:abstractNum>
  <w:abstractNum w:abstractNumId="246477">
    <w:lvl>
      <w:numFmt w:val="bullet"/>
      <w:suff w:val="tab"/>
      <w:lvlText w:val="￮"/>
      <w:rPr>
        <w:color w:val="3370ff"/>
      </w:rPr>
    </w:lvl>
  </w:abstractNum>
  <w:abstractNum w:abstractNumId="246478">
    <w:lvl>
      <w:numFmt w:val="bullet"/>
      <w:suff w:val="tab"/>
      <w:lvlText w:val="•"/>
      <w:rPr>
        <w:color w:val="3370ff"/>
      </w:rPr>
    </w:lvl>
  </w:abstractNum>
  <w:abstractNum w:abstractNumId="246479">
    <w:lvl>
      <w:numFmt w:val="bullet"/>
      <w:suff w:val="tab"/>
      <w:lvlText w:val="•"/>
      <w:rPr>
        <w:color w:val="3370ff"/>
      </w:rPr>
    </w:lvl>
  </w:abstractNum>
  <w:abstractNum w:abstractNumId="246480">
    <w:lvl>
      <w:numFmt w:val="bullet"/>
      <w:suff w:val="tab"/>
      <w:lvlText w:val="￮"/>
      <w:rPr>
        <w:color w:val="3370ff"/>
      </w:rPr>
    </w:lvl>
  </w:abstractNum>
  <w:abstractNum w:abstractNumId="246481">
    <w:lvl>
      <w:numFmt w:val="bullet"/>
      <w:suff w:val="tab"/>
      <w:lvlText w:val="•"/>
      <w:rPr>
        <w:color w:val="3370ff"/>
      </w:rPr>
    </w:lvl>
  </w:abstractNum>
  <w:abstractNum w:abstractNumId="246482">
    <w:lvl>
      <w:numFmt w:val="bullet"/>
      <w:suff w:val="tab"/>
      <w:lvlText w:val="￮"/>
      <w:rPr>
        <w:color w:val="3370ff"/>
      </w:rPr>
    </w:lvl>
  </w:abstractNum>
  <w:abstractNum w:abstractNumId="246483">
    <w:lvl>
      <w:numFmt w:val="bullet"/>
      <w:suff w:val="tab"/>
      <w:lvlText w:val="•"/>
      <w:rPr>
        <w:color w:val="3370ff"/>
      </w:rPr>
    </w:lvl>
  </w:abstractNum>
  <w:abstractNum w:abstractNumId="246484">
    <w:lvl>
      <w:numFmt w:val="bullet"/>
      <w:suff w:val="tab"/>
      <w:lvlText w:val="￮"/>
      <w:rPr>
        <w:color w:val="3370ff"/>
      </w:rPr>
    </w:lvl>
  </w:abstractNum>
  <w:abstractNum w:abstractNumId="246485">
    <w:lvl>
      <w:numFmt w:val="bullet"/>
      <w:suff w:val="tab"/>
      <w:lvlText w:val="•"/>
      <w:rPr>
        <w:color w:val="3370ff"/>
      </w:rPr>
    </w:lvl>
  </w:abstractNum>
  <w:abstractNum w:abstractNumId="246486">
    <w:lvl>
      <w:numFmt w:val="bullet"/>
      <w:suff w:val="tab"/>
      <w:lvlText w:val="•"/>
      <w:rPr>
        <w:color w:val="3370ff"/>
      </w:rPr>
    </w:lvl>
  </w:abstractNum>
  <w:abstractNum w:abstractNumId="246487">
    <w:lvl>
      <w:numFmt w:val="bullet"/>
      <w:suff w:val="tab"/>
      <w:lvlText w:val="￮"/>
      <w:rPr>
        <w:color w:val="3370ff"/>
      </w:rPr>
    </w:lvl>
  </w:abstractNum>
  <w:abstractNum w:abstractNumId="246488">
    <w:lvl>
      <w:numFmt w:val="bullet"/>
      <w:suff w:val="tab"/>
      <w:lvlText w:val="￮"/>
      <w:rPr>
        <w:color w:val="3370ff"/>
      </w:rPr>
    </w:lvl>
  </w:abstractNum>
  <w:abstractNum w:abstractNumId="246489">
    <w:lvl>
      <w:numFmt w:val="bullet"/>
      <w:suff w:val="tab"/>
      <w:lvlText w:val="￮"/>
      <w:rPr>
        <w:color w:val="3370ff"/>
      </w:rPr>
    </w:lvl>
  </w:abstractNum>
  <w:abstractNum w:abstractNumId="246490">
    <w:lvl>
      <w:numFmt w:val="bullet"/>
      <w:suff w:val="tab"/>
      <w:lvlText w:val="•"/>
      <w:rPr>
        <w:color w:val="3370ff"/>
      </w:rPr>
    </w:lvl>
  </w:abstractNum>
  <w:abstractNum w:abstractNumId="246491">
    <w:lvl>
      <w:numFmt w:val="bullet"/>
      <w:suff w:val="tab"/>
      <w:lvlText w:val="￮"/>
      <w:rPr>
        <w:color w:val="3370ff"/>
      </w:rPr>
    </w:lvl>
  </w:abstractNum>
  <w:abstractNum w:abstractNumId="246492">
    <w:lvl>
      <w:numFmt w:val="bullet"/>
      <w:suff w:val="tab"/>
      <w:lvlText w:val="•"/>
      <w:rPr>
        <w:color w:val="3370ff"/>
      </w:rPr>
    </w:lvl>
  </w:abstractNum>
  <w:abstractNum w:abstractNumId="246493">
    <w:lvl>
      <w:numFmt w:val="bullet"/>
      <w:suff w:val="tab"/>
      <w:lvlText w:val="•"/>
      <w:rPr>
        <w:color w:val="3370ff"/>
      </w:rPr>
    </w:lvl>
  </w:abstractNum>
  <w:abstractNum w:abstractNumId="246494">
    <w:lvl>
      <w:numFmt w:val="bullet"/>
      <w:suff w:val="tab"/>
      <w:lvlText w:val="•"/>
      <w:rPr>
        <w:color w:val="3370ff"/>
      </w:rPr>
    </w:lvl>
  </w:abstractNum>
  <w:abstractNum w:abstractNumId="246495">
    <w:lvl>
      <w:numFmt w:val="bullet"/>
      <w:suff w:val="tab"/>
      <w:lvlText w:val="•"/>
      <w:rPr>
        <w:color w:val="3370ff"/>
      </w:rPr>
    </w:lvl>
  </w:abstractNum>
  <w:abstractNum w:abstractNumId="246496">
    <w:lvl>
      <w:numFmt w:val="bullet"/>
      <w:suff w:val="tab"/>
      <w:lvlText w:val="•"/>
      <w:rPr>
        <w:color w:val="3370ff"/>
      </w:rPr>
    </w:lvl>
  </w:abstractNum>
  <w:abstractNum w:abstractNumId="246497">
    <w:lvl>
      <w:numFmt w:val="bullet"/>
      <w:suff w:val="tab"/>
      <w:lvlText w:val="•"/>
      <w:rPr>
        <w:color w:val="3370ff"/>
      </w:rPr>
    </w:lvl>
  </w:abstractNum>
  <w:abstractNum w:abstractNumId="246498">
    <w:lvl>
      <w:numFmt w:val="bullet"/>
      <w:suff w:val="tab"/>
      <w:lvlText w:val="•"/>
      <w:rPr>
        <w:color w:val="3370ff"/>
      </w:rPr>
    </w:lvl>
  </w:abstractNum>
  <w:abstractNum w:abstractNumId="246499">
    <w:lvl>
      <w:numFmt w:val="bullet"/>
      <w:suff w:val="tab"/>
      <w:lvlText w:val="•"/>
      <w:rPr>
        <w:color w:val="3370ff"/>
      </w:rPr>
    </w:lvl>
  </w:abstractNum>
  <w:abstractNum w:abstractNumId="246500">
    <w:lvl>
      <w:numFmt w:val="bullet"/>
      <w:suff w:val="tab"/>
      <w:lvlText w:val="•"/>
      <w:rPr>
        <w:color w:val="3370ff"/>
      </w:rPr>
    </w:lvl>
  </w:abstractNum>
  <w:abstractNum w:abstractNumId="246501">
    <w:lvl>
      <w:numFmt w:val="bullet"/>
      <w:suff w:val="tab"/>
      <w:lvlText w:val="￮"/>
      <w:rPr>
        <w:color w:val="3370ff"/>
      </w:rPr>
    </w:lvl>
  </w:abstractNum>
  <w:abstractNum w:abstractNumId="246502">
    <w:lvl>
      <w:numFmt w:val="bullet"/>
      <w:suff w:val="tab"/>
      <w:lvlText w:val="￮"/>
      <w:rPr>
        <w:color w:val="3370ff"/>
      </w:rPr>
    </w:lvl>
  </w:abstractNum>
  <w:abstractNum w:abstractNumId="246503">
    <w:lvl>
      <w:numFmt w:val="bullet"/>
      <w:suff w:val="tab"/>
      <w:lvlText w:val="￮"/>
      <w:rPr>
        <w:color w:val="3370ff"/>
      </w:rPr>
    </w:lvl>
  </w:abstractNum>
  <w:abstractNum w:abstractNumId="246504">
    <w:lvl>
      <w:numFmt w:val="bullet"/>
      <w:suff w:val="tab"/>
      <w:lvlText w:val="•"/>
      <w:rPr>
        <w:color w:val="3370ff"/>
      </w:rPr>
    </w:lvl>
  </w:abstractNum>
  <w:abstractNum w:abstractNumId="246505">
    <w:lvl>
      <w:numFmt w:val="bullet"/>
      <w:suff w:val="tab"/>
      <w:lvlText w:val="￮"/>
      <w:rPr>
        <w:color w:val="3370ff"/>
      </w:rPr>
    </w:lvl>
  </w:abstractNum>
  <w:abstractNum w:abstractNumId="246506">
    <w:lvl>
      <w:numFmt w:val="bullet"/>
      <w:suff w:val="tab"/>
      <w:lvlText w:val="￮"/>
      <w:rPr>
        <w:color w:val="3370ff"/>
      </w:rPr>
    </w:lvl>
  </w:abstractNum>
  <w:abstractNum w:abstractNumId="246507">
    <w:lvl>
      <w:numFmt w:val="bullet"/>
      <w:suff w:val="tab"/>
      <w:lvlText w:val="•"/>
      <w:rPr>
        <w:color w:val="3370ff"/>
      </w:rPr>
    </w:lvl>
  </w:abstractNum>
  <w:abstractNum w:abstractNumId="246508">
    <w:lvl>
      <w:numFmt w:val="bullet"/>
      <w:suff w:val="tab"/>
      <w:lvlText w:val="•"/>
      <w:rPr>
        <w:color w:val="3370ff"/>
      </w:rPr>
    </w:lvl>
  </w:abstractNum>
  <w:abstractNum w:abstractNumId="246509">
    <w:lvl>
      <w:numFmt w:val="bullet"/>
      <w:suff w:val="tab"/>
      <w:lvlText w:val="•"/>
      <w:rPr>
        <w:color w:val="3370ff"/>
      </w:rPr>
    </w:lvl>
  </w:abstractNum>
  <w:abstractNum w:abstractNumId="246510">
    <w:lvl>
      <w:numFmt w:val="bullet"/>
      <w:suff w:val="tab"/>
      <w:lvlText w:val="•"/>
      <w:rPr>
        <w:color w:val="3370ff"/>
      </w:rPr>
    </w:lvl>
  </w:abstractNum>
  <w:abstractNum w:abstractNumId="246511">
    <w:lvl>
      <w:numFmt w:val="bullet"/>
      <w:suff w:val="tab"/>
      <w:lvlText w:val="•"/>
      <w:rPr>
        <w:color w:val="3370ff"/>
      </w:rPr>
    </w:lvl>
  </w:abstractNum>
  <w:abstractNum w:abstractNumId="246512">
    <w:lvl>
      <w:numFmt w:val="bullet"/>
      <w:suff w:val="tab"/>
      <w:lvlText w:val="•"/>
      <w:rPr>
        <w:color w:val="3370ff"/>
      </w:rPr>
    </w:lvl>
  </w:abstractNum>
  <w:abstractNum w:abstractNumId="246513">
    <w:lvl>
      <w:numFmt w:val="bullet"/>
      <w:suff w:val="tab"/>
      <w:lvlText w:val="•"/>
      <w:rPr>
        <w:color w:val="3370ff"/>
      </w:rPr>
    </w:lvl>
  </w:abstractNum>
  <w:abstractNum w:abstractNumId="246514">
    <w:lvl>
      <w:numFmt w:val="bullet"/>
      <w:suff w:val="tab"/>
      <w:lvlText w:val="•"/>
      <w:rPr>
        <w:color w:val="3370ff"/>
      </w:rPr>
    </w:lvl>
  </w:abstractNum>
  <w:abstractNum w:abstractNumId="246515">
    <w:lvl>
      <w:numFmt w:val="bullet"/>
      <w:suff w:val="tab"/>
      <w:lvlText w:val="•"/>
      <w:rPr>
        <w:color w:val="3370ff"/>
      </w:rPr>
    </w:lvl>
  </w:abstractNum>
  <w:abstractNum w:abstractNumId="246516">
    <w:lvl>
      <w:numFmt w:val="bullet"/>
      <w:suff w:val="tab"/>
      <w:lvlText w:val="•"/>
      <w:rPr>
        <w:color w:val="3370ff"/>
      </w:rPr>
    </w:lvl>
  </w:abstractNum>
  <w:abstractNum w:abstractNumId="246517">
    <w:lvl>
      <w:numFmt w:val="bullet"/>
      <w:suff w:val="tab"/>
      <w:lvlText w:val="•"/>
      <w:rPr>
        <w:color w:val="3370ff"/>
      </w:rPr>
    </w:lvl>
  </w:abstractNum>
  <w:abstractNum w:abstractNumId="246518">
    <w:lvl>
      <w:numFmt w:val="bullet"/>
      <w:suff w:val="tab"/>
      <w:lvlText w:val="•"/>
      <w:rPr>
        <w:color w:val="3370ff"/>
      </w:rPr>
    </w:lvl>
  </w:abstractNum>
  <w:abstractNum w:abstractNumId="246519">
    <w:lvl>
      <w:numFmt w:val="bullet"/>
      <w:suff w:val="tab"/>
      <w:lvlText w:val="•"/>
      <w:rPr>
        <w:color w:val="3370ff"/>
      </w:rPr>
    </w:lvl>
  </w:abstractNum>
  <w:abstractNum w:abstractNumId="246520">
    <w:lvl>
      <w:numFmt w:val="bullet"/>
      <w:suff w:val="tab"/>
      <w:lvlText w:val="•"/>
      <w:rPr>
        <w:color w:val="3370ff"/>
      </w:rPr>
    </w:lvl>
  </w:abstractNum>
  <w:abstractNum w:abstractNumId="246521">
    <w:lvl>
      <w:numFmt w:val="bullet"/>
      <w:suff w:val="tab"/>
      <w:lvlText w:val="•"/>
      <w:rPr>
        <w:color w:val="3370ff"/>
      </w:rPr>
    </w:lvl>
  </w:abstractNum>
  <w:abstractNum w:abstractNumId="246522">
    <w:lvl>
      <w:start w:val="1"/>
      <w:numFmt w:val="decimal"/>
      <w:suff w:val="tab"/>
      <w:lvlText w:val="%1."/>
      <w:rPr>
        <w:color w:val="3370ff"/>
      </w:rPr>
    </w:lvl>
  </w:abstractNum>
  <w:abstractNum w:abstractNumId="246523">
    <w:lvl>
      <w:start w:val="1"/>
      <w:numFmt w:val="decimal"/>
      <w:suff w:val="tab"/>
      <w:lvlText w:val="%1."/>
      <w:rPr>
        <w:color w:val="3370ff"/>
      </w:rPr>
    </w:lvl>
  </w:abstractNum>
  <w:abstractNum w:abstractNumId="246524">
    <w:lvl>
      <w:start w:val="2"/>
      <w:numFmt w:val="decimal"/>
      <w:suff w:val="tab"/>
      <w:lvlText w:val="%1."/>
      <w:rPr>
        <w:color w:val="3370ff"/>
      </w:rPr>
    </w:lvl>
  </w:abstractNum>
  <w:num w:numId="1">
    <w:abstractNumId w:val="246450"/>
  </w:num>
  <w:num w:numId="2">
    <w:abstractNumId w:val="246451"/>
  </w:num>
  <w:num w:numId="3">
    <w:abstractNumId w:val="246452"/>
  </w:num>
  <w:num w:numId="4">
    <w:abstractNumId w:val="246453"/>
  </w:num>
  <w:num w:numId="5">
    <w:abstractNumId w:val="246454"/>
  </w:num>
  <w:num w:numId="6">
    <w:abstractNumId w:val="246455"/>
  </w:num>
  <w:num w:numId="7">
    <w:abstractNumId w:val="246456"/>
  </w:num>
  <w:num w:numId="8">
    <w:abstractNumId w:val="246457"/>
  </w:num>
  <w:num w:numId="9">
    <w:abstractNumId w:val="246458"/>
  </w:num>
  <w:num w:numId="10">
    <w:abstractNumId w:val="246459"/>
  </w:num>
  <w:num w:numId="11">
    <w:abstractNumId w:val="246460"/>
  </w:num>
  <w:num w:numId="12">
    <w:abstractNumId w:val="246461"/>
  </w:num>
  <w:num w:numId="13">
    <w:abstractNumId w:val="246462"/>
  </w:num>
  <w:num w:numId="14">
    <w:abstractNumId w:val="246463"/>
  </w:num>
  <w:num w:numId="15">
    <w:abstractNumId w:val="246464"/>
  </w:num>
  <w:num w:numId="16">
    <w:abstractNumId w:val="246465"/>
  </w:num>
  <w:num w:numId="17">
    <w:abstractNumId w:val="246466"/>
  </w:num>
  <w:num w:numId="18">
    <w:abstractNumId w:val="246467"/>
  </w:num>
  <w:num w:numId="19">
    <w:abstractNumId w:val="246468"/>
  </w:num>
  <w:num w:numId="20">
    <w:abstractNumId w:val="246469"/>
  </w:num>
  <w:num w:numId="21">
    <w:abstractNumId w:val="246470"/>
  </w:num>
  <w:num w:numId="22">
    <w:abstractNumId w:val="246471"/>
  </w:num>
  <w:num w:numId="23">
    <w:abstractNumId w:val="246472"/>
  </w:num>
  <w:num w:numId="24">
    <w:abstractNumId w:val="246473"/>
  </w:num>
  <w:num w:numId="25">
    <w:abstractNumId w:val="246474"/>
  </w:num>
  <w:num w:numId="26">
    <w:abstractNumId w:val="246475"/>
  </w:num>
  <w:num w:numId="27">
    <w:abstractNumId w:val="246476"/>
  </w:num>
  <w:num w:numId="28">
    <w:abstractNumId w:val="246477"/>
  </w:num>
  <w:num w:numId="29">
    <w:abstractNumId w:val="246478"/>
  </w:num>
  <w:num w:numId="30">
    <w:abstractNumId w:val="246479"/>
  </w:num>
  <w:num w:numId="31">
    <w:abstractNumId w:val="246480"/>
  </w:num>
  <w:num w:numId="32">
    <w:abstractNumId w:val="246481"/>
  </w:num>
  <w:num w:numId="33">
    <w:abstractNumId w:val="246482"/>
  </w:num>
  <w:num w:numId="34">
    <w:abstractNumId w:val="246483"/>
  </w:num>
  <w:num w:numId="35">
    <w:abstractNumId w:val="246484"/>
  </w:num>
  <w:num w:numId="36">
    <w:abstractNumId w:val="246485"/>
  </w:num>
  <w:num w:numId="37">
    <w:abstractNumId w:val="246486"/>
  </w:num>
  <w:num w:numId="38">
    <w:abstractNumId w:val="246487"/>
  </w:num>
  <w:num w:numId="39">
    <w:abstractNumId w:val="246488"/>
  </w:num>
  <w:num w:numId="40">
    <w:abstractNumId w:val="246489"/>
  </w:num>
  <w:num w:numId="41">
    <w:abstractNumId w:val="246490"/>
  </w:num>
  <w:num w:numId="42">
    <w:abstractNumId w:val="246491"/>
  </w:num>
  <w:num w:numId="43">
    <w:abstractNumId w:val="246492"/>
  </w:num>
  <w:num w:numId="44">
    <w:abstractNumId w:val="246493"/>
  </w:num>
  <w:num w:numId="45">
    <w:abstractNumId w:val="246494"/>
  </w:num>
  <w:num w:numId="46">
    <w:abstractNumId w:val="246495"/>
  </w:num>
  <w:num w:numId="47">
    <w:abstractNumId w:val="246496"/>
  </w:num>
  <w:num w:numId="48">
    <w:abstractNumId w:val="246497"/>
  </w:num>
  <w:num w:numId="49">
    <w:abstractNumId w:val="246498"/>
  </w:num>
  <w:num w:numId="50">
    <w:abstractNumId w:val="246499"/>
  </w:num>
  <w:num w:numId="51">
    <w:abstractNumId w:val="246500"/>
  </w:num>
  <w:num w:numId="52">
    <w:abstractNumId w:val="246501"/>
  </w:num>
  <w:num w:numId="53">
    <w:abstractNumId w:val="246502"/>
  </w:num>
  <w:num w:numId="54">
    <w:abstractNumId w:val="246503"/>
  </w:num>
  <w:num w:numId="55">
    <w:abstractNumId w:val="246504"/>
  </w:num>
  <w:num w:numId="56">
    <w:abstractNumId w:val="246505"/>
  </w:num>
  <w:num w:numId="57">
    <w:abstractNumId w:val="246506"/>
  </w:num>
  <w:num w:numId="58">
    <w:abstractNumId w:val="246507"/>
  </w:num>
  <w:num w:numId="59">
    <w:abstractNumId w:val="246508"/>
  </w:num>
  <w:num w:numId="60">
    <w:abstractNumId w:val="246509"/>
  </w:num>
  <w:num w:numId="61">
    <w:abstractNumId w:val="246510"/>
  </w:num>
  <w:num w:numId="62">
    <w:abstractNumId w:val="246511"/>
  </w:num>
  <w:num w:numId="63">
    <w:abstractNumId w:val="246512"/>
  </w:num>
  <w:num w:numId="64">
    <w:abstractNumId w:val="246513"/>
  </w:num>
  <w:num w:numId="65">
    <w:abstractNumId w:val="246514"/>
  </w:num>
  <w:num w:numId="66">
    <w:abstractNumId w:val="246515"/>
  </w:num>
  <w:num w:numId="67">
    <w:abstractNumId w:val="246516"/>
  </w:num>
  <w:num w:numId="68">
    <w:abstractNumId w:val="246517"/>
  </w:num>
  <w:num w:numId="69">
    <w:abstractNumId w:val="246518"/>
  </w:num>
  <w:num w:numId="70">
    <w:abstractNumId w:val="246519"/>
  </w:num>
  <w:num w:numId="71">
    <w:abstractNumId w:val="246520"/>
  </w:num>
  <w:num w:numId="72">
    <w:abstractNumId w:val="246521"/>
  </w:num>
  <w:num w:numId="73">
    <w:abstractNumId w:val="246522"/>
  </w:num>
  <w:num w:numId="74">
    <w:abstractNumId w:val="246523"/>
  </w:num>
  <w:num w:numId="75">
    <w:abstractNumId w:val="246524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media/image4.png" Type="http://schemas.openxmlformats.org/officeDocument/2006/relationships/image"/><Relationship Id="rId11" Target="header1.xml" Type="http://schemas.openxmlformats.org/officeDocument/2006/relationships/header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embeddings/Microsoft_Excel_Worksheet1.xlsx" Type="http://schemas.openxmlformats.org/officeDocument/2006/relationships/package"/><Relationship Id="rId5" Target="media/image1.png" Type="http://schemas.openxmlformats.org/officeDocument/2006/relationships/image"/><Relationship Id="rId6" Target="media/image2.png" Type="http://schemas.openxmlformats.org/officeDocument/2006/relationships/image"/><Relationship Id="rId7" Target="numbering.xml" Type="http://schemas.openxmlformats.org/officeDocument/2006/relationships/numbering"/><Relationship Id="rId8" Target="embeddings/Microsoft_Excel_Worksheet2.xlsx" Type="http://schemas.openxmlformats.org/officeDocument/2006/relationships/package"/><Relationship Id="rId9" Target="media/image3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2026-01-17T09:00:17Z</dcterms:created>
  <dc:creator>Apache POI</dc:creator>
</cp:coreProperties>
</file>