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D0F7750" w14:textId="77777777" w:rsidR="004440D1" w:rsidRDefault="00000000">
      <w:pPr>
        <w:pStyle w:val="Title"/>
        <w:pBdr>
          <w:bottom w:val="nil"/>
        </w:pBdr>
        <w:spacing w:before="80" w:after="0"/>
        <w:jc w:val="center"/>
      </w:pPr>
      <w:r>
        <w:rPr>
          <w:rFonts w:ascii="Times New Roman" w:hAnsi="Times New Roman"/>
          <w:sz w:val="34"/>
        </w:rPr>
        <w:t>RELIABILITY CONDITIONED HERB DRUG INTERACTION PREDICTION</w:t>
      </w:r>
    </w:p>
    <w:p w14:paraId="05611B92" w14:textId="77777777" w:rsidR="004440D1" w:rsidRDefault="00000000">
      <w:pPr>
        <w:spacing w:after="0" w:line="240" w:lineRule="auto"/>
        <w:jc w:val="center"/>
      </w:pPr>
      <w:r>
        <w:rPr>
          <w:b/>
          <w:sz w:val="30"/>
        </w:rPr>
        <w:t>PROJECT REPORT</w:t>
      </w:r>
    </w:p>
    <w:p w14:paraId="796B6BE7" w14:textId="711B0A47" w:rsidR="004440D1" w:rsidRDefault="006F1CC7">
      <w:pPr>
        <w:spacing w:before="900" w:after="0" w:line="240" w:lineRule="auto"/>
        <w:jc w:val="center"/>
      </w:pPr>
      <w:r>
        <w:rPr>
          <w:b/>
          <w:sz w:val="26"/>
        </w:rPr>
        <w:t>CSI4004</w:t>
      </w:r>
    </w:p>
    <w:p w14:paraId="29178224" w14:textId="10D25B09" w:rsidR="004440D1" w:rsidRDefault="006F1CC7">
      <w:pPr>
        <w:spacing w:after="0" w:line="240" w:lineRule="auto"/>
        <w:jc w:val="center"/>
      </w:pPr>
      <w:r>
        <w:t>TEXT MINING</w:t>
      </w:r>
    </w:p>
    <w:p w14:paraId="05E87746" w14:textId="5D0221D5" w:rsidR="004440D1" w:rsidRDefault="00F9123E">
      <w:pPr>
        <w:spacing w:before="700" w:after="80" w:line="240" w:lineRule="auto"/>
        <w:jc w:val="center"/>
      </w:pPr>
      <w:r>
        <w:t>ADITI SHARMA - 23MID0022</w:t>
      </w:r>
    </w:p>
    <w:p w14:paraId="6EE8E2CA" w14:textId="5BE9BE9D" w:rsidR="004440D1" w:rsidRDefault="004440D1" w:rsidP="00F9123E">
      <w:pPr>
        <w:spacing w:after="80" w:line="240" w:lineRule="auto"/>
        <w:jc w:val="center"/>
      </w:pPr>
    </w:p>
    <w:p w14:paraId="77514BBA" w14:textId="77777777" w:rsidR="004440D1" w:rsidRDefault="00000000">
      <w:pPr>
        <w:spacing w:before="540" w:after="0" w:line="240" w:lineRule="auto"/>
        <w:jc w:val="center"/>
      </w:pPr>
      <w:r>
        <w:rPr>
          <w:noProof/>
        </w:rPr>
        <w:drawing>
          <wp:inline distT="0" distB="0" distL="0" distR="0" wp14:anchorId="1F403D66" wp14:editId="7E8032DD">
            <wp:extent cx="1344168" cy="141921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t_logo_white.png"/>
                    <pic:cNvPicPr/>
                  </pic:nvPicPr>
                  <pic:blipFill>
                    <a:blip r:embed="rId8"/>
                    <a:stretch>
                      <a:fillRect/>
                    </a:stretch>
                  </pic:blipFill>
                  <pic:spPr>
                    <a:xfrm>
                      <a:off x="0" y="0"/>
                      <a:ext cx="1344168" cy="1419217"/>
                    </a:xfrm>
                    <a:prstGeom prst="rect">
                      <a:avLst/>
                    </a:prstGeom>
                  </pic:spPr>
                </pic:pic>
              </a:graphicData>
            </a:graphic>
          </wp:inline>
        </w:drawing>
      </w:r>
    </w:p>
    <w:p w14:paraId="04D31170" w14:textId="77777777" w:rsidR="004440D1" w:rsidRDefault="00000000">
      <w:pPr>
        <w:spacing w:before="560" w:after="0" w:line="240" w:lineRule="auto"/>
        <w:jc w:val="center"/>
      </w:pPr>
      <w:r>
        <w:t>Under the guidance of</w:t>
      </w:r>
    </w:p>
    <w:p w14:paraId="3050BAB3" w14:textId="749DA9AD" w:rsidR="004440D1" w:rsidRDefault="00F9123E">
      <w:pPr>
        <w:spacing w:after="0" w:line="240" w:lineRule="auto"/>
        <w:jc w:val="center"/>
      </w:pPr>
      <w:r>
        <w:t>Prof. Arti Tiwari</w:t>
      </w:r>
    </w:p>
    <w:p w14:paraId="241723AB" w14:textId="77777777" w:rsidR="004440D1" w:rsidRDefault="00000000">
      <w:pPr>
        <w:spacing w:before="840" w:after="80" w:line="240" w:lineRule="auto"/>
        <w:jc w:val="center"/>
      </w:pPr>
      <w:r>
        <w:rPr>
          <w:b/>
        </w:rPr>
        <w:t>School of Computer Science and Engineering</w:t>
      </w:r>
    </w:p>
    <w:p w14:paraId="26C02B44" w14:textId="77777777" w:rsidR="004440D1" w:rsidRDefault="00000000">
      <w:pPr>
        <w:spacing w:after="80" w:line="240" w:lineRule="auto"/>
        <w:jc w:val="center"/>
      </w:pPr>
      <w:r>
        <w:rPr>
          <w:b/>
        </w:rPr>
        <w:t>Vellore Institute of Technology, Vellore</w:t>
      </w:r>
    </w:p>
    <w:p w14:paraId="3548A8DE" w14:textId="77777777" w:rsidR="004440D1" w:rsidRDefault="00000000">
      <w:pPr>
        <w:spacing w:after="0" w:line="240" w:lineRule="auto"/>
        <w:jc w:val="center"/>
        <w:sectPr w:rsidR="008A5109" w:rsidSect="00034616">
          <w:footerReference w:type="default" r:id="rId20"/>
          <w:type w:val="nextPage"/>
          <w:pgSz w:w="12240" w:h="15840"/>
          <w:pgMar w:top="1224" w:right="1224" w:bottom="1152" w:left="1728" w:header="720" w:footer="720" w:gutter="0"/>
          <w:cols w:space="720"/>
          <w:docGrid w:linePitch="360"/>
          <w:pgNumType w:fmt="decimal" w:start="1"/>
        </w:sectPr>
      </w:pPr>
      <w:r>
        <w:rPr>
          <w:b/>
        </w:rPr>
        <w:t>OCTOBER 2026</w:t>
      </w:r>
    </w:p>
    <w:p w14:paraId="3F832C55" w14:textId="77777777" w:rsidR="008A5109" w:rsidRDefault="00000000">
      <w:pPr>
        <w:pStyle w:val="Heading1"/>
        <w:pageBreakBefore w:val="0"/>
      </w:pPr>
      <w:bookmarkStart w:id="0" w:name="hdi_ref_0"/>
      <w:r>
        <w:rPr>
          <w:rFonts w:ascii="Times New Roman" w:hAnsi="Times New Roman"/>
        </w:rPr>
        <w:lastRenderedPageBreak/>
        <w:t>PROJECT OVERVIEW</w:t>
      </w:r>
      <w:bookmarkEnd w:id="0"/>
    </w:p>
    <w:p w14:paraId="264890FF" w14:textId="77777777" w:rsidR="008A5109" w:rsidRDefault="00000000">
      <w:pPr>
        <w:jc w:val="both"/>
      </w:pPr>
      <w:r>
        <w:t>This project implements an evidence-linked herb-drug interaction research screening system. Its molecular component predicts compound inhibition potency from chemical structure; its evidence component retrieves study-specific human pharmacokinetic findings. Keeping those outputs separate makes their provenance, supported mechanisms and limits visible to an investigator.</w:t>
      </w:r>
    </w:p>
    <w:p w14:paraId="48EF517D" w14:textId="77777777" w:rsidR="008A5109" w:rsidRDefault="00000000">
      <w:pPr>
        <w:jc w:val="both"/>
      </w:pPr>
      <w:r>
        <w:t>Interaction research can be affected by outcome leakage, repeated citations and differences between experimental contexts. These are methodological risks to audit in a particular dataset and prediction task, not established defects of every published interaction model. The implemented workflow excludes publication text and entity names from molecular features, separates evaluation roles and records source provenance.</w:t>
      </w:r>
    </w:p>
    <w:p w14:paraId="201613DC" w14:textId="77777777" w:rsidR="008A5109" w:rsidRDefault="00000000">
      <w:pPr>
        <w:jc w:val="both"/>
      </w:pPr>
      <w:r>
        <w:t>The offline workflow starts from 18,833 official ChEMBL 37 assay records. Screening retains 15,213 measurements; document-balanced aggregation produces 13,242 structure-target samples for the scaffold experiment. Models estimate pIC</w:t>
      </w:r>
      <w:r>
        <w:rPr>
          <w:vertAlign w:val="subscript"/>
        </w:rPr>
        <w:t>50</w:t>
      </w:r>
      <w:r>
        <w:t xml:space="preserve"> across CYP3A4, CYP2C9, CYP2C19, CYP2D6, CYP1A2 and ABCB1. Scaffold and publication separation are evaluated in distinct experiments: the scaffold experiment may share source documents, while the publication experiment purges cross-role structures [18].</w:t>
      </w:r>
    </w:p>
    <w:p w14:paraId="0A04A489" w14:textId="77777777" w:rsidR="008A5109" w:rsidRDefault="00000000">
      <w:pPr>
        <w:jc w:val="both"/>
      </w:pPr>
      <w:r>
        <w:t>The online workflow connects a selected botanical to a sourced constituent where available, filters assay estimates through cited drug pathways and retrieves a small catalog of human PK findings. It does not estimate drug clearance fractions or infer human exposure from a compound IC</w:t>
      </w:r>
      <w:r>
        <w:rPr>
          <w:vertAlign w:val="subscript"/>
        </w:rPr>
        <w:t>50</w:t>
      </w:r>
      <w:r>
        <w:t>. Publication/endpoint deduplication, preparation-context checks and an induction-inhibition guard support an auditable explanation. Clinical prediction remains unavailable; fixed abstention is displayed independently of the assay intervals.</w:t>
      </w:r>
    </w:p>
    <w:p w14:paraId="6F28C56D" w14:textId="77777777" w:rsidR="008A5109" w:rsidRDefault="00000000">
      <w:pPr>
        <w:pStyle w:val="Heading1"/>
        <w:pageBreakBefore/>
      </w:pPr>
      <w:bookmarkStart w:id="1" w:name="hdi_ref_1"/>
      <w:r>
        <w:rPr>
          <w:rFonts w:ascii="Times New Roman" w:hAnsi="Times New Roman"/>
        </w:rPr>
        <w:lastRenderedPageBreak/>
        <w:t>ABSTRACT</w:t>
      </w:r>
      <w:bookmarkEnd w:id="1"/>
    </w:p>
    <w:p w14:paraId="0A2AE681" w14:textId="77777777" w:rsidR="008A5109" w:rsidRDefault="00000000">
      <w:pPr>
        <w:jc w:val="both"/>
      </w:pPr>
      <w:r>
        <w:t>Herb-drug interaction research requires a distinction between molecular activity and effects observed in humans. This project implements an evidence-linked screening system combining structure-based assay prediction with traceable human pharmacokinetic findings.</w:t>
      </w:r>
    </w:p>
    <w:p w14:paraId="2AD998BD" w14:textId="77777777" w:rsidR="008A5109" w:rsidRDefault="00000000">
      <w:pPr>
        <w:jc w:val="both"/>
      </w:pPr>
      <w:r>
        <w:t>From 18,833 official ChEMBL 37 records, screening retains 15,213 measurements and aggregation yields 13,242 structure-target samples for scaffold evaluation. Morgan fingerprints support four regression comparisons across five CYP enzymes and the ABCB1 transporter. Separate training, validation, interval-calibration and test roles prevent their labels from being reused across fitting stages. Selected models achieve pooled scaffold-test MAE 0.4974 pIC</w:t>
      </w:r>
      <w:r>
        <w:rPr>
          <w:vertAlign w:val="subscript"/>
        </w:rPr>
        <w:t>50</w:t>
      </w:r>
      <w:r>
        <w:t>, RMSE 0.6521 and R</w:t>
      </w:r>
      <w:r>
        <w:rPr>
          <w:vertAlign w:val="superscript"/>
        </w:rPr>
        <w:t>2</w:t>
      </w:r>
      <w:r>
        <w:t xml:space="preserve"> 0.3440 over 2,116 samples. Publication-separated evaluation yields MAE 0.6613 over 2,076 samples. Nominal 90% split-conformal intervals have observed coverage of 87.4%-95.5% on scaffold targets and 79.4%-95.8% on publication-held-out targets; coverage under chemical or source shift is not guaranteed.</w:t>
      </w:r>
    </w:p>
    <w:p w14:paraId="78C55523" w14:textId="77777777" w:rsidR="008A5109" w:rsidRDefault="00000000">
      <w:pPr>
        <w:jc w:val="both"/>
      </w:pPr>
      <w:r>
        <w:t>The Streamlit demonstration adds sourced constituent structures, study-specific human findings, publication deduplication, mechanism/context checks and downloadable reports. Independent metric recomputation and focused software tests verify engineering behavior. The contribution is an auditable assay-modeling and research-screening workflow, not a validated clinical predictor. Independent clinical labels, preparation-specific exposure information and a separately reviewed evaluation protocol remain necessary for the original clinical objective.</w:t>
      </w:r>
    </w:p>
    <w:p w14:paraId="45600EAF" w14:textId="77777777" w:rsidR="008A5109" w:rsidRDefault="00000000">
      <w:pPr>
        <w:jc w:val="both"/>
      </w:pPr>
      <w:r>
        <w:t>Keywords: herb-drug interactions; molecular fingerprints; ChEMBL; pharmacokinetics; conformal prediction; evidence provenance.</w:t>
      </w:r>
    </w:p>
    <w:p w14:paraId="112029DE" w14:textId="77777777" w:rsidR="008A5109" w:rsidRDefault="00000000">
      <w:pPr>
        <w:pStyle w:val="Heading1"/>
        <w:pageBreakBefore/>
      </w:pPr>
      <w:r>
        <w:rPr>
          <w:rFonts w:ascii="Times New Roman" w:hAnsi="Times New Roman"/>
        </w:rPr>
        <w:lastRenderedPageBreak/>
        <w:t>TABLE OF CONTENTS</w:t>
      </w:r>
    </w:p>
    <w:p w14:paraId="19F2D868" w14:textId="609A8906" w:rsidR="004440D1" w:rsidRDefault="00000000">
      <w:pPr>
        <w:tabs>
          <w:tab w:val="right" w:leader="dot" w:pos="9000"/>
        </w:tabs>
        <w:spacing w:after="120" w:line="276" w:lineRule="auto"/>
      </w:pPr>
      <w:r>
        <w:t>Project Overview</w:t>
        <w:tab/>
        <w:t>i</w:t>
      </w:r>
    </w:p>
    <w:p w14:paraId="1464CE73" w14:textId="251D336A" w:rsidR="004440D1" w:rsidRDefault="00000000">
      <w:pPr>
        <w:tabs>
          <w:tab w:val="right" w:leader="dot" w:pos="9000"/>
        </w:tabs>
        <w:spacing w:after="120" w:line="276" w:lineRule="auto"/>
      </w:pPr>
      <w:r>
        <w:t>Abstract</w:t>
        <w:tab/>
        <w:t>ii</w:t>
      </w:r>
    </w:p>
    <w:p w14:paraId="7A50BBE2" w14:textId="775FC680" w:rsidR="004440D1" w:rsidRDefault="00000000">
      <w:pPr>
        <w:tabs>
          <w:tab w:val="right" w:leader="dot" w:pos="9000"/>
        </w:tabs>
        <w:spacing w:after="120" w:line="276" w:lineRule="auto"/>
      </w:pPr>
      <w:r>
        <w:t>List Of Figures</w:t>
        <w:tab/>
        <w:t>v</w:t>
      </w:r>
    </w:p>
    <w:p w14:paraId="0644D074" w14:textId="674EE8A7" w:rsidR="004440D1" w:rsidRDefault="00000000">
      <w:pPr>
        <w:tabs>
          <w:tab w:val="right" w:leader="dot" w:pos="9000"/>
        </w:tabs>
        <w:spacing w:after="120" w:line="276" w:lineRule="auto"/>
      </w:pPr>
      <w:r>
        <w:t>List Of Tables</w:t>
        <w:tab/>
        <w:t>vi</w:t>
      </w:r>
    </w:p>
    <w:p w14:paraId="18FDB5A7" w14:textId="0E2AEBB8" w:rsidR="004440D1" w:rsidRDefault="00000000">
      <w:pPr>
        <w:tabs>
          <w:tab w:val="right" w:leader="dot" w:pos="9000"/>
        </w:tabs>
        <w:spacing w:after="120" w:line="276" w:lineRule="auto"/>
      </w:pPr>
      <w:r>
        <w:t>List Of Abbreviations</w:t>
        <w:tab/>
        <w:t>vii</w:t>
      </w:r>
    </w:p>
    <w:p w14:paraId="582E9465" w14:textId="1963D48A" w:rsidR="004440D1" w:rsidRDefault="00000000">
      <w:pPr>
        <w:tabs>
          <w:tab w:val="right" w:leader="dot" w:pos="9000"/>
        </w:tabs>
        <w:spacing w:after="120" w:line="276" w:lineRule="auto"/>
      </w:pPr>
      <w:r>
        <w:t>Chapter 1: Introduction</w:t>
      </w:r>
      <w:r>
        <w:tab/>
      </w:r>
      <w:r>
        <w:fldChar w:fldCharType="begin"/>
      </w:r>
      <w:r>
        <w:instrText xml:space="preserve"> PAGEREF hdi_ref_5 \h </w:instrText>
      </w:r>
      <w:r>
        <w:fldChar w:fldCharType="separate"/>
      </w:r>
      <w:r w:rsidR="006F1CC7">
        <w:rPr>
          <w:noProof/>
        </w:rPr>
        <w:t>1</w:t>
      </w:r>
      <w:r>
        <w:fldChar w:fldCharType="end"/>
      </w:r>
    </w:p>
    <w:p w14:paraId="0DFFC089" w14:textId="3A397BB7" w:rsidR="004440D1" w:rsidRDefault="00000000">
      <w:pPr>
        <w:tabs>
          <w:tab w:val="right" w:leader="dot" w:pos="9000"/>
        </w:tabs>
        <w:spacing w:after="120" w:line="276" w:lineRule="auto"/>
      </w:pPr>
      <w:r>
        <w:t>1.1 Background and motivation</w:t>
      </w:r>
      <w:r>
        <w:tab/>
      </w:r>
      <w:r>
        <w:fldChar w:fldCharType="begin"/>
      </w:r>
      <w:r>
        <w:instrText xml:space="preserve"> PAGEREF hdi_ref_6 \h </w:instrText>
      </w:r>
      <w:r>
        <w:fldChar w:fldCharType="separate"/>
      </w:r>
      <w:r w:rsidR="006F1CC7">
        <w:rPr>
          <w:noProof/>
        </w:rPr>
        <w:t>1</w:t>
      </w:r>
      <w:r>
        <w:fldChar w:fldCharType="end"/>
      </w:r>
    </w:p>
    <w:p w14:paraId="2789F314" w14:textId="5D0C939C" w:rsidR="004440D1" w:rsidRDefault="00000000">
      <w:pPr>
        <w:tabs>
          <w:tab w:val="right" w:leader="dot" w:pos="9000"/>
        </w:tabs>
        <w:spacing w:after="120" w:line="276" w:lineRule="auto"/>
      </w:pPr>
      <w:r>
        <w:t>1.2 Problem statement</w:t>
      </w:r>
      <w:r>
        <w:tab/>
      </w:r>
      <w:r>
        <w:fldChar w:fldCharType="begin"/>
      </w:r>
      <w:r>
        <w:instrText xml:space="preserve"> PAGEREF hdi_ref_7 \h </w:instrText>
      </w:r>
      <w:r>
        <w:fldChar w:fldCharType="separate"/>
      </w:r>
      <w:r w:rsidR="006F1CC7">
        <w:rPr>
          <w:noProof/>
        </w:rPr>
        <w:t>1</w:t>
      </w:r>
      <w:r>
        <w:fldChar w:fldCharType="end"/>
      </w:r>
    </w:p>
    <w:p w14:paraId="723F1FA7" w14:textId="5D8B01E8" w:rsidR="004440D1" w:rsidRDefault="00000000">
      <w:pPr>
        <w:tabs>
          <w:tab w:val="right" w:leader="dot" w:pos="9000"/>
        </w:tabs>
        <w:spacing w:after="120" w:line="276" w:lineRule="auto"/>
      </w:pPr>
      <w:r>
        <w:t>1.3 Objectives</w:t>
      </w:r>
      <w:r>
        <w:tab/>
      </w:r>
      <w:r>
        <w:fldChar w:fldCharType="begin"/>
      </w:r>
      <w:r>
        <w:instrText xml:space="preserve"> PAGEREF hdi_ref_8 \h </w:instrText>
      </w:r>
      <w:r>
        <w:fldChar w:fldCharType="separate"/>
      </w:r>
      <w:r w:rsidR="006F1CC7">
        <w:rPr>
          <w:noProof/>
        </w:rPr>
        <w:t>2</w:t>
      </w:r>
      <w:r>
        <w:fldChar w:fldCharType="end"/>
      </w:r>
    </w:p>
    <w:p w14:paraId="7AAE3E41" w14:textId="5E1181AA" w:rsidR="004440D1" w:rsidRDefault="00000000">
      <w:pPr>
        <w:tabs>
          <w:tab w:val="right" w:leader="dot" w:pos="9000"/>
        </w:tabs>
        <w:spacing w:after="120" w:line="276" w:lineRule="auto"/>
      </w:pPr>
      <w:r>
        <w:t>1.4 Scope and contributions</w:t>
      </w:r>
      <w:r>
        <w:tab/>
      </w:r>
      <w:r>
        <w:fldChar w:fldCharType="begin"/>
      </w:r>
      <w:r>
        <w:instrText xml:space="preserve"> PAGEREF hdi_ref_9 \h </w:instrText>
      </w:r>
      <w:r>
        <w:fldChar w:fldCharType="separate"/>
      </w:r>
      <w:r w:rsidR="006F1CC7">
        <w:rPr>
          <w:noProof/>
        </w:rPr>
        <w:t>2</w:t>
      </w:r>
      <w:r>
        <w:fldChar w:fldCharType="end"/>
      </w:r>
    </w:p>
    <w:p w14:paraId="099735BC" w14:textId="31E9B1E6" w:rsidR="004440D1" w:rsidRDefault="00000000">
      <w:pPr>
        <w:tabs>
          <w:tab w:val="right" w:leader="dot" w:pos="9000"/>
        </w:tabs>
        <w:spacing w:after="120" w:line="276" w:lineRule="auto"/>
      </w:pPr>
      <w:r>
        <w:t>1.5 Organisation of the report</w:t>
      </w:r>
      <w:r>
        <w:tab/>
      </w:r>
      <w:r>
        <w:fldChar w:fldCharType="begin"/>
      </w:r>
      <w:r>
        <w:instrText xml:space="preserve"> PAGEREF hdi_ref_10 \h </w:instrText>
      </w:r>
      <w:r>
        <w:fldChar w:fldCharType="separate"/>
      </w:r>
      <w:r w:rsidR="006F1CC7">
        <w:rPr>
          <w:noProof/>
        </w:rPr>
        <w:t>3</w:t>
      </w:r>
      <w:r>
        <w:fldChar w:fldCharType="end"/>
      </w:r>
    </w:p>
    <w:p w14:paraId="08F512FD" w14:textId="4633D49E" w:rsidR="004440D1" w:rsidRDefault="00000000">
      <w:pPr>
        <w:tabs>
          <w:tab w:val="right" w:leader="dot" w:pos="9000"/>
        </w:tabs>
        <w:spacing w:after="120" w:line="276" w:lineRule="auto"/>
      </w:pPr>
      <w:r>
        <w:t>Chapter 2: Literature Review</w:t>
      </w:r>
      <w:r>
        <w:tab/>
      </w:r>
      <w:r>
        <w:fldChar w:fldCharType="begin"/>
      </w:r>
      <w:r>
        <w:instrText xml:space="preserve"> PAGEREF hdi_ref_11 \h </w:instrText>
      </w:r>
      <w:r>
        <w:fldChar w:fldCharType="separate"/>
      </w:r>
      <w:r w:rsidR="006F1CC7">
        <w:rPr>
          <w:noProof/>
        </w:rPr>
        <w:t>4</w:t>
      </w:r>
      <w:r>
        <w:fldChar w:fldCharType="end"/>
      </w:r>
    </w:p>
    <w:p w14:paraId="3CE63566" w14:textId="706F8247" w:rsidR="004440D1" w:rsidRDefault="00000000">
      <w:pPr>
        <w:tabs>
          <w:tab w:val="right" w:leader="dot" w:pos="9000"/>
        </w:tabs>
        <w:spacing w:after="120" w:line="276" w:lineRule="auto"/>
      </w:pPr>
      <w:r>
        <w:t>2.1 Related research and existing systems</w:t>
      </w:r>
      <w:r>
        <w:tab/>
      </w:r>
      <w:r>
        <w:fldChar w:fldCharType="begin"/>
      </w:r>
      <w:r>
        <w:instrText xml:space="preserve"> PAGEREF hdi_ref_12 \h </w:instrText>
      </w:r>
      <w:r>
        <w:fldChar w:fldCharType="separate"/>
      </w:r>
      <w:r w:rsidR="006F1CC7">
        <w:rPr>
          <w:noProof/>
        </w:rPr>
        <w:t>4</w:t>
      </w:r>
      <w:r>
        <w:fldChar w:fldCharType="end"/>
      </w:r>
    </w:p>
    <w:p w14:paraId="669B5A73" w14:textId="0E6E06C8" w:rsidR="004440D1" w:rsidRDefault="00000000">
      <w:pPr>
        <w:tabs>
          <w:tab w:val="right" w:leader="dot" w:pos="9000"/>
        </w:tabs>
        <w:spacing w:after="120" w:line="276" w:lineRule="auto"/>
      </w:pPr>
      <w:r>
        <w:t>2.2 Comparative analysis</w:t>
      </w:r>
      <w:r>
        <w:tab/>
      </w:r>
      <w:r>
        <w:fldChar w:fldCharType="begin"/>
      </w:r>
      <w:r>
        <w:instrText xml:space="preserve"> PAGEREF hdi_ref_13 \h </w:instrText>
      </w:r>
      <w:r>
        <w:fldChar w:fldCharType="separate"/>
      </w:r>
      <w:r w:rsidR="006F1CC7">
        <w:rPr>
          <w:noProof/>
        </w:rPr>
        <w:t>4</w:t>
      </w:r>
      <w:r>
        <w:fldChar w:fldCharType="end"/>
      </w:r>
    </w:p>
    <w:p w14:paraId="70E9EA28" w14:textId="59FEEF99" w:rsidR="004440D1" w:rsidRDefault="00000000">
      <w:pPr>
        <w:tabs>
          <w:tab w:val="right" w:leader="dot" w:pos="9000"/>
        </w:tabs>
        <w:spacing w:after="120" w:line="276" w:lineRule="auto"/>
      </w:pPr>
      <w:r>
        <w:t>2.3 Research or implementation gap</w:t>
      </w:r>
      <w:r>
        <w:tab/>
      </w:r>
      <w:r>
        <w:fldChar w:fldCharType="begin"/>
      </w:r>
      <w:r>
        <w:instrText xml:space="preserve"> PAGEREF hdi_ref_14 \h </w:instrText>
      </w:r>
      <w:r>
        <w:fldChar w:fldCharType="separate"/>
      </w:r>
      <w:r w:rsidR="006F1CC7">
        <w:rPr>
          <w:noProof/>
        </w:rPr>
        <w:t>5</w:t>
      </w:r>
      <w:r>
        <w:fldChar w:fldCharType="end"/>
      </w:r>
    </w:p>
    <w:p w14:paraId="58C8EE73" w14:textId="7A1E8207" w:rsidR="004440D1" w:rsidRDefault="00000000">
      <w:pPr>
        <w:tabs>
          <w:tab w:val="right" w:leader="dot" w:pos="9000"/>
        </w:tabs>
        <w:spacing w:after="120" w:line="276" w:lineRule="auto"/>
      </w:pPr>
      <w:r>
        <w:t>Chapter 3: Requirements And Methodology</w:t>
      </w:r>
      <w:r>
        <w:tab/>
      </w:r>
      <w:r>
        <w:fldChar w:fldCharType="begin"/>
      </w:r>
      <w:r>
        <w:instrText xml:space="preserve"> PAGEREF hdi_ref_15 \h </w:instrText>
      </w:r>
      <w:r>
        <w:fldChar w:fldCharType="separate"/>
      </w:r>
      <w:r w:rsidR="006F1CC7">
        <w:rPr>
          <w:noProof/>
        </w:rPr>
        <w:t>6</w:t>
      </w:r>
      <w:r>
        <w:fldChar w:fldCharType="end"/>
      </w:r>
    </w:p>
    <w:p w14:paraId="2F709D9A" w14:textId="697B9042" w:rsidR="004440D1" w:rsidRDefault="00000000">
      <w:pPr>
        <w:tabs>
          <w:tab w:val="right" w:leader="dot" w:pos="9000"/>
        </w:tabs>
        <w:spacing w:after="120" w:line="276" w:lineRule="auto"/>
      </w:pPr>
      <w:r>
        <w:t>3.1 System requirements and assumptions</w:t>
      </w:r>
      <w:r>
        <w:tab/>
      </w:r>
      <w:r>
        <w:fldChar w:fldCharType="begin"/>
      </w:r>
      <w:r>
        <w:instrText xml:space="preserve"> PAGEREF hdi_ref_16 \h </w:instrText>
      </w:r>
      <w:r>
        <w:fldChar w:fldCharType="separate"/>
      </w:r>
      <w:r w:rsidR="006F1CC7">
        <w:rPr>
          <w:noProof/>
        </w:rPr>
        <w:t>6</w:t>
      </w:r>
      <w:r>
        <w:fldChar w:fldCharType="end"/>
      </w:r>
    </w:p>
    <w:p w14:paraId="0E5ADF09" w14:textId="4F690A3C" w:rsidR="004440D1" w:rsidRDefault="00000000">
      <w:pPr>
        <w:tabs>
          <w:tab w:val="right" w:leader="dot" w:pos="9000"/>
        </w:tabs>
        <w:spacing w:after="120" w:line="276" w:lineRule="auto"/>
      </w:pPr>
      <w:r>
        <w:t>3.2 Dataset, materials, software and hardware</w:t>
      </w:r>
      <w:r>
        <w:tab/>
      </w:r>
      <w:r>
        <w:fldChar w:fldCharType="begin"/>
      </w:r>
      <w:r>
        <w:instrText xml:space="preserve"> PAGEREF hdi_ref_17 \h </w:instrText>
      </w:r>
      <w:r>
        <w:fldChar w:fldCharType="separate"/>
      </w:r>
      <w:r w:rsidR="006F1CC7">
        <w:rPr>
          <w:noProof/>
        </w:rPr>
        <w:t>6</w:t>
      </w:r>
      <w:r>
        <w:fldChar w:fldCharType="end"/>
      </w:r>
    </w:p>
    <w:p w14:paraId="4F2B17B0" w14:textId="0A52457B" w:rsidR="004440D1" w:rsidRDefault="00000000">
      <w:pPr>
        <w:tabs>
          <w:tab w:val="right" w:leader="dot" w:pos="9000"/>
        </w:tabs>
        <w:spacing w:after="120" w:line="276" w:lineRule="auto"/>
      </w:pPr>
      <w:r>
        <w:t>3.3 Proposed architecture and workflow</w:t>
      </w:r>
      <w:r>
        <w:tab/>
      </w:r>
      <w:r>
        <w:fldChar w:fldCharType="begin"/>
      </w:r>
      <w:r>
        <w:instrText xml:space="preserve"> PAGEREF hdi_ref_18 \h </w:instrText>
      </w:r>
      <w:r>
        <w:fldChar w:fldCharType="separate"/>
      </w:r>
      <w:r w:rsidR="006F1CC7">
        <w:rPr>
          <w:noProof/>
        </w:rPr>
        <w:t>8</w:t>
      </w:r>
      <w:r>
        <w:fldChar w:fldCharType="end"/>
      </w:r>
    </w:p>
    <w:p w14:paraId="4338965A" w14:textId="64A75835" w:rsidR="004440D1" w:rsidRDefault="00000000">
      <w:pPr>
        <w:tabs>
          <w:tab w:val="right" w:leader="dot" w:pos="9000"/>
        </w:tabs>
        <w:spacing w:after="120" w:line="276" w:lineRule="auto"/>
      </w:pPr>
      <w:r>
        <w:t>3.4 Algorithms and implementation strategy</w:t>
      </w:r>
      <w:r>
        <w:tab/>
      </w:r>
      <w:r>
        <w:fldChar w:fldCharType="begin"/>
      </w:r>
      <w:r>
        <w:instrText xml:space="preserve"> PAGEREF hdi_ref_19 \h </w:instrText>
      </w:r>
      <w:r>
        <w:fldChar w:fldCharType="separate"/>
      </w:r>
      <w:r w:rsidR="006F1CC7">
        <w:rPr>
          <w:noProof/>
        </w:rPr>
        <w:t>9</w:t>
      </w:r>
      <w:r>
        <w:fldChar w:fldCharType="end"/>
      </w:r>
    </w:p>
    <w:p w14:paraId="6CECC53F" w14:textId="43C8B9A2" w:rsidR="004440D1" w:rsidRDefault="00000000">
      <w:pPr>
        <w:tabs>
          <w:tab w:val="right" w:leader="dot" w:pos="9000"/>
        </w:tabs>
        <w:spacing w:after="120" w:line="276" w:lineRule="auto"/>
      </w:pPr>
      <w:r>
        <w:t>3.5 Evaluation metrics</w:t>
      </w:r>
      <w:r>
        <w:tab/>
      </w:r>
      <w:r>
        <w:fldChar w:fldCharType="begin"/>
      </w:r>
      <w:r>
        <w:instrText xml:space="preserve"> PAGEREF hdi_ref_20 \h </w:instrText>
      </w:r>
      <w:r>
        <w:fldChar w:fldCharType="separate"/>
      </w:r>
      <w:r w:rsidR="006F1CC7">
        <w:rPr>
          <w:noProof/>
        </w:rPr>
        <w:t>11</w:t>
      </w:r>
      <w:r>
        <w:fldChar w:fldCharType="end"/>
      </w:r>
    </w:p>
    <w:p w14:paraId="5257F7D3" w14:textId="67F1AE3C" w:rsidR="004440D1" w:rsidRDefault="00000000">
      <w:pPr>
        <w:tabs>
          <w:tab w:val="right" w:leader="dot" w:pos="9000"/>
        </w:tabs>
        <w:spacing w:after="120" w:line="276" w:lineRule="auto"/>
      </w:pPr>
      <w:r>
        <w:t>Chapter 4: Implementation And Experiments</w:t>
      </w:r>
      <w:r>
        <w:tab/>
      </w:r>
      <w:r>
        <w:fldChar w:fldCharType="begin"/>
      </w:r>
      <w:r>
        <w:instrText xml:space="preserve"> PAGEREF hdi_ref_21 \h </w:instrText>
      </w:r>
      <w:r>
        <w:fldChar w:fldCharType="separate"/>
      </w:r>
      <w:r w:rsidR="006F1CC7">
        <w:rPr>
          <w:noProof/>
        </w:rPr>
        <w:t>12</w:t>
      </w:r>
      <w:r>
        <w:fldChar w:fldCharType="end"/>
      </w:r>
    </w:p>
    <w:p w14:paraId="13CB2FBF" w14:textId="1151DD0C" w:rsidR="004440D1" w:rsidRDefault="00000000">
      <w:pPr>
        <w:tabs>
          <w:tab w:val="right" w:leader="dot" w:pos="9000"/>
        </w:tabs>
        <w:spacing w:after="120" w:line="276" w:lineRule="auto"/>
      </w:pPr>
      <w:r>
        <w:t>4.1 Implementation details</w:t>
      </w:r>
      <w:r>
        <w:tab/>
      </w:r>
      <w:r>
        <w:fldChar w:fldCharType="begin"/>
      </w:r>
      <w:r>
        <w:instrText xml:space="preserve"> PAGEREF hdi_ref_22 \h </w:instrText>
      </w:r>
      <w:r>
        <w:fldChar w:fldCharType="separate"/>
      </w:r>
      <w:r w:rsidR="006F1CC7">
        <w:rPr>
          <w:noProof/>
        </w:rPr>
        <w:t>12</w:t>
      </w:r>
      <w:r>
        <w:fldChar w:fldCharType="end"/>
      </w:r>
    </w:p>
    <w:p w14:paraId="74F380E9" w14:textId="035E640C" w:rsidR="004440D1" w:rsidRDefault="00000000">
      <w:pPr>
        <w:tabs>
          <w:tab w:val="right" w:leader="dot" w:pos="9000"/>
        </w:tabs>
        <w:spacing w:after="120" w:line="276" w:lineRule="auto"/>
      </w:pPr>
      <w:r>
        <w:t>4.2 Experimental setup</w:t>
      </w:r>
      <w:r>
        <w:tab/>
      </w:r>
      <w:r>
        <w:fldChar w:fldCharType="begin"/>
      </w:r>
      <w:r>
        <w:instrText xml:space="preserve"> PAGEREF hdi_ref_23 \h </w:instrText>
      </w:r>
      <w:r>
        <w:fldChar w:fldCharType="separate"/>
      </w:r>
      <w:r w:rsidR="006F1CC7">
        <w:rPr>
          <w:noProof/>
        </w:rPr>
        <w:t>12</w:t>
      </w:r>
      <w:r>
        <w:fldChar w:fldCharType="end"/>
      </w:r>
    </w:p>
    <w:p w14:paraId="3CA55245" w14:textId="06753357" w:rsidR="004440D1" w:rsidRDefault="00000000">
      <w:pPr>
        <w:tabs>
          <w:tab w:val="right" w:leader="dot" w:pos="9000"/>
        </w:tabs>
        <w:spacing w:after="120" w:line="276" w:lineRule="auto"/>
      </w:pPr>
      <w:r>
        <w:t>4.3 Test cases and validation protocol</w:t>
      </w:r>
      <w:r>
        <w:tab/>
      </w:r>
      <w:r>
        <w:fldChar w:fldCharType="begin"/>
      </w:r>
      <w:r>
        <w:instrText xml:space="preserve"> PAGEREF hdi_ref_24 \h </w:instrText>
      </w:r>
      <w:r>
        <w:fldChar w:fldCharType="separate"/>
      </w:r>
      <w:r w:rsidR="006F1CC7">
        <w:rPr>
          <w:noProof/>
        </w:rPr>
        <w:t>14</w:t>
      </w:r>
      <w:r>
        <w:fldChar w:fldCharType="end"/>
      </w:r>
    </w:p>
    <w:p w14:paraId="2D520300" w14:textId="6D70F0C9" w:rsidR="004440D1" w:rsidRDefault="00000000">
      <w:pPr>
        <w:tabs>
          <w:tab w:val="right" w:leader="dot" w:pos="9000"/>
        </w:tabs>
        <w:spacing w:after="120" w:line="276" w:lineRule="auto"/>
      </w:pPr>
      <w:r>
        <w:t>4.4 Reproducibility details</w:t>
      </w:r>
      <w:r>
        <w:tab/>
      </w:r>
      <w:r>
        <w:fldChar w:fldCharType="begin"/>
      </w:r>
      <w:r>
        <w:instrText xml:space="preserve"> PAGEREF hdi_ref_25 \h </w:instrText>
      </w:r>
      <w:r>
        <w:fldChar w:fldCharType="separate"/>
      </w:r>
      <w:r w:rsidR="006F1CC7">
        <w:rPr>
          <w:noProof/>
        </w:rPr>
        <w:t>14</w:t>
      </w:r>
      <w:r>
        <w:fldChar w:fldCharType="end"/>
      </w:r>
    </w:p>
    <w:p w14:paraId="3E49D9FC" w14:textId="3F053194" w:rsidR="004440D1" w:rsidRDefault="00000000">
      <w:pPr>
        <w:tabs>
          <w:tab w:val="right" w:leader="dot" w:pos="9000"/>
        </w:tabs>
        <w:spacing w:after="120" w:line="276" w:lineRule="auto"/>
      </w:pPr>
      <w:r>
        <w:t>Chapter 5: Results And Discussion</w:t>
      </w:r>
      <w:r>
        <w:tab/>
      </w:r>
      <w:r>
        <w:fldChar w:fldCharType="begin"/>
      </w:r>
      <w:r>
        <w:instrText xml:space="preserve"> PAGEREF hdi_ref_26 \h </w:instrText>
      </w:r>
      <w:r>
        <w:fldChar w:fldCharType="separate"/>
      </w:r>
      <w:r w:rsidR="006F1CC7">
        <w:rPr>
          <w:noProof/>
        </w:rPr>
        <w:t>15</w:t>
      </w:r>
      <w:r>
        <w:fldChar w:fldCharType="end"/>
      </w:r>
    </w:p>
    <w:p w14:paraId="323C8139" w14:textId="0816FC45" w:rsidR="004440D1" w:rsidRDefault="00000000">
      <w:pPr>
        <w:tabs>
          <w:tab w:val="right" w:leader="dot" w:pos="9000"/>
        </w:tabs>
        <w:spacing w:after="120" w:line="276" w:lineRule="auto"/>
      </w:pPr>
      <w:r>
        <w:t>5.1 Quantitative and qualitative results</w:t>
      </w:r>
      <w:r>
        <w:tab/>
      </w:r>
      <w:r>
        <w:fldChar w:fldCharType="begin"/>
      </w:r>
      <w:r>
        <w:instrText xml:space="preserve"> PAGEREF hdi_ref_27 \h </w:instrText>
      </w:r>
      <w:r>
        <w:fldChar w:fldCharType="separate"/>
      </w:r>
      <w:r w:rsidR="006F1CC7">
        <w:rPr>
          <w:noProof/>
        </w:rPr>
        <w:t>15</w:t>
      </w:r>
      <w:r>
        <w:fldChar w:fldCharType="end"/>
      </w:r>
    </w:p>
    <w:p w14:paraId="56363807" w14:textId="3530B75E" w:rsidR="004440D1" w:rsidRDefault="00000000">
      <w:pPr>
        <w:tabs>
          <w:tab w:val="right" w:leader="dot" w:pos="9000"/>
        </w:tabs>
        <w:spacing w:after="120" w:line="276" w:lineRule="auto"/>
      </w:pPr>
      <w:r>
        <w:t>5.2 Comparison with baselines</w:t>
      </w:r>
      <w:r>
        <w:tab/>
      </w:r>
      <w:r>
        <w:fldChar w:fldCharType="begin"/>
      </w:r>
      <w:r>
        <w:instrText xml:space="preserve"> PAGEREF hdi_ref_28 \h </w:instrText>
      </w:r>
      <w:r>
        <w:fldChar w:fldCharType="separate"/>
      </w:r>
      <w:r w:rsidR="006F1CC7">
        <w:rPr>
          <w:noProof/>
        </w:rPr>
        <w:t>17</w:t>
      </w:r>
      <w:r>
        <w:fldChar w:fldCharType="end"/>
      </w:r>
    </w:p>
    <w:p w14:paraId="791059F4" w14:textId="331BA843" w:rsidR="004440D1" w:rsidRDefault="00000000">
      <w:pPr>
        <w:tabs>
          <w:tab w:val="right" w:leader="dot" w:pos="9000"/>
        </w:tabs>
        <w:spacing w:after="120" w:line="276" w:lineRule="auto"/>
      </w:pPr>
      <w:r>
        <w:lastRenderedPageBreak/>
        <w:t>5.3 Discussion and limitations</w:t>
      </w:r>
      <w:r>
        <w:tab/>
      </w:r>
      <w:r>
        <w:fldChar w:fldCharType="begin"/>
      </w:r>
      <w:r>
        <w:instrText xml:space="preserve"> PAGEREF hdi_ref_29 \h </w:instrText>
      </w:r>
      <w:r>
        <w:fldChar w:fldCharType="separate"/>
      </w:r>
      <w:r w:rsidR="006F1CC7">
        <w:rPr>
          <w:noProof/>
        </w:rPr>
        <w:t>17</w:t>
      </w:r>
      <w:r>
        <w:fldChar w:fldCharType="end"/>
      </w:r>
    </w:p>
    <w:p w14:paraId="0357D7AF" w14:textId="38BF97A1" w:rsidR="004440D1" w:rsidRDefault="00000000">
      <w:pPr>
        <w:tabs>
          <w:tab w:val="right" w:leader="dot" w:pos="9000"/>
        </w:tabs>
        <w:spacing w:after="120" w:line="276" w:lineRule="auto"/>
      </w:pPr>
      <w:r>
        <w:t>Chapter 6: Conclusion And Future Work</w:t>
      </w:r>
      <w:r>
        <w:tab/>
      </w:r>
      <w:r>
        <w:fldChar w:fldCharType="begin"/>
      </w:r>
      <w:r>
        <w:instrText xml:space="preserve"> PAGEREF hdi_ref_30 \h </w:instrText>
      </w:r>
      <w:r>
        <w:fldChar w:fldCharType="separate"/>
      </w:r>
      <w:r w:rsidR="006F1CC7">
        <w:rPr>
          <w:noProof/>
        </w:rPr>
        <w:t>18</w:t>
      </w:r>
      <w:r>
        <w:fldChar w:fldCharType="end"/>
      </w:r>
    </w:p>
    <w:p w14:paraId="5BFA1995" w14:textId="1E1F8E1B" w:rsidR="004440D1" w:rsidRDefault="00000000">
      <w:pPr>
        <w:tabs>
          <w:tab w:val="right" w:leader="dot" w:pos="9000"/>
        </w:tabs>
        <w:spacing w:after="120" w:line="276" w:lineRule="auto"/>
      </w:pPr>
      <w:r>
        <w:t>6.1 Conclusions and achievements</w:t>
      </w:r>
      <w:r>
        <w:tab/>
      </w:r>
      <w:r>
        <w:fldChar w:fldCharType="begin"/>
      </w:r>
      <w:r>
        <w:instrText xml:space="preserve"> PAGEREF hdi_ref_31 \h </w:instrText>
      </w:r>
      <w:r>
        <w:fldChar w:fldCharType="separate"/>
      </w:r>
      <w:r w:rsidR="006F1CC7">
        <w:rPr>
          <w:noProof/>
        </w:rPr>
        <w:t>18</w:t>
      </w:r>
      <w:r>
        <w:fldChar w:fldCharType="end"/>
      </w:r>
    </w:p>
    <w:p w14:paraId="24B44E22" w14:textId="518B1E89" w:rsidR="004440D1" w:rsidRDefault="00000000">
      <w:pPr>
        <w:tabs>
          <w:tab w:val="right" w:leader="dot" w:pos="9000"/>
        </w:tabs>
        <w:spacing w:after="120" w:line="276" w:lineRule="auto"/>
      </w:pPr>
      <w:r>
        <w:t>6.2 Limitations</w:t>
      </w:r>
      <w:r>
        <w:tab/>
      </w:r>
      <w:r>
        <w:fldChar w:fldCharType="begin"/>
      </w:r>
      <w:r>
        <w:instrText xml:space="preserve"> PAGEREF hdi_ref_32 \h </w:instrText>
      </w:r>
      <w:r>
        <w:fldChar w:fldCharType="separate"/>
      </w:r>
      <w:r w:rsidR="006F1CC7">
        <w:rPr>
          <w:noProof/>
        </w:rPr>
        <w:t>18</w:t>
      </w:r>
      <w:r>
        <w:fldChar w:fldCharType="end"/>
      </w:r>
    </w:p>
    <w:p w14:paraId="3426427F" w14:textId="08BD3554" w:rsidR="004440D1" w:rsidRDefault="00000000">
      <w:pPr>
        <w:tabs>
          <w:tab w:val="right" w:leader="dot" w:pos="9000"/>
        </w:tabs>
        <w:spacing w:after="120" w:line="276" w:lineRule="auto"/>
      </w:pPr>
      <w:r>
        <w:t>6.3 Future scope</w:t>
      </w:r>
      <w:r>
        <w:tab/>
      </w:r>
      <w:r>
        <w:fldChar w:fldCharType="begin"/>
      </w:r>
      <w:r>
        <w:instrText xml:space="preserve"> PAGEREF hdi_ref_33 \h </w:instrText>
      </w:r>
      <w:r>
        <w:fldChar w:fldCharType="separate"/>
      </w:r>
      <w:r w:rsidR="006F1CC7">
        <w:rPr>
          <w:noProof/>
        </w:rPr>
        <w:t>19</w:t>
      </w:r>
      <w:r>
        <w:fldChar w:fldCharType="end"/>
      </w:r>
    </w:p>
    <w:p w14:paraId="3AD1DB4D" w14:textId="4DCAEE38" w:rsidR="004440D1" w:rsidRDefault="00000000">
      <w:pPr>
        <w:tabs>
          <w:tab w:val="right" w:leader="dot" w:pos="9000"/>
        </w:tabs>
        <w:spacing w:after="120" w:line="276" w:lineRule="auto"/>
      </w:pPr>
      <w:r>
        <w:t>References</w:t>
      </w:r>
      <w:r>
        <w:tab/>
      </w:r>
      <w:r>
        <w:fldChar w:fldCharType="begin"/>
      </w:r>
      <w:r>
        <w:instrText xml:space="preserve"> PAGEREF hdi_ref_34 \h </w:instrText>
      </w:r>
      <w:r>
        <w:fldChar w:fldCharType="separate"/>
      </w:r>
      <w:r w:rsidR="006F1CC7">
        <w:rPr>
          <w:noProof/>
        </w:rPr>
        <w:t>9</w:t>
      </w:r>
      <w:r>
        <w:fldChar w:fldCharType="end"/>
      </w:r>
    </w:p>
    <w:p w14:paraId="1FD6F8A9" w14:textId="10B404A1" w:rsidR="004440D1" w:rsidRDefault="00000000">
      <w:pPr>
        <w:tabs>
          <w:tab w:val="right" w:leader="dot" w:pos="9000"/>
        </w:tabs>
        <w:spacing w:after="120" w:line="276" w:lineRule="auto"/>
      </w:pPr>
      <w:r>
        <w:t>Appendix A: Supporting Material</w:t>
      </w:r>
      <w:r>
        <w:tab/>
      </w:r>
      <w:r>
        <w:fldChar w:fldCharType="begin"/>
      </w:r>
      <w:r>
        <w:instrText xml:space="preserve"> PAGEREF hdi_ref_35 \h </w:instrText>
      </w:r>
      <w:r>
        <w:fldChar w:fldCharType="separate"/>
      </w:r>
      <w:r w:rsidR="006F1CC7">
        <w:rPr>
          <w:noProof/>
        </w:rPr>
        <w:t>22</w:t>
      </w:r>
      <w:r>
        <w:fldChar w:fldCharType="end"/>
      </w:r>
    </w:p>
    <w:p w14:paraId="150E1D26" w14:textId="7066126F" w:rsidR="004440D1" w:rsidRDefault="00000000">
      <w:pPr>
        <w:tabs>
          <w:tab w:val="right" w:leader="dot" w:pos="9000"/>
        </w:tabs>
        <w:spacing w:after="120" w:line="276" w:lineRule="auto"/>
      </w:pPr>
      <w:r>
        <w:t>A.1 Reproduction commands</w:t>
      </w:r>
      <w:r>
        <w:tab/>
      </w:r>
      <w:r>
        <w:fldChar w:fldCharType="begin"/>
      </w:r>
      <w:r>
        <w:instrText xml:space="preserve"> PAGEREF hdi_ref_36 \h </w:instrText>
      </w:r>
      <w:r>
        <w:fldChar w:fldCharType="separate"/>
      </w:r>
      <w:r w:rsidR="006F1CC7">
        <w:rPr>
          <w:noProof/>
        </w:rPr>
        <w:t>22</w:t>
      </w:r>
      <w:r>
        <w:fldChar w:fldCharType="end"/>
      </w:r>
    </w:p>
    <w:p w14:paraId="598105A8" w14:textId="60D87165" w:rsidR="004440D1" w:rsidRDefault="00000000">
      <w:pPr>
        <w:tabs>
          <w:tab w:val="right" w:leader="dot" w:pos="9000"/>
        </w:tabs>
        <w:spacing w:after="120" w:line="276" w:lineRule="auto"/>
      </w:pPr>
      <w:r>
        <w:t>A.2 Demonstration walkthrough sequence</w:t>
      </w:r>
      <w:r>
        <w:tab/>
      </w:r>
      <w:r>
        <w:fldChar w:fldCharType="begin"/>
      </w:r>
      <w:r>
        <w:instrText xml:space="preserve"> PAGEREF hdi_ref_37 \h </w:instrText>
      </w:r>
      <w:r>
        <w:fldChar w:fldCharType="separate"/>
      </w:r>
      <w:r w:rsidR="006F1CC7">
        <w:rPr>
          <w:noProof/>
        </w:rPr>
        <w:t>22</w:t>
      </w:r>
      <w:r>
        <w:fldChar w:fldCharType="end"/>
      </w:r>
    </w:p>
    <w:p w14:paraId="45C2E97A" w14:textId="453E9C75" w:rsidR="004440D1" w:rsidRDefault="00000000">
      <w:pPr>
        <w:tabs>
          <w:tab w:val="right" w:leader="dot" w:pos="9000"/>
        </w:tabs>
        <w:spacing w:after="120" w:line="276" w:lineRule="auto"/>
      </w:pPr>
      <w:r>
        <w:t>A.3 Artifact and evidence trace</w:t>
      </w:r>
      <w:r>
        <w:tab/>
      </w:r>
      <w:r>
        <w:fldChar w:fldCharType="begin"/>
      </w:r>
      <w:r>
        <w:instrText xml:space="preserve"> PAGEREF hdi_ref_38 \h </w:instrText>
      </w:r>
      <w:r>
        <w:fldChar w:fldCharType="separate"/>
      </w:r>
      <w:r w:rsidR="006F1CC7">
        <w:rPr>
          <w:noProof/>
        </w:rPr>
        <w:t>23</w:t>
      </w:r>
      <w:r>
        <w:fldChar w:fldCharType="end"/>
      </w:r>
    </w:p>
    <w:p w14:paraId="6183D94A" w14:textId="75B318BB" w:rsidR="004440D1" w:rsidRDefault="00000000">
      <w:pPr>
        <w:tabs>
          <w:tab w:val="right" w:leader="dot" w:pos="9000"/>
        </w:tabs>
        <w:spacing w:after="120" w:line="276" w:lineRule="auto"/>
      </w:pPr>
      <w:r>
        <w:t>A.4 Interpretation of the exposure sensitivity control</w:t>
      </w:r>
      <w:r>
        <w:tab/>
      </w:r>
      <w:r>
        <w:fldChar w:fldCharType="begin"/>
      </w:r>
      <w:r>
        <w:instrText xml:space="preserve"> PAGEREF hdi_ref_39 \h </w:instrText>
      </w:r>
      <w:r>
        <w:fldChar w:fldCharType="separate"/>
      </w:r>
      <w:r w:rsidR="006F1CC7">
        <w:rPr>
          <w:noProof/>
        </w:rPr>
        <w:t>24</w:t>
      </w:r>
      <w:r>
        <w:fldChar w:fldCharType="end"/>
      </w:r>
    </w:p>
    <w:p w14:paraId="1A33E246" w14:textId="77777777" w:rsidR="008A5109" w:rsidRDefault="00000000">
      <w:pPr>
        <w:pStyle w:val="Heading1"/>
        <w:pageBreakBefore/>
      </w:pPr>
      <w:bookmarkStart w:id="2" w:name="hdi_ref_2"/>
      <w:r>
        <w:rPr>
          <w:rFonts w:ascii="Times New Roman" w:hAnsi="Times New Roman"/>
        </w:rPr>
        <w:lastRenderedPageBreak/>
        <w:t>LIST OF FIGURES</w:t>
      </w:r>
      <w:bookmarkEnd w:id="2"/>
    </w:p>
    <w:p w14:paraId="537C4A9B" w14:textId="164223C8" w:rsidR="004440D1" w:rsidRDefault="00000000">
      <w:pPr>
        <w:tabs>
          <w:tab w:val="right" w:leader="dot" w:pos="9000"/>
        </w:tabs>
        <w:spacing w:after="120" w:line="276" w:lineRule="auto"/>
      </w:pPr>
      <w:r>
        <w:t>Figure 1 Data roles and current evidence availability</w:t>
      </w:r>
      <w:r>
        <w:tab/>
      </w:r>
      <w:r>
        <w:fldChar w:fldCharType="begin"/>
      </w:r>
      <w:r>
        <w:instrText xml:space="preserve"> PAGEREF hdi_ref_40 \h </w:instrText>
      </w:r>
      <w:r>
        <w:fldChar w:fldCharType="separate"/>
      </w:r>
      <w:r w:rsidR="006F1CC7">
        <w:rPr>
          <w:noProof/>
        </w:rPr>
        <w:t>7</w:t>
      </w:r>
      <w:r>
        <w:fldChar w:fldCharType="end"/>
      </w:r>
    </w:p>
    <w:p w14:paraId="6246F878" w14:textId="3DDE32FC" w:rsidR="004440D1" w:rsidRDefault="00000000">
      <w:pPr>
        <w:tabs>
          <w:tab w:val="right" w:leader="dot" w:pos="9000"/>
        </w:tabs>
        <w:spacing w:after="120" w:line="276" w:lineRule="auto"/>
      </w:pPr>
      <w:r>
        <w:t>Figure 2 Implemented assay modeling and evidence linked screening architecture</w:t>
      </w:r>
      <w:r>
        <w:tab/>
      </w:r>
      <w:r>
        <w:fldChar w:fldCharType="begin"/>
      </w:r>
      <w:r>
        <w:instrText xml:space="preserve"> PAGEREF hdi_ref_41 \h </w:instrText>
      </w:r>
      <w:r>
        <w:fldChar w:fldCharType="separate"/>
      </w:r>
      <w:r w:rsidR="006F1CC7">
        <w:rPr>
          <w:noProof/>
        </w:rPr>
        <w:t>8</w:t>
      </w:r>
      <w:r>
        <w:fldChar w:fldCharType="end"/>
      </w:r>
    </w:p>
    <w:p w14:paraId="57B6FD77" w14:textId="6AB65A73" w:rsidR="004440D1" w:rsidRDefault="00000000">
      <w:pPr>
        <w:tabs>
          <w:tab w:val="right" w:leader="dot" w:pos="9000"/>
        </w:tabs>
        <w:spacing w:after="120" w:line="276" w:lineRule="auto"/>
      </w:pPr>
      <w:r>
        <w:t>Figure 3 Compound assay engine and supported target panel</w:t>
      </w:r>
      <w:r>
        <w:tab/>
      </w:r>
      <w:r>
        <w:fldChar w:fldCharType="begin"/>
      </w:r>
      <w:r>
        <w:instrText xml:space="preserve"> PAGEREF hdi_ref_42 \h </w:instrText>
      </w:r>
      <w:r>
        <w:fldChar w:fldCharType="separate"/>
      </w:r>
      <w:r w:rsidR="006F1CC7">
        <w:rPr>
          <w:noProof/>
        </w:rPr>
        <w:t>9</w:t>
      </w:r>
      <w:r>
        <w:fldChar w:fldCharType="end"/>
      </w:r>
    </w:p>
    <w:p w14:paraId="2226B153" w14:textId="7FEDBA9B" w:rsidR="004440D1" w:rsidRDefault="00000000">
      <w:pPr>
        <w:tabs>
          <w:tab w:val="right" w:leader="dot" w:pos="9000"/>
        </w:tabs>
        <w:spacing w:after="120" w:line="276" w:lineRule="auto"/>
      </w:pPr>
      <w:r>
        <w:t>Figure 4 Selected model test MAE by target and evaluation regime</w:t>
      </w:r>
      <w:r>
        <w:tab/>
      </w:r>
      <w:r>
        <w:fldChar w:fldCharType="begin"/>
      </w:r>
      <w:r>
        <w:instrText xml:space="preserve"> PAGEREF hdi_ref_43 \h </w:instrText>
      </w:r>
      <w:r>
        <w:fldChar w:fldCharType="separate"/>
      </w:r>
      <w:r w:rsidR="006F1CC7">
        <w:rPr>
          <w:noProof/>
        </w:rPr>
        <w:t>16</w:t>
      </w:r>
      <w:r>
        <w:fldChar w:fldCharType="end"/>
      </w:r>
    </w:p>
    <w:p w14:paraId="416D70A1" w14:textId="0F606C0D" w:rsidR="004440D1" w:rsidRDefault="00000000">
      <w:pPr>
        <w:tabs>
          <w:tab w:val="right" w:leader="dot" w:pos="9000"/>
        </w:tabs>
        <w:spacing w:after="120" w:line="276" w:lineRule="auto"/>
      </w:pPr>
      <w:r>
        <w:t>Figure 5 Observed assay interval coverage against nominal coverage</w:t>
      </w:r>
      <w:r>
        <w:tab/>
      </w:r>
      <w:r>
        <w:fldChar w:fldCharType="begin"/>
      </w:r>
      <w:r>
        <w:instrText xml:space="preserve"> PAGEREF hdi_ref_44 \h </w:instrText>
      </w:r>
      <w:r>
        <w:fldChar w:fldCharType="separate"/>
      </w:r>
      <w:r w:rsidR="006F1CC7">
        <w:rPr>
          <w:noProof/>
        </w:rPr>
        <w:t>16</w:t>
      </w:r>
      <w:r>
        <w:fldChar w:fldCharType="end"/>
      </w:r>
    </w:p>
    <w:p w14:paraId="1E86A22A" w14:textId="77777777" w:rsidR="008A5109" w:rsidRDefault="00000000">
      <w:pPr>
        <w:pStyle w:val="Heading1"/>
        <w:pageBreakBefore/>
      </w:pPr>
      <w:bookmarkStart w:id="3" w:name="hdi_ref_3"/>
      <w:r>
        <w:rPr>
          <w:rFonts w:ascii="Times New Roman" w:hAnsi="Times New Roman"/>
        </w:rPr>
        <w:lastRenderedPageBreak/>
        <w:t>LIST OF TABLES</w:t>
      </w:r>
      <w:bookmarkEnd w:id="3"/>
    </w:p>
    <w:p w14:paraId="2E07D849" w14:textId="72956F08" w:rsidR="004440D1" w:rsidRDefault="00000000">
      <w:pPr>
        <w:tabs>
          <w:tab w:val="right" w:leader="dot" w:pos="9000"/>
        </w:tabs>
        <w:spacing w:after="120" w:line="276" w:lineRule="auto"/>
      </w:pPr>
      <w:r>
        <w:t>Table 1: Dataset preparation counts</w:t>
      </w:r>
      <w:r>
        <w:tab/>
      </w:r>
      <w:r>
        <w:fldChar w:fldCharType="begin"/>
      </w:r>
      <w:r>
        <w:instrText xml:space="preserve"> PAGEREF hdi_ref_45 \h </w:instrText>
      </w:r>
      <w:r>
        <w:fldChar w:fldCharType="separate"/>
      </w:r>
      <w:r w:rsidR="006F1CC7">
        <w:rPr>
          <w:noProof/>
        </w:rPr>
        <w:t>13</w:t>
      </w:r>
      <w:r>
        <w:fldChar w:fldCharType="end"/>
      </w:r>
    </w:p>
    <w:p w14:paraId="7E0136BE" w14:textId="26325BF6" w:rsidR="004440D1" w:rsidRDefault="00000000">
      <w:pPr>
        <w:tabs>
          <w:tab w:val="right" w:leader="dot" w:pos="9000"/>
        </w:tabs>
        <w:spacing w:after="120" w:line="276" w:lineRule="auto"/>
      </w:pPr>
      <w:r>
        <w:t>Table 2: Model and calibration settings</w:t>
      </w:r>
      <w:r>
        <w:tab/>
      </w:r>
      <w:r>
        <w:fldChar w:fldCharType="begin"/>
      </w:r>
      <w:r>
        <w:instrText xml:space="preserve"> PAGEREF hdi_ref_46 \h </w:instrText>
      </w:r>
      <w:r>
        <w:fldChar w:fldCharType="separate"/>
      </w:r>
      <w:r w:rsidR="006F1CC7">
        <w:rPr>
          <w:noProof/>
        </w:rPr>
        <w:t>13</w:t>
      </w:r>
      <w:r>
        <w:fldChar w:fldCharType="end"/>
      </w:r>
    </w:p>
    <w:p w14:paraId="0F9E0924" w14:textId="6BC1DF8A" w:rsidR="004440D1" w:rsidRDefault="00000000">
      <w:pPr>
        <w:tabs>
          <w:tab w:val="right" w:leader="dot" w:pos="9000"/>
        </w:tabs>
        <w:spacing w:after="120" w:line="276" w:lineRule="auto"/>
      </w:pPr>
      <w:r>
        <w:t>Table 3: Sample counts by evaluation role</w:t>
      </w:r>
      <w:r>
        <w:tab/>
      </w:r>
      <w:r>
        <w:fldChar w:fldCharType="begin"/>
      </w:r>
      <w:r>
        <w:instrText xml:space="preserve"> PAGEREF hdi_ref_47 \h </w:instrText>
      </w:r>
      <w:r>
        <w:fldChar w:fldCharType="separate"/>
      </w:r>
      <w:r w:rsidR="006F1CC7">
        <w:rPr>
          <w:noProof/>
        </w:rPr>
        <w:t>14</w:t>
      </w:r>
      <w:r>
        <w:fldChar w:fldCharType="end"/>
      </w:r>
    </w:p>
    <w:p w14:paraId="3CD17622" w14:textId="0F02FBAC" w:rsidR="004440D1" w:rsidRDefault="00000000">
      <w:pPr>
        <w:tabs>
          <w:tab w:val="right" w:leader="dot" w:pos="9000"/>
        </w:tabs>
        <w:spacing w:after="120" w:line="276" w:lineRule="auto"/>
      </w:pPr>
      <w:r>
        <w:t>Table 4: Behavioral verification cases</w:t>
      </w:r>
      <w:r>
        <w:tab/>
      </w:r>
      <w:r>
        <w:fldChar w:fldCharType="begin"/>
      </w:r>
      <w:r>
        <w:instrText xml:space="preserve"> PAGEREF hdi_ref_48 \h </w:instrText>
      </w:r>
      <w:r>
        <w:fldChar w:fldCharType="separate"/>
      </w:r>
      <w:r w:rsidR="006F1CC7">
        <w:rPr>
          <w:noProof/>
        </w:rPr>
        <w:t>14</w:t>
      </w:r>
      <w:r>
        <w:fldChar w:fldCharType="end"/>
      </w:r>
    </w:p>
    <w:p w14:paraId="4AADB7D7" w14:textId="703D91BC" w:rsidR="004440D1" w:rsidRDefault="00000000">
      <w:pPr>
        <w:tabs>
          <w:tab w:val="right" w:leader="dot" w:pos="9000"/>
        </w:tabs>
        <w:spacing w:after="120" w:line="276" w:lineRule="auto"/>
      </w:pPr>
      <w:r>
        <w:t>Table 5: Scaffold holdout selected model results</w:t>
      </w:r>
      <w:r>
        <w:tab/>
      </w:r>
      <w:r>
        <w:fldChar w:fldCharType="begin"/>
      </w:r>
      <w:r>
        <w:instrText xml:space="preserve"> PAGEREF hdi_ref_49 \h </w:instrText>
      </w:r>
      <w:r>
        <w:fldChar w:fldCharType="separate"/>
      </w:r>
      <w:r w:rsidR="006F1CC7">
        <w:rPr>
          <w:noProof/>
        </w:rPr>
        <w:t>15</w:t>
      </w:r>
      <w:r>
        <w:fldChar w:fldCharType="end"/>
      </w:r>
    </w:p>
    <w:p w14:paraId="05728382" w14:textId="569C9C42" w:rsidR="004440D1" w:rsidRDefault="00000000">
      <w:pPr>
        <w:tabs>
          <w:tab w:val="right" w:leader="dot" w:pos="9000"/>
        </w:tabs>
        <w:spacing w:after="120" w:line="276" w:lineRule="auto"/>
      </w:pPr>
      <w:r>
        <w:t>Table 6: Publication holdout selected model results</w:t>
      </w:r>
      <w:r>
        <w:tab/>
      </w:r>
      <w:r>
        <w:fldChar w:fldCharType="begin"/>
      </w:r>
      <w:r>
        <w:instrText xml:space="preserve"> PAGEREF hdi_ref_50 \h </w:instrText>
      </w:r>
      <w:r>
        <w:fldChar w:fldCharType="separate"/>
      </w:r>
      <w:r w:rsidR="006F1CC7">
        <w:rPr>
          <w:noProof/>
        </w:rPr>
        <w:t>15</w:t>
      </w:r>
      <w:r>
        <w:fldChar w:fldCharType="end"/>
      </w:r>
    </w:p>
    <w:p w14:paraId="152BC1E2" w14:textId="55B67312" w:rsidR="004440D1" w:rsidRDefault="00000000">
      <w:pPr>
        <w:tabs>
          <w:tab w:val="right" w:leader="dot" w:pos="9000"/>
        </w:tabs>
        <w:spacing w:after="120" w:line="276" w:lineRule="auto"/>
      </w:pPr>
      <w:r>
        <w:t>Table 7: Fixed model pooled test MAE</w:t>
      </w:r>
      <w:r>
        <w:tab/>
      </w:r>
      <w:r>
        <w:fldChar w:fldCharType="begin"/>
      </w:r>
      <w:r>
        <w:instrText xml:space="preserve"> PAGEREF hdi_ref_51 \h </w:instrText>
      </w:r>
      <w:r>
        <w:fldChar w:fldCharType="separate"/>
      </w:r>
      <w:r w:rsidR="006F1CC7">
        <w:rPr>
          <w:noProof/>
        </w:rPr>
        <w:t>17</w:t>
      </w:r>
      <w:r>
        <w:fldChar w:fldCharType="end"/>
      </w:r>
    </w:p>
    <w:p w14:paraId="4AB9C2A8" w14:textId="77777777" w:rsidR="008A5109" w:rsidRDefault="00000000">
      <w:pPr>
        <w:pStyle w:val="Heading1"/>
        <w:pageBreakBefore/>
      </w:pPr>
      <w:bookmarkStart w:id="4" w:name="hdi_ref_4"/>
      <w:r>
        <w:rPr>
          <w:rFonts w:ascii="Times New Roman" w:hAnsi="Times New Roman"/>
        </w:rPr>
        <w:lastRenderedPageBreak/>
        <w:t>LIST OF ABBREVIATIONS</w:t>
      </w:r>
      <w:bookmarkEnd w:id="4"/>
    </w:p>
    <w:p w14:paraId="536D92C7" w14:textId="77777777" w:rsidR="008A5109" w:rsidRDefault="00000000">
      <w:pPr>
        <w:spacing w:after="100" w:line="240" w:lineRule="auto"/>
      </w:pPr>
      <w:r>
        <w:t>ABCB1 - ATP-binding cassette subfamily B member 1 (P-glycoprotein)</w:t>
      </w:r>
    </w:p>
    <w:p w14:paraId="2DA4BDC7" w14:textId="77777777" w:rsidR="008A5109" w:rsidRDefault="00000000">
      <w:pPr>
        <w:spacing w:after="100" w:line="240" w:lineRule="auto"/>
      </w:pPr>
      <w:r>
        <w:t>ADMET - Absorption, Distribution, Metabolism, Excretion, and Toxicity</w:t>
      </w:r>
    </w:p>
    <w:p w14:paraId="24113AD6" w14:textId="77777777" w:rsidR="008A5109" w:rsidRDefault="00000000">
      <w:pPr>
        <w:spacing w:after="100" w:line="240" w:lineRule="auto"/>
      </w:pPr>
      <w:r>
        <w:t>API - Application Programming Interface</w:t>
      </w:r>
    </w:p>
    <w:p w14:paraId="440AD86B" w14:textId="77777777" w:rsidR="008A5109" w:rsidRDefault="00000000">
      <w:pPr>
        <w:spacing w:after="100" w:line="240" w:lineRule="auto"/>
      </w:pPr>
      <w:r>
        <w:t>AUC - Area Under the Plasma Concentration-Time Curve</w:t>
      </w:r>
    </w:p>
    <w:p w14:paraId="6F1D4EF2" w14:textId="77777777" w:rsidR="008A5109" w:rsidRDefault="00000000">
      <w:pPr>
        <w:spacing w:after="100" w:line="240" w:lineRule="auto"/>
      </w:pPr>
      <w:r>
        <w:t>ChEMBL - Chemical Database of the European Molecular Biology Laboratory</w:t>
      </w:r>
    </w:p>
    <w:p w14:paraId="526A7E18" w14:textId="77777777" w:rsidR="008A5109" w:rsidRDefault="00000000">
      <w:pPr>
        <w:spacing w:after="100" w:line="240" w:lineRule="auto"/>
      </w:pPr>
      <w:r>
        <w:t>C</w:t>
      </w:r>
      <w:r>
        <w:rPr>
          <w:vertAlign w:val="subscript"/>
        </w:rPr>
        <w:t>max</w:t>
      </w:r>
      <w:r>
        <w:t xml:space="preserve"> - Maximum Observed Plasma Concentration</w:t>
      </w:r>
    </w:p>
    <w:p w14:paraId="5A743303" w14:textId="77777777" w:rsidR="008A5109" w:rsidRDefault="00000000">
      <w:pPr>
        <w:spacing w:after="100" w:line="240" w:lineRule="auto"/>
      </w:pPr>
      <w:r>
        <w:t>CYP - Cytochrome P450 Monooxygenase Enzyme Superfamily</w:t>
      </w:r>
    </w:p>
    <w:p w14:paraId="36D5E131" w14:textId="77777777" w:rsidR="008A5109" w:rsidRDefault="00000000">
      <w:pPr>
        <w:spacing w:after="100" w:line="240" w:lineRule="auto"/>
      </w:pPr>
      <w:r>
        <w:t>DAG - Directed Acyclic Graph</w:t>
      </w:r>
    </w:p>
    <w:p w14:paraId="462CEC3E" w14:textId="77777777" w:rsidR="008A5109" w:rsidRDefault="00000000">
      <w:pPr>
        <w:spacing w:after="100" w:line="240" w:lineRule="auto"/>
      </w:pPr>
      <w:r>
        <w:t>DDI - Drug-Drug Interaction</w:t>
      </w:r>
    </w:p>
    <w:p w14:paraId="446FDF63" w14:textId="77777777" w:rsidR="008A5109" w:rsidRDefault="00000000">
      <w:pPr>
        <w:spacing w:after="100" w:line="240" w:lineRule="auto"/>
      </w:pPr>
      <w:r>
        <w:t>ECFP - Extended-Connectivity Fingerprint</w:t>
      </w:r>
    </w:p>
    <w:p w14:paraId="12D9C324" w14:textId="77777777" w:rsidR="008A5109" w:rsidRDefault="00000000">
      <w:pPr>
        <w:spacing w:after="100" w:line="240" w:lineRule="auto"/>
      </w:pPr>
      <w:r>
        <w:t>FDA - Food and Drug Administration (United States)</w:t>
      </w:r>
    </w:p>
    <w:p w14:paraId="471FFE51" w14:textId="77777777" w:rsidR="008A5109" w:rsidRDefault="00000000">
      <w:pPr>
        <w:spacing w:after="100" w:line="240" w:lineRule="auto"/>
      </w:pPr>
      <w:r>
        <w:t>GNN - Graph Neural Network</w:t>
      </w:r>
    </w:p>
    <w:p w14:paraId="316C32C8" w14:textId="77777777" w:rsidR="008A5109" w:rsidRDefault="00000000">
      <w:pPr>
        <w:spacing w:after="100" w:line="240" w:lineRule="auto"/>
      </w:pPr>
      <w:r>
        <w:t>HDI - Herb-Drug Interaction</w:t>
      </w:r>
    </w:p>
    <w:p w14:paraId="1EE4F5D4" w14:textId="77777777" w:rsidR="008A5109" w:rsidRDefault="00000000">
      <w:pPr>
        <w:spacing w:after="100" w:line="240" w:lineRule="auto"/>
      </w:pPr>
      <w:r>
        <w:t>IC</w:t>
      </w:r>
      <w:r>
        <w:rPr>
          <w:vertAlign w:val="subscript"/>
        </w:rPr>
        <w:t>50</w:t>
      </w:r>
      <w:r>
        <w:t xml:space="preserve"> - Half-Maximal Inhibitory Concentration</w:t>
      </w:r>
    </w:p>
    <w:p w14:paraId="50B79151" w14:textId="77777777" w:rsidR="008A5109" w:rsidRDefault="00000000">
      <w:pPr>
        <w:spacing w:after="100" w:line="240" w:lineRule="auto"/>
      </w:pPr>
      <w:r>
        <w:t>Ki - Inhibition constant</w:t>
      </w:r>
    </w:p>
    <w:p w14:paraId="2D4EBF52" w14:textId="77777777" w:rsidR="008A5109" w:rsidRDefault="00000000">
      <w:pPr>
        <w:spacing w:after="100" w:line="240" w:lineRule="auto"/>
      </w:pPr>
      <w:r>
        <w:t>MAD - Median Absolute Deviation</w:t>
      </w:r>
    </w:p>
    <w:p w14:paraId="410E8009" w14:textId="77777777" w:rsidR="008A5109" w:rsidRDefault="00000000">
      <w:pPr>
        <w:spacing w:after="100" w:line="240" w:lineRule="auto"/>
      </w:pPr>
      <w:r>
        <w:t>MAE - Mean Absolute Error</w:t>
      </w:r>
    </w:p>
    <w:p w14:paraId="6452AB8A" w14:textId="77777777" w:rsidR="008A5109" w:rsidRDefault="00000000">
      <w:pPr>
        <w:spacing w:after="100" w:line="240" w:lineRule="auto"/>
      </w:pPr>
      <w:r>
        <w:t>NCCIH - National Center for Complementary and Integrative Health</w:t>
      </w:r>
    </w:p>
    <w:p w14:paraId="528BB7E8" w14:textId="77777777" w:rsidR="008A5109" w:rsidRDefault="00000000">
      <w:pPr>
        <w:spacing w:after="100" w:line="240" w:lineRule="auto"/>
      </w:pPr>
      <w:r>
        <w:t>P-gp - P-glycoprotein (efflux membrane transporter encoded by ABCB1)</w:t>
      </w:r>
    </w:p>
    <w:p w14:paraId="551B12E6" w14:textId="77777777" w:rsidR="008A5109" w:rsidRDefault="00000000">
      <w:pPr>
        <w:spacing w:after="100" w:line="240" w:lineRule="auto"/>
      </w:pPr>
      <w:r>
        <w:t>pIC</w:t>
      </w:r>
      <w:r>
        <w:rPr>
          <w:vertAlign w:val="subscript"/>
        </w:rPr>
        <w:t>50</w:t>
      </w:r>
      <w:r>
        <w:t xml:space="preserve"> - Negative base-10 logarithm of IC</w:t>
      </w:r>
      <w:r>
        <w:rPr>
          <w:vertAlign w:val="subscript"/>
        </w:rPr>
        <w:t>50</w:t>
      </w:r>
      <w:r>
        <w:t xml:space="preserve"> expressed relative to 1 mol/L</w:t>
      </w:r>
    </w:p>
    <w:p w14:paraId="0AB0F6AC" w14:textId="77777777" w:rsidR="008A5109" w:rsidRDefault="00000000">
      <w:pPr>
        <w:spacing w:after="100" w:line="240" w:lineRule="auto"/>
      </w:pPr>
      <w:r>
        <w:t>PK - Pharmacokinetics</w:t>
      </w:r>
    </w:p>
    <w:p w14:paraId="41F3D44A" w14:textId="77777777" w:rsidR="008A5109" w:rsidRDefault="00000000">
      <w:pPr>
        <w:spacing w:after="100" w:line="240" w:lineRule="auto"/>
      </w:pPr>
      <w:r>
        <w:t>PMID - PubMed Identifier</w:t>
      </w:r>
    </w:p>
    <w:p w14:paraId="4223F060" w14:textId="77777777" w:rsidR="008A5109" w:rsidRDefault="00000000">
      <w:pPr>
        <w:spacing w:after="100" w:line="240" w:lineRule="auto"/>
      </w:pPr>
      <w:r>
        <w:t>PXR - Pregnane X Receptor (nuclear receptor driving CYP3A4 transcriptional induction)</w:t>
      </w:r>
    </w:p>
    <w:p w14:paraId="77C97660" w14:textId="77777777" w:rsidR="008A5109" w:rsidRDefault="00000000">
      <w:pPr>
        <w:spacing w:after="100" w:line="240" w:lineRule="auto"/>
      </w:pPr>
      <w:r>
        <w:t>QSAR - Quantitative Structure-Activity Relationship</w:t>
      </w:r>
    </w:p>
    <w:p w14:paraId="06CF4979" w14:textId="77777777" w:rsidR="008A5109" w:rsidRDefault="00000000">
      <w:pPr>
        <w:spacing w:after="100" w:line="240" w:lineRule="auto"/>
      </w:pPr>
      <w:r>
        <w:t>RDKit - Open-Source Cheminformatics and Machine Learning Toolkit</w:t>
      </w:r>
    </w:p>
    <w:p w14:paraId="59425F87" w14:textId="77777777" w:rsidR="008A5109" w:rsidRDefault="00000000">
      <w:pPr>
        <w:spacing w:after="100" w:line="240" w:lineRule="auto"/>
      </w:pPr>
      <w:r>
        <w:t>RMSE - Root Mean Squared Error</w:t>
      </w:r>
    </w:p>
    <w:p w14:paraId="62579D33" w14:textId="77777777" w:rsidR="008A5109" w:rsidRDefault="00000000">
      <w:pPr>
        <w:spacing w:after="100" w:line="240" w:lineRule="auto"/>
      </w:pPr>
      <w:r>
        <w:t>SMILES - Simplified Molecular-Input Line-Entry System</w:t>
      </w:r>
    </w:p>
    <w:p w14:paraId="5636A197" w14:textId="77777777" w:rsidR="008A5109" w:rsidRDefault="00000000">
      <w:pPr>
        <w:spacing w:after="100" w:line="240" w:lineRule="auto"/>
        <w:sectPr w:rsidR="008A5109" w:rsidSect="00034616">
          <w:type w:val="nextPage"/>
          <w:footerReference w:type="default" r:id="rId14"/>
          <w:pgSz w:w="12240" w:h="15840"/>
          <w:pgMar w:top="1224" w:right="1224" w:bottom="1152" w:left="1728" w:header="720" w:footer="720" w:gutter="0"/>
          <w:cols w:space="720"/>
          <w:docGrid w:linePitch="360"/>
          <w:pgNumType w:fmt="lowerRoman" w:start="1"/>
        </w:sectPr>
      </w:pPr>
      <w:r>
        <w:t>UniProt - Universal Protein Resource</w:t>
      </w:r>
    </w:p>
    <w:p w14:paraId="08E2058F" w14:textId="77777777" w:rsidR="008A5109" w:rsidRDefault="00000000">
      <w:pPr>
        <w:pStyle w:val="Heading1"/>
        <w:pageBreakBefore w:val="0"/>
      </w:pPr>
      <w:bookmarkStart w:id="5" w:name="hdi_ref_5"/>
      <w:r>
        <w:rPr>
          <w:rFonts w:ascii="Times New Roman" w:hAnsi="Times New Roman"/>
        </w:rPr>
        <w:lastRenderedPageBreak/>
        <w:t>CHAPTER 1: INTRODUCTION</w:t>
      </w:r>
      <w:bookmarkEnd w:id="5"/>
    </w:p>
    <w:p w14:paraId="61FC0169" w14:textId="77777777" w:rsidR="008A5109" w:rsidRDefault="00000000">
      <w:pPr>
        <w:pStyle w:val="Heading2"/>
      </w:pPr>
      <w:bookmarkStart w:id="6" w:name="hdi_ref_6"/>
      <w:r>
        <w:rPr>
          <w:rFonts w:ascii="Times New Roman" w:hAnsi="Times New Roman"/>
        </w:rPr>
        <w:t>1.1 Background and motivation</w:t>
      </w:r>
      <w:bookmarkEnd w:id="6"/>
    </w:p>
    <w:p w14:paraId="1BCEF768" w14:textId="77777777" w:rsidR="008A5109" w:rsidRDefault="00000000">
      <w:pPr>
        <w:jc w:val="both"/>
      </w:pPr>
      <w:r>
        <w:t>Botanical preparations and pharmaceutical drugs may be used together, creating a need to assess possible interactions. Products vary in constituent content, dose and formulation, so a botanical name alone does not specify a reproducible chemical exposure. NIH resources describe both documented interactions and substantial gaps in the available evidence [11], [12].</w:t>
      </w:r>
    </w:p>
    <w:p w14:paraId="6DF61796" w14:textId="77777777" w:rsidR="008A5109" w:rsidRDefault="00000000">
      <w:pPr>
        <w:jc w:val="both"/>
      </w:pPr>
      <w:r>
        <w:t>Botanicals contain mixtures of chemical constituents. Some constituents can affect enzymes or transporters involved in drug disposition, including CYP enzymes and P-glycoprotein. The present assay experiment focuses on five CYP enzymes and ABCB1; this is a declared research panel, not a complete inventory of all interaction mechanisms [5].</w:t>
      </w:r>
    </w:p>
    <w:p w14:paraId="14F3C849" w14:textId="77777777" w:rsidR="008A5109" w:rsidRDefault="00000000">
      <w:pPr>
        <w:jc w:val="both"/>
      </w:pPr>
      <w:r>
        <w:t>Inhibition and induction can affect drug disposition in different directions, depending on the drug and pathway. Hyperforin-associated PXR activation and CYP3A4 induction provide a relevant example [7]. The demonstration catalog separately records observed digoxin and cyclosporine exposure changes in specified human study conditions [8]-[10]. An inhibition-only model cannot infer induction or predict transplant rejection.</w:t>
      </w:r>
    </w:p>
    <w:p w14:paraId="6757567C" w14:textId="77777777" w:rsidR="008A5109" w:rsidRDefault="00000000">
      <w:pPr>
        <w:jc w:val="both"/>
      </w:pPr>
      <w:r>
        <w:t>Clinical interpretation requires original study context, preparation details and appropriate pharmacokinetic information. The project therefore connects assay estimates to cited evidence while preserving missing data and unresolved clinical conclusions. Its immediate purpose is research screening, rather than a recommendation to start, stop or combine treatments.</w:t>
      </w:r>
    </w:p>
    <w:p w14:paraId="1C9DB535" w14:textId="77777777" w:rsidR="008A5109" w:rsidRDefault="00000000">
      <w:pPr>
        <w:pStyle w:val="Heading2"/>
      </w:pPr>
      <w:bookmarkStart w:id="7" w:name="hdi_ref_7"/>
      <w:r>
        <w:rPr>
          <w:rFonts w:ascii="Times New Roman" w:hAnsi="Times New Roman"/>
        </w:rPr>
        <w:t>1.2 Problem statement</w:t>
      </w:r>
      <w:bookmarkEnd w:id="7"/>
    </w:p>
    <w:p w14:paraId="693D63C8" w14:textId="77777777" w:rsidR="008A5109" w:rsidRDefault="00000000">
      <w:pPr>
        <w:jc w:val="both"/>
      </w:pPr>
      <w:r>
        <w:t>The project addresses two related computational questions, evaluated at different evidentiary levels:</w:t>
      </w:r>
    </w:p>
    <w:p w14:paraId="7329CBF7" w14:textId="77777777" w:rsidR="008A5109" w:rsidRDefault="00000000">
      <w:pPr>
        <w:jc w:val="both"/>
      </w:pPr>
      <w:r>
        <w:t>1. Molecular assay estimation: Given a constituent structure, estimate reported inhibition pIC</w:t>
      </w:r>
      <w:r>
        <w:rPr>
          <w:vertAlign w:val="subscript"/>
        </w:rPr>
        <w:t>50</w:t>
      </w:r>
      <w:r>
        <w:t xml:space="preserve"> for the six assay targets and assess error on held-out scaffold and publication groups.</w:t>
      </w:r>
    </w:p>
    <w:p w14:paraId="2582BA8B" w14:textId="77777777" w:rsidR="008A5109" w:rsidRDefault="00000000">
      <w:pPr>
        <w:jc w:val="both"/>
      </w:pPr>
      <w:r>
        <w:t>2. Evidence-linked research screening: Given a botanical-drug pair and preparation context, retrieve matching human study findings, remove repeated publication records, explain mechanism or context mismatches and expose missing requirements without manufacturing a clinical verdict.</w:t>
      </w:r>
    </w:p>
    <w:p w14:paraId="233B2B0F" w14:textId="77777777" w:rsidR="008A5109" w:rsidRDefault="00000000">
      <w:pPr>
        <w:jc w:val="both"/>
      </w:pPr>
      <w:r>
        <w:lastRenderedPageBreak/>
        <w:t>The key methodological requirement is to avoid conflating a reported study finding, a compound assay endpoint and an independently established clinical outcome. Literature relation extraction can legitimately identify what an article reports; it does not automatically estimate an interaction in a previously unstudied clinical setting. Our assay model and human-evidence interface are therefore evaluated and described separately.</w:t>
      </w:r>
    </w:p>
    <w:p w14:paraId="2FEF99A5" w14:textId="77777777" w:rsidR="008A5109" w:rsidRDefault="00000000">
      <w:pPr>
        <w:pStyle w:val="Heading2"/>
      </w:pPr>
      <w:bookmarkStart w:id="8" w:name="hdi_ref_8"/>
      <w:r>
        <w:rPr>
          <w:rFonts w:ascii="Times New Roman" w:hAnsi="Times New Roman"/>
        </w:rPr>
        <w:t>1.3 Objectives</w:t>
      </w:r>
      <w:bookmarkEnd w:id="8"/>
    </w:p>
    <w:p w14:paraId="15E61574" w14:textId="77777777" w:rsidR="008A5109" w:rsidRDefault="00000000">
      <w:pPr>
        <w:jc w:val="both"/>
      </w:pPr>
      <w:r>
        <w:t>The project has six implementation and evaluation objectives:</w:t>
      </w:r>
    </w:p>
    <w:p w14:paraId="36D1B3B2" w14:textId="77777777" w:rsidR="008A5109" w:rsidRDefault="00000000">
      <w:pPr>
        <w:jc w:val="both"/>
      </w:pPr>
      <w:r>
        <w:t>1. Verify official assay inputs: Preserve source queries, raw captures and integrity hashes for the ChEMBL release, and document the transition from downloaded records to screened, aggregated samples.</w:t>
      </w:r>
    </w:p>
    <w:p w14:paraId="25E7821E" w14:textId="77777777" w:rsidR="008A5109" w:rsidRDefault="00000000">
      <w:pPr>
        <w:jc w:val="both"/>
      </w:pPr>
      <w:r>
        <w:t>2. Compare target-specific regressors: Use the same molecular fingerprints and assigned roles for a training-median baseline, ridge regression, ExtraTrees and an exploratory repeat-consistency-weighted ExtraTrees variant.</w:t>
      </w:r>
    </w:p>
    <w:p w14:paraId="3D777331" w14:textId="77777777" w:rsidR="008A5109" w:rsidRDefault="00000000">
      <w:pPr>
        <w:jc w:val="both"/>
      </w:pPr>
      <w:r>
        <w:t>3. Audit grouped evaluation: Enforce the required structure/scaffold or structure/publication separation, record allowed overlaps and source-split purges, and report both evaluation regimes.</w:t>
      </w:r>
    </w:p>
    <w:p w14:paraId="2A8B04C8" w14:textId="77777777" w:rsidR="008A5109" w:rsidRDefault="00000000">
      <w:pPr>
        <w:jc w:val="both"/>
      </w:pPr>
      <w:r>
        <w:t>4. Assess assay uncertainty: Construct split-conformal intervals on a separate calibration role and measure held-out coverage. State the exchangeability assumption and the limits imposed by domain shift.</w:t>
      </w:r>
    </w:p>
    <w:p w14:paraId="3243284D" w14:textId="77777777" w:rsidR="008A5109" w:rsidRDefault="00000000">
      <w:pPr>
        <w:jc w:val="both"/>
      </w:pPr>
      <w:r>
        <w:t>5. Preserve evidence provenance: Deduplicate publication/endpoint records in the active demonstration, reject inconsistent duplicate extractions and expose preparation and mechanism gaps. Citation-lineage DAG modules elsewhere in the repository are not active in this screening path.</w:t>
      </w:r>
    </w:p>
    <w:p w14:paraId="556DDBED" w14:textId="77777777" w:rsidR="008A5109" w:rsidRDefault="00000000">
      <w:pPr>
        <w:jc w:val="both"/>
      </w:pPr>
      <w:r>
        <w:t>6. Provide an interactive research dashboard: Run constituent assay inference, display cited human findings and mechanism/context gaps, and export the explanation while keeping the clinical verdict unavailable.</w:t>
      </w:r>
    </w:p>
    <w:p w14:paraId="729AF7A6" w14:textId="77777777" w:rsidR="008A5109" w:rsidRDefault="00000000">
      <w:pPr>
        <w:pStyle w:val="Heading2"/>
      </w:pPr>
      <w:bookmarkStart w:id="9" w:name="hdi_ref_9"/>
      <w:r>
        <w:rPr>
          <w:rFonts w:ascii="Times New Roman" w:hAnsi="Times New Roman"/>
        </w:rPr>
        <w:t>1.4 Scope and contributions</w:t>
      </w:r>
      <w:bookmarkEnd w:id="9"/>
    </w:p>
    <w:p w14:paraId="3E1B925E" w14:textId="77777777" w:rsidR="008A5109" w:rsidRDefault="00000000">
      <w:pPr>
        <w:jc w:val="both"/>
      </w:pPr>
      <w:r>
        <w:t>The implemented scope of this project encompasses:</w:t>
      </w:r>
    </w:p>
    <w:p w14:paraId="42CAEBC0" w14:textId="77777777" w:rsidR="008A5109" w:rsidRDefault="00000000">
      <w:pPr>
        <w:jc w:val="both"/>
      </w:pPr>
      <w:r>
        <w:t>• Compound assay prediction for five CYP enzymes and ABCB1 using 13,242 scaffold-experiment structure-target samples.</w:t>
      </w:r>
    </w:p>
    <w:p w14:paraId="7DC30927" w14:textId="77777777" w:rsidR="008A5109" w:rsidRDefault="00000000">
      <w:pPr>
        <w:jc w:val="both"/>
      </w:pPr>
      <w:r>
        <w:lastRenderedPageBreak/>
        <w:t>• Demonstration queries covering St. John’s wort, turmeric and Echinacea with cyclosporine and digoxin; catalog coverage is incomplete.</w:t>
      </w:r>
    </w:p>
    <w:p w14:paraId="3E43064B" w14:textId="77777777" w:rsidR="008A5109" w:rsidRDefault="00000000">
      <w:pPr>
        <w:jc w:val="both"/>
      </w:pPr>
      <w:r>
        <w:t>• A demonstration catalog containing four pair-specific records from three human publications, checked at abstract level with independent dual review pending.</w:t>
      </w:r>
    </w:p>
    <w:p w14:paraId="2C553F18" w14:textId="77777777" w:rsidR="008A5109" w:rsidRDefault="00000000">
      <w:pPr>
        <w:jc w:val="both"/>
      </w:pPr>
      <w:r>
        <w:t>• Engineering verification: Focused software checks and independent recomputation establish reproducible assay results and auditable screening behavior.</w:t>
      </w:r>
    </w:p>
    <w:p w14:paraId="5D623902" w14:textId="77777777" w:rsidR="008A5109" w:rsidRDefault="00000000">
      <w:pPr>
        <w:jc w:val="both"/>
      </w:pPr>
      <w:r>
        <w:t>The primary scientific and engineering contributions include:</w:t>
      </w:r>
    </w:p>
    <w:p w14:paraId="1C31F1E6" w14:textId="77777777" w:rsidR="008A5109" w:rsidRDefault="00000000">
      <w:pPr>
        <w:jc w:val="both"/>
      </w:pPr>
      <w:r>
        <w:t>1. Three-tier reliability framework: Molecular assay measurements, published human findings and independent clinical reference labels occupy distinct data roles. This formulation controls a defined route for outcome leakage and keeps the evidentiary basis of each output explicit.</w:t>
      </w:r>
    </w:p>
    <w:p w14:paraId="4319B4CF" w14:textId="77777777" w:rsidR="008A5109" w:rsidRDefault="00000000">
      <w:pPr>
        <w:jc w:val="both"/>
      </w:pPr>
      <w:r>
        <w:t>2. Repeat-consistency ablation: An inverse-MAD training weight evaluates how agreement among repeated assay measurements affects model performance, with comparisons against unweighted ensembles and linear baselines.</w:t>
      </w:r>
    </w:p>
    <w:p w14:paraId="4C3A4224" w14:textId="77777777" w:rsidR="008A5109" w:rsidRDefault="00000000">
      <w:pPr>
        <w:jc w:val="both"/>
      </w:pPr>
      <w:r>
        <w:t>3. Mechanism and context checks: An explicit induction flag prevents interpreting an inhibition estimate as an induction prediction. A context selector identifies differences from the cited preparation setting.</w:t>
      </w:r>
    </w:p>
    <w:p w14:paraId="720829DB" w14:textId="77777777" w:rsidR="008A5109" w:rsidRDefault="00000000">
      <w:pPr>
        <w:jc w:val="both"/>
      </w:pPr>
      <w:r>
        <w:t>4. Auditable research outputs: Study citations, assay intervals, molecular similarity, training-compound status and evidence requirements accompany every screening explanation. Clinical prediction abstention is a deliberate safety feature that prevents unsupported medical conclusions.</w:t>
      </w:r>
    </w:p>
    <w:p w14:paraId="3E3A9B0A" w14:textId="77777777" w:rsidR="008A5109" w:rsidRDefault="00000000">
      <w:pPr>
        <w:pStyle w:val="Heading2"/>
      </w:pPr>
      <w:bookmarkStart w:id="10" w:name="hdi_ref_10"/>
      <w:r>
        <w:rPr>
          <w:rFonts w:ascii="Times New Roman" w:hAnsi="Times New Roman"/>
        </w:rPr>
        <w:t>1.5 Organisation of the report</w:t>
      </w:r>
      <w:bookmarkEnd w:id="10"/>
    </w:p>
    <w:p w14:paraId="695A986F" w14:textId="77777777" w:rsidR="008A5109" w:rsidRDefault="00000000">
      <w:pPr>
        <w:jc w:val="both"/>
      </w:pPr>
      <w:r>
        <w:t>Chapter 2 reviews molecular representations, interaction models, biomedical language models and their differing endpoints. Chapter 3 defines data roles, requirements, architecture, algorithms and metrics. Chapter 4 documents the implementation, settings, verification and reproduction. Chapter 5 presents measured results and limitations, and Chapter 6 describes achievements and future clinical work. Appendix A provides executable commands and a demonstration sequence.</w:t>
      </w:r>
    </w:p>
    <w:p w14:paraId="5396D74E" w14:textId="77777777" w:rsidR="008A5109" w:rsidRDefault="00000000">
      <w:pPr>
        <w:pStyle w:val="Heading1"/>
        <w:pageBreakBefore/>
      </w:pPr>
      <w:bookmarkStart w:id="11" w:name="hdi_ref_11"/>
      <w:r>
        <w:rPr>
          <w:rFonts w:ascii="Times New Roman" w:hAnsi="Times New Roman"/>
        </w:rPr>
        <w:lastRenderedPageBreak/>
        <w:t>CHAPTER 2: LITERATURE REVIEW</w:t>
      </w:r>
      <w:bookmarkEnd w:id="11"/>
    </w:p>
    <w:p w14:paraId="5CCEA446" w14:textId="77777777" w:rsidR="008A5109" w:rsidRDefault="00000000">
      <w:pPr>
        <w:pStyle w:val="Heading2"/>
      </w:pPr>
      <w:bookmarkStart w:id="12" w:name="hdi_ref_12"/>
      <w:r>
        <w:rPr>
          <w:rFonts w:ascii="Times New Roman" w:hAnsi="Times New Roman"/>
        </w:rPr>
        <w:t>2.1 Related research and existing systems</w:t>
      </w:r>
      <w:bookmarkEnd w:id="12"/>
    </w:p>
    <w:p w14:paraId="7E810291" w14:textId="77777777" w:rsidR="008A5109" w:rsidRDefault="00000000">
      <w:pPr>
        <w:jc w:val="both"/>
      </w:pPr>
      <w:r>
        <w:t>Structure-activity modeling relates molecular representations to measured endpoints. Scalar descriptors and molecular fingerprints encode different aspects of a compound, while molecular graph models learn representations from atoms and bonds. A two-dimensional fingerprint does not directly represent full three-dimensional conformation, exposure or clinical context. These distinctions guide the deliberately bounded endpoint of this experiment.</w:t>
      </w:r>
    </w:p>
    <w:p w14:paraId="364C7F85" w14:textId="77777777" w:rsidR="008A5109" w:rsidRDefault="00000000">
      <w:pPr>
        <w:jc w:val="both"/>
      </w:pPr>
      <w:r>
        <w:t>Extended-connectivity fingerprints describe circular atom environments for structure-activity modeling [2]. The implementation uses RDKit Morgan fingerprints with radius two and 2,048 bits [3]. It ignores chirality after canonical parent grouping. This is an efficient fixed representation, not a dense three-dimensional pharmacophore or a guarantee of biological generalization.</w:t>
      </w:r>
    </w:p>
    <w:p w14:paraId="2FC4DB1F" w14:textId="77777777" w:rsidR="008A5109" w:rsidRDefault="00000000">
      <w:pPr>
        <w:jc w:val="both"/>
      </w:pPr>
      <w:r>
        <w:t>DeepDDI uses structural information to predict drug-drug and drug-food interaction types [13]. Decagon uses a multimodal graph and relational graph convolution to model polypharmacy side effects [14]. CASTER combines substructure pattern mining, an autoencoder and dictionary learning for interaction prediction [15]. These are relevant representation-learning precedents, but their categorical outcomes differ from the continuous assay endpoint evaluated here.</w:t>
      </w:r>
    </w:p>
    <w:p w14:paraId="2E170AE1" w14:textId="77777777" w:rsidR="008A5109" w:rsidRDefault="00000000">
      <w:pPr>
        <w:jc w:val="both"/>
      </w:pPr>
      <w:r>
        <w:t>BioBERT adapts biomedical language representations for text-mining tasks [16], while domain-specific pretraining supports biomedical language understanding in PubMedBERT [17]. Such methods can support future evidence extraction, but they are not components of the active molecular inference path. Their published task results should not be compared directly with our pIC</w:t>
      </w:r>
      <w:r>
        <w:rPr>
          <w:vertAlign w:val="subscript"/>
        </w:rPr>
        <w:t>50</w:t>
      </w:r>
      <w:r>
        <w:t xml:space="preserve"> regression errors.</w:t>
      </w:r>
    </w:p>
    <w:p w14:paraId="450932AE" w14:textId="77777777" w:rsidR="008A5109" w:rsidRDefault="00000000">
      <w:pPr>
        <w:pStyle w:val="Heading2"/>
      </w:pPr>
      <w:bookmarkStart w:id="13" w:name="hdi_ref_13"/>
      <w:r>
        <w:rPr>
          <w:rFonts w:ascii="Times New Roman" w:hAnsi="Times New Roman"/>
        </w:rPr>
        <w:t>2.2 Comparative analysis</w:t>
      </w:r>
      <w:bookmarkEnd w:id="13"/>
    </w:p>
    <w:p w14:paraId="0CEA07FE" w14:textId="77777777" w:rsidR="008A5109" w:rsidRDefault="00000000">
      <w:pPr>
        <w:jc w:val="both"/>
      </w:pPr>
      <w:r>
        <w:t>The comparison concerns task definition, input information and evaluation design rather than a universal ranking of published systems. No external interaction model was retrained on our assay dataset, so there is no empirical head-to-head superiority claim.</w:t>
      </w:r>
    </w:p>
    <w:p w14:paraId="09415965" w14:textId="77777777" w:rsidR="008A5109" w:rsidRDefault="00000000">
      <w:pPr>
        <w:jc w:val="both"/>
      </w:pPr>
      <w:r>
        <w:t xml:space="preserve">Structure-based interaction models operate on molecular representations; botanical screening additionally requires preparation and constituent information. Drug-food work such as DeepDDI demonstrates that prior research is not restricted to synthetic drug pairs [13]. Our </w:t>
      </w:r>
      <w:r>
        <w:lastRenderedPageBreak/>
        <w:t>implementation makes the constituent mapping explicit and retains uncertainty about the whole preparation rather than treating a herb name as a measured molecular dose.</w:t>
      </w:r>
    </w:p>
    <w:p w14:paraId="2B0F1B0F" w14:textId="77777777" w:rsidR="008A5109" w:rsidRDefault="00000000">
      <w:pPr>
        <w:jc w:val="both"/>
      </w:pPr>
      <w:r>
        <w:t>Relation extraction identifies statements in text, whereas prospective interaction prediction seeks an outcome outside those statements. A leakage audit must consider the intended task and whether outcomes or assessment entities reach model inputs. It is not justified to label all biomedical language models as leaky. Our main assay features contain neither publication prose nor reported clinical outcomes.</w:t>
      </w:r>
    </w:p>
    <w:p w14:paraId="7D8DDE18" w14:textId="77777777" w:rsidR="008A5109" w:rsidRDefault="00000000">
      <w:pPr>
        <w:jc w:val="both"/>
      </w:pPr>
      <w:r>
        <w:t>Repeated publications or extractions can overstate evidence if they are counted without source relationships. The demonstration removes exact publication/endpoint duplicates, but does not infer the full citation graph, establish cohort independence or discount every review echo. Those broader evidence-lineage questions remain separate research work.</w:t>
      </w:r>
    </w:p>
    <w:p w14:paraId="468E4225" w14:textId="77777777" w:rsidR="008A5109" w:rsidRDefault="00000000">
      <w:pPr>
        <w:pStyle w:val="Heading2"/>
      </w:pPr>
      <w:bookmarkStart w:id="14" w:name="hdi_ref_14"/>
      <w:r>
        <w:rPr>
          <w:rFonts w:ascii="Times New Roman" w:hAnsi="Times New Roman"/>
        </w:rPr>
        <w:t>2.3 Research or implementation gap</w:t>
      </w:r>
      <w:bookmarkEnd w:id="14"/>
    </w:p>
    <w:p w14:paraId="5A8C4FD8" w14:textId="77777777" w:rsidR="008A5109" w:rsidRDefault="00000000">
      <w:pPr>
        <w:jc w:val="both"/>
      </w:pPr>
      <w:r>
        <w:t>Three implementation requirements motivate the current system:</w:t>
      </w:r>
    </w:p>
    <w:p w14:paraId="53DFF978" w14:textId="77777777" w:rsidR="008A5109" w:rsidRDefault="00000000">
      <w:pPr>
        <w:jc w:val="both"/>
      </w:pPr>
      <w:r>
        <w:t>1. Outcome separation: Molecular activity measurements, individual study findings and clinical reference labels must remain distinct. We train only on the compound assay endpoint, and do not claim an independently adjudicated clinical benchmark is available.</w:t>
      </w:r>
    </w:p>
    <w:p w14:paraId="52724EED" w14:textId="77777777" w:rsidR="008A5109" w:rsidRDefault="00000000">
      <w:pPr>
        <w:jc w:val="both"/>
      </w:pPr>
      <w:r>
        <w:t>2. Evidence traceability: Retain publication identifiers, study context and extraction status. The active screen deduplicates catalog records; a complete source-lineage model would require validated citation and shared-cohort relationships. No claim of being the first system to address citation dependencies is made.</w:t>
      </w:r>
    </w:p>
    <w:p w14:paraId="064ACE3E" w14:textId="77777777" w:rsidR="008A5109" w:rsidRDefault="00000000">
      <w:pPr>
        <w:jc w:val="both"/>
      </w:pPr>
      <w:r>
        <w:t>3. Mechanism compatibility: Inhibition, induction and transporter effects are not interchangeable. An estimate of inhibition potency alone cannot explain all observed drug-exposure changes. The interface flags the unsupported inference rather than converting it into a patient-level risk score.</w:t>
      </w:r>
    </w:p>
    <w:p w14:paraId="7ED6C276" w14:textId="77777777" w:rsidR="008A5109" w:rsidRDefault="00000000">
      <w:pPr>
        <w:pStyle w:val="Heading1"/>
        <w:pageBreakBefore/>
      </w:pPr>
      <w:bookmarkStart w:id="15" w:name="hdi_ref_15"/>
      <w:r>
        <w:rPr>
          <w:rFonts w:ascii="Times New Roman" w:hAnsi="Times New Roman"/>
        </w:rPr>
        <w:lastRenderedPageBreak/>
        <w:t>CHAPTER 3: REQUIREMENTS AND METHODOLOGY</w:t>
      </w:r>
      <w:bookmarkEnd w:id="15"/>
    </w:p>
    <w:p w14:paraId="0FEF33F0" w14:textId="77777777" w:rsidR="008A5109" w:rsidRDefault="00000000">
      <w:pPr>
        <w:pStyle w:val="Heading2"/>
      </w:pPr>
      <w:bookmarkStart w:id="16" w:name="hdi_ref_16"/>
      <w:r>
        <w:rPr>
          <w:rFonts w:ascii="Times New Roman" w:hAnsi="Times New Roman"/>
        </w:rPr>
        <w:t>3.1 System requirements and assumptions</w:t>
      </w:r>
      <w:bookmarkEnd w:id="16"/>
    </w:p>
    <w:p w14:paraId="66A83675" w14:textId="77777777" w:rsidR="008A5109" w:rsidRDefault="00000000">
      <w:pPr>
        <w:jc w:val="both"/>
      </w:pPr>
      <w:r>
        <w:t>The architecture of the evidence-linked herb-drug interaction research system is designed to adhere to strict engineering standards of modularity, deterministic reproducibility, and scientific transparency. The system requirements and computational assumptions are formalized as follows:</w:t>
      </w:r>
    </w:p>
    <w:p w14:paraId="5E3E1027" w14:textId="77777777" w:rsidR="008A5109" w:rsidRDefault="00000000">
      <w:pPr>
        <w:jc w:val="both"/>
      </w:pPr>
      <w:r>
        <w:t>1. Computing requirements: The assay models use CPU-based regression and can run without a GPU. The executed experiments did not establish minimum RAM, storage, latency or throughput requirements. Hardware limits should therefore be measured for a deployment rather than asserted as validated specifications.</w:t>
      </w:r>
    </w:p>
    <w:p w14:paraId="0DFE865B" w14:textId="77777777" w:rsidR="008A5109" w:rsidRDefault="00000000">
      <w:pPr>
        <w:jc w:val="both"/>
      </w:pPr>
      <w:r>
        <w:t>2. Software stack: Recorded experiment versions are Python 3.11.16, RDKit 2026.03.5, scikit-learn 1.9.0, NumPy 1.26.4 and pandas 3.0.5. Joblib stores fitted bundles and Streamlit renders the interface. The assay requirements file supports environment setup; the recorded versions are the reference for reproduction [18].</w:t>
      </w:r>
    </w:p>
    <w:p w14:paraId="787510E5" w14:textId="77777777" w:rsidR="008A5109" w:rsidRDefault="00000000">
      <w:pPr>
        <w:jc w:val="both"/>
      </w:pPr>
      <w:r>
        <w:t>3. Scientific assumptions: The fitted endpoint is the reported, screened IC</w:t>
      </w:r>
      <w:r>
        <w:rPr>
          <w:vertAlign w:val="subscript"/>
        </w:rPr>
        <w:t>50</w:t>
      </w:r>
      <w:r>
        <w:t>-derived log potency. IC</w:t>
      </w:r>
      <w:r>
        <w:rPr>
          <w:vertAlign w:val="subscript"/>
        </w:rPr>
        <w:t>50</w:t>
      </w:r>
      <w:r>
        <w:t xml:space="preserve"> depends on assay conditions and is not automatically an equilibrium binding constant. Fingerprint models approximate the available structure-activity relationships. Grouped holdouts assess particular generalization settings; they do not establish causal clinical effects or guarantee distribution-free coverage under shift.</w:t>
      </w:r>
    </w:p>
    <w:p w14:paraId="3E16181A" w14:textId="77777777" w:rsidR="008A5109" w:rsidRDefault="00000000">
      <w:pPr>
        <w:pStyle w:val="Heading2"/>
      </w:pPr>
      <w:bookmarkStart w:id="17" w:name="hdi_ref_17"/>
      <w:r>
        <w:rPr>
          <w:rFonts w:ascii="Times New Roman" w:hAnsi="Times New Roman"/>
        </w:rPr>
        <w:t>3.2 Dataset, materials, software and hardware</w:t>
      </w:r>
      <w:bookmarkEnd w:id="17"/>
    </w:p>
    <w:p w14:paraId="70A78179" w14:textId="77777777" w:rsidR="008A5109" w:rsidRDefault="00000000">
      <w:pPr>
        <w:jc w:val="both"/>
      </w:pPr>
      <w:r>
        <w:t>The project formulates a three-tier reliability framework separating molecular assay measurements, published human findings and independently adjudicated clinical reference labels. Each tier has an explicit role and review status, as shown in Figure 1. This design makes outcome provenance and the requirements for downstream clinical evaluation auditable.</w:t>
      </w:r>
    </w:p>
    <w:p w14:paraId="651EEB9A" w14:textId="77777777" w:rsidR="008A5109" w:rsidRDefault="00000000">
      <w:pPr>
        <w:keepNext/>
        <w:spacing w:before="160" w:after="60"/>
        <w:jc w:val="center"/>
      </w:pPr>
      <w:r>
        <w:drawing>
          <wp:inline xmlns:a="http://schemas.openxmlformats.org/drawingml/2006/main" xmlns:pic="http://schemas.openxmlformats.org/drawingml/2006/picture">
            <wp:extent cx="5806440" cy="2958811"/>
            <wp:docPr id="15" name="Picture 15"/>
            <wp:cNvGraphicFramePr>
              <a:graphicFrameLocks noChangeAspect="1"/>
            </wp:cNvGraphicFramePr>
            <a:graphic>
              <a:graphicData uri="http://schemas.openxmlformats.org/drawingml/2006/picture">
                <pic:pic>
                  <pic:nvPicPr>
                    <pic:cNvPr id="0" name="tiers.png"/>
                    <pic:cNvPicPr/>
                  </pic:nvPicPr>
                  <pic:blipFill>
                    <a:blip r:embed="rId23"/>
                    <a:stretch>
                      <a:fillRect/>
                    </a:stretch>
                  </pic:blipFill>
                  <pic:spPr>
                    <a:xfrm>
                      <a:off x="0" y="0"/>
                      <a:ext cx="5806440" cy="2958811"/>
                    </a:xfrm>
                    <a:prstGeom prst="rect"/>
                  </pic:spPr>
                </pic:pic>
              </a:graphicData>
            </a:graphic>
          </wp:inline>
        </w:drawing>
      </w:r>
    </w:p>
    <w:p w14:paraId="6E415B51" w14:textId="77777777" w:rsidR="008A5109" w:rsidRDefault="00000000">
      <w:pPr>
        <w:pStyle w:val="Caption"/>
        <w:keepLines/>
        <w:spacing w:before="100" w:after="160"/>
        <w:jc w:val="center"/>
      </w:pPr>
      <w:bookmarkStart w:id="18" w:name="hdi_ref_40"/>
      <w:r>
        <w:rPr>
          <w:b w:val="0"/>
        </w:rPr>
        <w:t>Figure 1 Data roles and current evidence availability</w:t>
      </w:r>
      <w:bookmarkEnd w:id="18"/>
    </w:p>
    <w:p w14:paraId="5C59339A" w14:textId="77777777" w:rsidR="008A5109" w:rsidRDefault="00000000">
      <w:pPr>
        <w:jc w:val="both"/>
      </w:pPr>
      <w:r>
        <w:t>The three data roles are:</w:t>
      </w:r>
    </w:p>
    <w:p w14:paraId="651D7A7A" w14:textId="77777777" w:rsidR="008A5109" w:rsidRDefault="00000000">
      <w:pPr>
        <w:jc w:val="both"/>
      </w:pPr>
      <w:r>
        <w:t>• Human study findings: The active demonstration uses four pair-specific records from three PubMed publications [8]-[10]. The historical table contains 141 rows and 140 source identifiers over 120 pairs, but a prior source audit found serious mapping problems. It is not treated as 140 authenticated, independent clinical publications and is not the demonstration's clinical ground truth.</w:t>
      </w:r>
    </w:p>
    <w:p w14:paraId="36F08ADD" w14:textId="77777777" w:rsidR="008A5109" w:rsidRDefault="00000000">
      <w:pPr>
        <w:jc w:val="both"/>
      </w:pPr>
      <w:r>
        <w:t>• Compound assay measurements: The official ChEMBL 37 capture contains 18,833 records, 10,554 compound identifiers and 2,036 document identifiers. After structural screening, the modeling screen retains 15,213 measurements. The scaffold run aggregates them to 13,242 structure-target samples over 8,724 canonical structures. Target-assignment confidence does not establish clinical reliability [18].</w:t>
      </w:r>
    </w:p>
    <w:p w14:paraId="450C1361" w14:textId="77777777" w:rsidR="008A5109" w:rsidRDefault="00000000">
      <w:pPr>
        <w:jc w:val="both"/>
      </w:pPr>
      <w:r>
        <w:t>• Independent clinical reference tier: The annotation protocol and preparation tools define a separate adjudication stage. The current consensus CSV contains zero decisions, so the system deliberately withholds clinical Task A/B predictions until independent reference labels and an appropriate evaluation protocol are available [18].</w:t>
      </w:r>
    </w:p>
    <w:p w14:paraId="7B505AEF" w14:textId="77777777" w:rsidR="008A5109" w:rsidRDefault="00000000">
      <w:pPr>
        <w:pStyle w:val="Heading2"/>
      </w:pPr>
      <w:bookmarkStart w:id="19" w:name="hdi_ref_18"/>
      <w:r>
        <w:rPr>
          <w:rFonts w:ascii="Times New Roman" w:hAnsi="Times New Roman"/>
        </w:rPr>
        <w:lastRenderedPageBreak/>
        <w:t>3.3 Proposed architecture and workflow</w:t>
      </w:r>
      <w:bookmarkEnd w:id="19"/>
    </w:p>
    <w:p w14:paraId="54BD75D7" w14:textId="77777777" w:rsidR="008A5109" w:rsidRDefault="00000000">
      <w:pPr>
        <w:jc w:val="both"/>
      </w:pPr>
      <w:r>
        <w:t>The complete system architecture connects a rigorous offline molecular assay machine learning pipeline with an online, evidence-linked research screening interface. The comprehensive data flow is illustrated in Figure 2.</w:t>
      </w:r>
    </w:p>
    <w:p w14:paraId="035E8C0E" w14:textId="77777777" w:rsidR="008A5109" w:rsidRDefault="00000000">
      <w:pPr>
        <w:keepNext/>
        <w:spacing w:before="160" w:after="60"/>
        <w:jc w:val="center"/>
      </w:pPr>
      <w:r>
        <w:drawing>
          <wp:inline xmlns:a="http://schemas.openxmlformats.org/drawingml/2006/main" xmlns:pic="http://schemas.openxmlformats.org/drawingml/2006/picture">
            <wp:extent cx="5806440" cy="3240804"/>
            <wp:docPr id="11" name="Picture 11"/>
            <wp:cNvGraphicFramePr>
              <a:graphicFrameLocks noChangeAspect="1"/>
            </wp:cNvGraphicFramePr>
            <a:graphic>
              <a:graphicData uri="http://schemas.openxmlformats.org/drawingml/2006/picture">
                <pic:pic>
                  <pic:nvPicPr>
                    <pic:cNvPr id="0" name="evidence_linked_herb_drug_architecture.jpg"/>
                    <pic:cNvPicPr/>
                  </pic:nvPicPr>
                  <pic:blipFill>
                    <a:blip r:embed="rId18"/>
                    <a:stretch>
                      <a:fillRect/>
                    </a:stretch>
                  </pic:blipFill>
                  <pic:spPr>
                    <a:xfrm>
                      <a:off x="0" y="0"/>
                      <a:ext cx="5806440" cy="3240804"/>
                    </a:xfrm>
                    <a:prstGeom prst="rect"/>
                  </pic:spPr>
                </pic:pic>
              </a:graphicData>
            </a:graphic>
          </wp:inline>
        </w:drawing>
      </w:r>
    </w:p>
    <w:p w14:paraId="5D2FAB7C" w14:textId="77777777" w:rsidR="008A5109" w:rsidRDefault="00000000">
      <w:pPr>
        <w:pStyle w:val="Caption"/>
        <w:keepLines/>
        <w:spacing w:before="100" w:after="160"/>
        <w:jc w:val="center"/>
      </w:pPr>
      <w:bookmarkStart w:id="20" w:name="hdi_ref_41"/>
      <w:r>
        <w:rPr>
          <w:b w:val="0"/>
        </w:rPr>
        <w:t>Figure 2 Implemented assay modeling and evidence linked screening architecture</w:t>
      </w:r>
      <w:bookmarkEnd w:id="20"/>
    </w:p>
    <w:p w14:paraId="08D288F2" w14:textId="77777777" w:rsidR="008A5109" w:rsidRDefault="00000000">
      <w:pPr>
        <w:jc w:val="both"/>
      </w:pPr>
      <w:r>
        <w:t>The system is structured into two interconnected workflows with a shared explanation layer:</w:t>
      </w:r>
    </w:p>
    <w:p w14:paraId="0FDC57AD" w14:textId="77777777" w:rsidR="008A5109" w:rsidRDefault="00000000">
      <w:pPr>
        <w:jc w:val="both"/>
      </w:pPr>
      <w:r>
        <w:t>1. Workflow 1 - Offline Model Development: Operating strictly on the ChEMBL 37 bioactivity dataset, this workflow executes nine sequential stages: (a) Source integrity verification using SHA-256 manifests; (b) Assay screening and parent structure standardization using RDKit; (c) Document-balanced sample aggregation to handle repeated laboratory measurements; (d) Grouped data partitioning into scaffold-disjoint and publication-disjoint splits; (e) 2048-bit Morgan molecular fingerprint extraction; (f) Target-specific regression model training across baseline, linear, and ensemble architectures; (g) Validation-based model selection; (h) Split-conformal prediction interval calibration; and (i) Model serialization into auditable joblib bundles.</w:t>
      </w:r>
    </w:p>
    <w:p w14:paraId="131C3E53" w14:textId="77777777" w:rsidR="008A5109" w:rsidRDefault="00000000">
      <w:pPr>
        <w:jc w:val="both"/>
      </w:pPr>
      <w:r>
        <w:t>2. Online workflow: The interface contains three logical information branches: a sourced constituent structure enters the saved assay models, cited drug pathways filter the relevant targets, and the local human-evidence catalog supplies study-specific findings. The implementation does not execute these branches as an asynchronous clinical service, estimate clearance fractions or invoke a citation-DAG engine.</w:t>
      </w:r>
    </w:p>
    <w:p w14:paraId="3D8FABA7" w14:textId="77777777" w:rsidR="008A5109" w:rsidRDefault="00000000">
      <w:pPr>
        <w:jc w:val="both"/>
      </w:pPr>
      <w:r>
        <w:lastRenderedPageBreak/>
        <w:t>3. Explanation layer: Catalog mechanism flags and the selected preparation-context policy generate explicit explanations of missing or incompatible information. The interface exports a JSON report containing source references and the catalog hash. These provenance aids are not authenticated clinical approvals or evidence that the chemical model predicts the human findings.</w:t>
      </w:r>
    </w:p>
    <w:p w14:paraId="4BB8F3AB" w14:textId="77777777" w:rsidR="008A5109" w:rsidRDefault="00000000">
      <w:pPr>
        <w:pStyle w:val="Heading2"/>
      </w:pPr>
      <w:bookmarkStart w:id="21" w:name="hdi_ref_19"/>
      <w:r>
        <w:rPr>
          <w:rFonts w:ascii="Times New Roman" w:hAnsi="Times New Roman"/>
        </w:rPr>
        <w:t>3.4 Algorithms and implementation strategy</w:t>
      </w:r>
      <w:bookmarkEnd w:id="21"/>
    </w:p>
    <w:p w14:paraId="1168C456" w14:textId="77777777" w:rsidR="008A5109" w:rsidRDefault="00000000">
      <w:pPr>
        <w:jc w:val="both"/>
      </w:pPr>
      <w:r>
        <w:t>The methodological contribution is the integration of a three-tier reliability framework, grouped assay evaluation, calibrated molecular uncertainty and explicit clinical abstention into one auditable research workflow. The following algorithms implement this formulation; Figure 3 summarizes the molecular assay engine and supported targets.</w:t>
      </w:r>
    </w:p>
    <w:p w14:paraId="7B40C937" w14:textId="77777777" w:rsidR="008A5109" w:rsidRDefault="00000000">
      <w:pPr>
        <w:keepNext/>
        <w:spacing w:before="160" w:after="60"/>
        <w:jc w:val="center"/>
      </w:pPr>
      <w:r>
        <w:drawing>
          <wp:inline xmlns:a="http://schemas.openxmlformats.org/drawingml/2006/main" xmlns:pic="http://schemas.openxmlformats.org/drawingml/2006/picture">
            <wp:extent cx="5806440" cy="2958811"/>
            <wp:docPr id="14" name="Picture 14"/>
            <wp:cNvGraphicFramePr>
              <a:graphicFrameLocks noChangeAspect="1"/>
            </wp:cNvGraphicFramePr>
            <a:graphic>
              <a:graphicData uri="http://schemas.openxmlformats.org/drawingml/2006/picture">
                <pic:pic>
                  <pic:nvPicPr>
                    <pic:cNvPr id="0" name="engine.png"/>
                    <pic:cNvPicPr/>
                  </pic:nvPicPr>
                  <pic:blipFill>
                    <a:blip r:embed="rId22"/>
                    <a:stretch>
                      <a:fillRect/>
                    </a:stretch>
                  </pic:blipFill>
                  <pic:spPr>
                    <a:xfrm>
                      <a:off x="0" y="0"/>
                      <a:ext cx="5806440" cy="2958811"/>
                    </a:xfrm>
                    <a:prstGeom prst="rect"/>
                  </pic:spPr>
                </pic:pic>
              </a:graphicData>
            </a:graphic>
          </wp:inline>
        </w:drawing>
      </w:r>
    </w:p>
    <w:p w14:paraId="7F744919" w14:textId="77777777" w:rsidR="008A5109" w:rsidRDefault="00000000">
      <w:pPr>
        <w:pStyle w:val="Caption"/>
        <w:keepLines/>
        <w:spacing w:before="100" w:after="160"/>
        <w:jc w:val="center"/>
      </w:pPr>
      <w:bookmarkStart w:id="22" w:name="hdi_ref_42"/>
      <w:r>
        <w:rPr>
          <w:b w:val="0"/>
        </w:rPr>
        <w:t>Figure 3 Compound assay engine and supported target panel</w:t>
      </w:r>
      <w:bookmarkEnd w:id="22"/>
    </w:p>
    <w:p w14:paraId="2B254988" w14:textId="77777777" w:rsidR="008A5109" w:rsidRDefault="00000000">
      <w:pPr>
        <w:jc w:val="both"/>
      </w:pPr>
      <w:r>
        <w:t>1. Structure representation: RDKit parses the input, selects the largest carbon-containing fragment and creates canonical nonisomeric SMILES. Salt parents and stereoisomers share a conservative structure group. Tautomer and charge standardization are not claimed. The standardized molecule is encoded as:</w:t>
      </w:r>
    </w:p>
    <w:p w14:paraId="5082AD36" w14:textId="77777777" w:rsidR="008A5109" w:rsidRDefault="00000000">
      <w:pPr>
        <w:keepLines/>
        <w:tabs>
          <w:tab w:val="center" w:pos="4493"/>
          <w:tab w:val="right" w:pos="9000"/>
        </w:tabs>
        <w:spacing w:before="60" w:after="80" w:line="276" w:lineRule="auto"/>
      </w:pPr>
      <w:r>
        <w:rPr>
          <w:sz w:val="22"/>
        </w:rPr>
        <w:tab/>
      </w:r>
      <m:oMath>
        <m:sSub>
          <m:sSubPr>
            <m:ctrlPr>
              <w:rPr>
                <w:rFonts w:ascii="DejaVu Math TeX Gyre" w:hAnsi="DejaVu Math TeX Gyre"/>
              </w:rPr>
            </m:ctrlPr>
          </m:sSubPr>
          <m:e>
            <m:r>
              <w:rPr>
                <w:rFonts w:ascii="DejaVu Math TeX Gyre" w:hAnsi="DejaVu Math TeX Gyre"/>
              </w:rPr>
              <m:t>x</m:t>
            </m:r>
          </m:e>
          <m:sub>
            <m:r>
              <w:rPr>
                <w:rFonts w:ascii="DejaVu Math TeX Gyre" w:hAnsi="DejaVu Math TeX Gyre"/>
              </w:rPr>
              <m:t>i</m:t>
            </m:r>
          </m:sub>
        </m:sSub>
        <m:r>
          <w:rPr>
            <w:rFonts w:ascii="DejaVu Math TeX Gyre" w:hAnsi="DejaVu Math TeX Gyre"/>
          </w:rPr>
          <m:t xml:space="preserve"> = </m:t>
        </m:r>
        <m:r>
          <m:rPr>
            <m:sty m:val="p"/>
          </m:rPr>
          <w:rPr>
            <w:rFonts w:ascii="DejaVu Math TeX Gyre" w:hAnsi="DejaVu Math TeX Gyre"/>
          </w:rPr>
          <m:t>Morgan</m:t>
        </m:r>
        <m:d>
          <m:dPr>
            <m:ctrlPr>
              <w:rPr>
                <w:rFonts w:ascii="DejaVu Math TeX Gyre" w:hAnsi="DejaVu Math TeX Gyre"/>
              </w:rPr>
            </m:ctrlPr>
          </m:dPr>
          <m:e>
            <m:sSub>
              <m:sSubPr>
                <m:ctrlPr>
                  <w:rPr>
                    <w:rFonts w:ascii="DejaVu Math TeX Gyre" w:hAnsi="DejaVu Math TeX Gyre"/>
                  </w:rPr>
                </m:ctrlPr>
              </m:sSubPr>
              <m:e>
                <m:r>
                  <w:rPr>
                    <w:rFonts w:ascii="DejaVu Math TeX Gyre" w:hAnsi="DejaVu Math TeX Gyre"/>
                  </w:rPr>
                  <m:t>M</m:t>
                </m:r>
              </m:e>
              <m:sub>
                <m:r>
                  <w:rPr>
                    <w:rFonts w:ascii="DejaVu Math TeX Gyre" w:hAnsi="DejaVu Math TeX Gyre"/>
                  </w:rPr>
                  <m:t>i</m:t>
                </m:r>
              </m:sub>
            </m:sSub>
            <m:r>
              <w:rPr>
                <w:rFonts w:ascii="DejaVu Math TeX Gyre" w:hAnsi="DejaVu Math TeX Gyre"/>
              </w:rPr>
              <m:t xml:space="preserve">; </m:t>
            </m:r>
            <m:r>
              <m:rPr>
                <m:sty m:val="p"/>
              </m:rPr>
              <w:rPr>
                <w:rFonts w:ascii="DejaVu Math TeX Gyre" w:hAnsi="DejaVu Math TeX Gyre"/>
              </w:rPr>
              <m:t>radius</m:t>
            </m:r>
            <m:r>
              <w:rPr>
                <w:rFonts w:ascii="DejaVu Math TeX Gyre" w:hAnsi="DejaVu Math TeX Gyre"/>
              </w:rPr>
              <m:t xml:space="preserve"> = 2, </m:t>
            </m:r>
            <m:r>
              <m:rPr>
                <m:sty m:val="p"/>
              </m:rPr>
              <w:rPr>
                <w:rFonts w:ascii="DejaVu Math TeX Gyre" w:hAnsi="DejaVu Math TeX Gyre"/>
              </w:rPr>
              <m:t>bits</m:t>
            </m:r>
            <m:r>
              <w:rPr>
                <w:rFonts w:ascii="DejaVu Math TeX Gyre" w:hAnsi="DejaVu Math TeX Gyre"/>
              </w:rPr>
              <m:t xml:space="preserve"> = 2048</m:t>
            </m:r>
          </m:e>
        </m:d>
        <m:r>
          <w:rPr>
            <w:rFonts w:ascii="DejaVu Math TeX Gyre" w:hAnsi="DejaVu Math TeX Gyre"/>
          </w:rPr>
          <m:t xml:space="preserve"> ∈ </m:t>
        </m:r>
        <m:sSup>
          <m:sSupPr>
            <m:ctrlPr>
              <w:rPr>
                <w:rFonts w:ascii="DejaVu Math TeX Gyre" w:hAnsi="DejaVu Math TeX Gyre"/>
              </w:rPr>
            </m:ctrlPr>
          </m:sSupPr>
          <m:e>
            <m:d>
              <m:dPr>
                <m:begChr m:val="{"/>
                <m:endChr m:val="}"/>
                <m:ctrlPr>
                  <w:rPr>
                    <w:rFonts w:ascii="DejaVu Math TeX Gyre" w:hAnsi="DejaVu Math TeX Gyre"/>
                  </w:rPr>
                </m:ctrlPr>
              </m:dPr>
              <m:e>
                <m:r>
                  <w:rPr>
                    <w:rFonts w:ascii="DejaVu Math TeX Gyre" w:hAnsi="DejaVu Math TeX Gyre"/>
                  </w:rPr>
                  <m:t>0, 1</m:t>
                </m:r>
              </m:e>
            </m:d>
          </m:e>
          <m:sup>
            <m:r>
              <w:rPr>
                <w:rFonts w:ascii="DejaVu Math TeX Gyre" w:hAnsi="DejaVu Math TeX Gyre"/>
              </w:rPr>
              <m:t>2048</m:t>
            </m:r>
          </m:sup>
        </m:sSup>
      </m:oMath>
      <w:r>
        <w:rPr>
          <w:sz w:val="22"/>
        </w:rPr>
        <w:tab/>
        <w:t>(3.1)</w:t>
      </w:r>
    </w:p>
    <w:p w14:paraId="403BE368" w14:textId="77777777" w:rsidR="008A5109" w:rsidRDefault="00000000">
      <w:pPr>
        <w:jc w:val="both"/>
      </w:pPr>
      <w:r>
        <w:t>2. Target regression and consistency weighting: Each target has separate median, ridge and tree comparisons. Ridge uses regularization parameter 100 and the LSQR solver. ExtraTrees uses 128 estimators, minimum leaf size two and a feature fraction of 0.5. For a training structure-</w:t>
      </w:r>
      <w:r>
        <w:lastRenderedPageBreak/>
        <w:t>target pair with retained log-potencies z, MAD is the median absolute deviation from their median. Its exploratory training weight is the inverse of one plus that dispersion.</w:t>
      </w:r>
    </w:p>
    <w:p w14:paraId="548FF11C" w14:textId="77777777" w:rsidR="008A5109" w:rsidRDefault="00000000">
      <w:pPr>
        <w:keepLines/>
        <w:tabs>
          <w:tab w:val="center" w:pos="4493"/>
          <w:tab w:val="right" w:pos="9000"/>
        </w:tabs>
        <w:spacing w:before="60" w:after="80" w:line="276" w:lineRule="auto"/>
      </w:pPr>
      <w:r>
        <w:rPr>
          <w:sz w:val="22"/>
        </w:rPr>
        <w:tab/>
      </w:r>
      <m:oMath>
        <m:sSub>
          <m:sSubPr>
            <m:ctrlPr>
              <w:rPr>
                <w:rFonts w:ascii="DejaVu Math TeX Gyre" w:hAnsi="DejaVu Math TeX Gyre"/>
              </w:rPr>
            </m:ctrlPr>
          </m:sSubPr>
          <m:e>
            <m:r>
              <m:rPr>
                <m:sty m:val="p"/>
              </m:rPr>
              <w:rPr>
                <w:rFonts w:ascii="DejaVu Math TeX Gyre" w:hAnsi="DejaVu Math TeX Gyre"/>
              </w:rPr>
              <m:t>MAD</m:t>
            </m:r>
          </m:e>
          <m:sub>
            <m:r>
              <w:rPr>
                <w:rFonts w:ascii="DejaVu Math TeX Gyre" w:hAnsi="DejaVu Math TeX Gyre"/>
              </w:rPr>
              <m:t>i</m:t>
            </m:r>
          </m:sub>
        </m:sSub>
        <m:r>
          <w:rPr>
            <w:rFonts w:ascii="DejaVu Math TeX Gyre" w:hAnsi="DejaVu Math TeX Gyre"/>
          </w:rPr>
          <m:t xml:space="preserve"> = </m:t>
        </m:r>
        <m:sSub>
          <m:sSubPr>
            <m:ctrlPr>
              <w:rPr>
                <w:rFonts w:ascii="DejaVu Math TeX Gyre" w:hAnsi="DejaVu Math TeX Gyre"/>
              </w:rPr>
            </m:ctrlPr>
          </m:sSubPr>
          <m:e>
            <m:r>
              <m:rPr>
                <m:sty m:val="p"/>
              </m:rPr>
              <w:rPr>
                <w:rFonts w:ascii="DejaVu Math TeX Gyre" w:hAnsi="DejaVu Math TeX Gyre"/>
              </w:rPr>
              <m:t>median</m:t>
            </m:r>
          </m:e>
          <m:sub>
            <m:r>
              <w:rPr>
                <w:rFonts w:ascii="DejaVu Math TeX Gyre" w:hAnsi="DejaVu Math TeX Gyre"/>
              </w:rPr>
              <m:t>j</m:t>
            </m:r>
          </m:sub>
        </m:sSub>
        <m:d>
          <m:dPr>
            <m:begChr m:val="|"/>
            <m:endChr m:val="|"/>
            <m:ctrlPr>
              <w:rPr>
                <w:rFonts w:ascii="DejaVu Math TeX Gyre" w:hAnsi="DejaVu Math TeX Gyre"/>
              </w:rPr>
            </m:ctrlPr>
          </m:dPr>
          <m:e>
            <m:sSub>
              <m:sSubPr>
                <m:ctrlPr>
                  <w:rPr>
                    <w:rFonts w:ascii="DejaVu Math TeX Gyre" w:hAnsi="DejaVu Math TeX Gyre"/>
                  </w:rPr>
                </m:ctrlPr>
              </m:sSubPr>
              <m:e>
                <m:r>
                  <w:rPr>
                    <w:rFonts w:ascii="DejaVu Math TeX Gyre" w:hAnsi="DejaVu Math TeX Gyre"/>
                  </w:rPr>
                  <m:t>z</m:t>
                </m:r>
              </m:e>
              <m:sub>
                <m:r>
                  <w:rPr>
                    <w:rFonts w:ascii="DejaVu Math TeX Gyre" w:hAnsi="DejaVu Math TeX Gyre"/>
                  </w:rPr>
                  <m:t>ij</m:t>
                </m:r>
              </m:sub>
            </m:sSub>
            <m:r>
              <w:rPr>
                <w:rFonts w:ascii="DejaVu Math TeX Gyre" w:hAnsi="DejaVu Math TeX Gyre"/>
              </w:rPr>
              <m:t xml:space="preserve"> - </m:t>
            </m:r>
            <m:sSub>
              <m:sSubPr>
                <m:ctrlPr>
                  <w:rPr>
                    <w:rFonts w:ascii="DejaVu Math TeX Gyre" w:hAnsi="DejaVu Math TeX Gyre"/>
                  </w:rPr>
                </m:ctrlPr>
              </m:sSubPr>
              <m:e>
                <m:r>
                  <m:rPr>
                    <m:sty m:val="p"/>
                  </m:rPr>
                  <w:rPr>
                    <w:rFonts w:ascii="DejaVu Math TeX Gyre" w:hAnsi="DejaVu Math TeX Gyre"/>
                  </w:rPr>
                  <m:t>median</m:t>
                </m:r>
              </m:e>
              <m:sub>
                <m:r>
                  <w:rPr>
                    <w:rFonts w:ascii="DejaVu Math TeX Gyre" w:hAnsi="DejaVu Math TeX Gyre"/>
                  </w:rPr>
                  <m:t>l</m:t>
                </m:r>
              </m:sub>
            </m:sSub>
            <m:d>
              <m:dPr>
                <m:ctrlPr>
                  <w:rPr>
                    <w:rFonts w:ascii="DejaVu Math TeX Gyre" w:hAnsi="DejaVu Math TeX Gyre"/>
                  </w:rPr>
                </m:ctrlPr>
              </m:dPr>
              <m:e>
                <m:sSub>
                  <m:sSubPr>
                    <m:ctrlPr>
                      <w:rPr>
                        <w:rFonts w:ascii="DejaVu Math TeX Gyre" w:hAnsi="DejaVu Math TeX Gyre"/>
                      </w:rPr>
                    </m:ctrlPr>
                  </m:sSubPr>
                  <m:e>
                    <m:r>
                      <w:rPr>
                        <w:rFonts w:ascii="DejaVu Math TeX Gyre" w:hAnsi="DejaVu Math TeX Gyre"/>
                      </w:rPr>
                      <m:t>z</m:t>
                    </m:r>
                  </m:e>
                  <m:sub>
                    <m:r>
                      <w:rPr>
                        <w:rFonts w:ascii="DejaVu Math TeX Gyre" w:hAnsi="DejaVu Math TeX Gyre"/>
                      </w:rPr>
                      <m:t>il</m:t>
                    </m:r>
                  </m:sub>
                </m:sSub>
              </m:e>
            </m:d>
          </m:e>
        </m:d>
      </m:oMath>
      <w:r>
        <w:rPr>
          <w:sz w:val="22"/>
        </w:rPr>
        <w:tab/>
        <w:t>(3.2)</w:t>
      </w:r>
    </w:p>
    <w:p w14:paraId="3121A154" w14:textId="77777777" w:rsidR="008A5109" w:rsidRDefault="00000000">
      <w:pPr>
        <w:keepLines/>
        <w:tabs>
          <w:tab w:val="center" w:pos="4493"/>
          <w:tab w:val="right" w:pos="9000"/>
        </w:tabs>
        <w:spacing w:before="60" w:after="80" w:line="276" w:lineRule="auto"/>
      </w:pPr>
      <w:r>
        <w:rPr>
          <w:sz w:val="22"/>
        </w:rPr>
        <w:tab/>
      </w:r>
      <m:oMath>
        <m:sSub>
          <m:sSubPr>
            <m:ctrlPr>
              <w:rPr>
                <w:rFonts w:ascii="DejaVu Math TeX Gyre" w:hAnsi="DejaVu Math TeX Gyre"/>
              </w:rPr>
            </m:ctrlPr>
          </m:sSubPr>
          <m:e>
            <m:r>
              <w:rPr>
                <w:rFonts w:ascii="DejaVu Math TeX Gyre" w:hAnsi="DejaVu Math TeX Gyre"/>
              </w:rPr>
              <m:t>w</m:t>
            </m:r>
          </m:e>
          <m:sub>
            <m:r>
              <w:rPr>
                <w:rFonts w:ascii="DejaVu Math TeX Gyre" w:hAnsi="DejaVu Math TeX Gyre"/>
              </w:rPr>
              <m:t>i</m:t>
            </m:r>
          </m:sub>
        </m:sSub>
        <m:r>
          <w:rPr>
            <w:rFonts w:ascii="DejaVu Math TeX Gyre" w:hAnsi="DejaVu Math TeX Gyre"/>
          </w:rPr>
          <m:t xml:space="preserve"> = </m:t>
        </m:r>
        <m:f>
          <m:fPr>
            <m:ctrlPr>
              <w:rPr>
                <w:rFonts w:ascii="DejaVu Math TeX Gyre" w:hAnsi="DejaVu Math TeX Gyre"/>
              </w:rPr>
            </m:ctrlPr>
          </m:fPr>
          <m:num>
            <m:r>
              <w:rPr>
                <w:rFonts w:ascii="DejaVu Math TeX Gyre" w:hAnsi="DejaVu Math TeX Gyre"/>
              </w:rPr>
              <m:t>1</m:t>
            </m:r>
          </m:num>
          <m:den>
            <m:r>
              <w:rPr>
                <w:rFonts w:ascii="DejaVu Math TeX Gyre" w:hAnsi="DejaVu Math TeX Gyre"/>
              </w:rPr>
              <m:t xml:space="preserve">1 + </m:t>
            </m:r>
            <m:sSub>
              <m:sSubPr>
                <m:ctrlPr>
                  <w:rPr>
                    <w:rFonts w:ascii="DejaVu Math TeX Gyre" w:hAnsi="DejaVu Math TeX Gyre"/>
                  </w:rPr>
                </m:ctrlPr>
              </m:sSubPr>
              <m:e>
                <m:r>
                  <m:rPr>
                    <m:sty m:val="p"/>
                  </m:rPr>
                  <w:rPr>
                    <w:rFonts w:ascii="DejaVu Math TeX Gyre" w:hAnsi="DejaVu Math TeX Gyre"/>
                  </w:rPr>
                  <m:t>MAD</m:t>
                </m:r>
              </m:e>
              <m:sub>
                <m:r>
                  <w:rPr>
                    <w:rFonts w:ascii="DejaVu Math TeX Gyre" w:hAnsi="DejaVu Math TeX Gyre"/>
                  </w:rPr>
                  <m:t>i</m:t>
                </m:r>
              </m:sub>
            </m:sSub>
          </m:den>
        </m:f>
      </m:oMath>
      <w:r>
        <w:rPr>
          <w:sz w:val="22"/>
        </w:rPr>
        <w:tab/>
        <w:t>(3.3)</w:t>
      </w:r>
    </w:p>
    <w:p w14:paraId="7236EB67" w14:textId="77777777" w:rsidR="008A5109" w:rsidRDefault="00000000">
      <w:pPr>
        <w:jc w:val="both"/>
      </w:pPr>
      <w:r>
        <w:t>The weight measures agreement among the retained measurements; it does not distinguish shared bias from reproducibility or establish study truthfulness. A single measurement receives unit weight. Only training-pair dispersion enters model fitting, and no general performance benefit is assumed.</w:t>
      </w:r>
    </w:p>
    <w:p w14:paraId="3FF1D118" w14:textId="77777777" w:rsidR="008A5109" w:rsidRDefault="00000000">
      <w:pPr>
        <w:jc w:val="both"/>
      </w:pPr>
      <w:r>
        <w:t>3. Split-conformal calibration: For the selected target model, absolute residuals are computed on a separate calibration role. Ten percent is the assigned group fraction, not an exact sample fraction. Let the fitted function denote the predictor, and let the calibration residuals be ordered from smallest to largest:</w:t>
      </w:r>
    </w:p>
    <w:p w14:paraId="3AEF572B" w14:textId="77777777" w:rsidR="008A5109" w:rsidRDefault="00000000">
      <w:pPr>
        <w:keepLines/>
        <w:tabs>
          <w:tab w:val="center" w:pos="4493"/>
          <w:tab w:val="right" w:pos="9000"/>
        </w:tabs>
        <w:spacing w:before="60" w:after="80" w:line="276" w:lineRule="auto"/>
      </w:pPr>
      <w:r>
        <w:rPr>
          <w:sz w:val="22"/>
        </w:rPr>
        <w:tab/>
      </w:r>
      <m:oMath>
        <m:sSub>
          <m:sSubPr>
            <m:ctrlPr>
              <w:rPr>
                <w:rFonts w:ascii="DejaVu Math TeX Gyre" w:hAnsi="DejaVu Math TeX Gyre"/>
              </w:rPr>
            </m:ctrlPr>
          </m:sSubPr>
          <m:e>
            <m:r>
              <w:rPr>
                <w:rFonts w:ascii="DejaVu Math TeX Gyre" w:hAnsi="DejaVu Math TeX Gyre"/>
              </w:rPr>
              <m:t>s</m:t>
            </m:r>
          </m:e>
          <m:sub>
            <m:r>
              <w:rPr>
                <w:rFonts w:ascii="DejaVu Math TeX Gyre" w:hAnsi="DejaVu Math TeX Gyre"/>
              </w:rPr>
              <m:t>j</m:t>
            </m:r>
          </m:sub>
        </m:sSub>
        <m:r>
          <w:rPr>
            <w:rFonts w:ascii="DejaVu Math TeX Gyre" w:hAnsi="DejaVu Math TeX Gyre"/>
          </w:rPr>
          <m:t xml:space="preserve"> = </m:t>
        </m:r>
        <m:d>
          <m:dPr>
            <m:begChr m:val="|"/>
            <m:endChr m:val="|"/>
            <m:ctrlPr>
              <w:rPr>
                <w:rFonts w:ascii="DejaVu Math TeX Gyre" w:hAnsi="DejaVu Math TeX Gyre"/>
              </w:rPr>
            </m:ctrlPr>
          </m:dPr>
          <m:e>
            <m:sSub>
              <m:sSubPr>
                <m:ctrlPr>
                  <w:rPr>
                    <w:rFonts w:ascii="DejaVu Math TeX Gyre" w:hAnsi="DejaVu Math TeX Gyre"/>
                  </w:rPr>
                </m:ctrlPr>
              </m:sSubPr>
              <m:e>
                <m:r>
                  <w:rPr>
                    <w:rFonts w:ascii="DejaVu Math TeX Gyre" w:hAnsi="DejaVu Math TeX Gyre"/>
                  </w:rPr>
                  <m:t>y</m:t>
                </m:r>
              </m:e>
              <m:sub>
                <m:r>
                  <w:rPr>
                    <w:rFonts w:ascii="DejaVu Math TeX Gyre" w:hAnsi="DejaVu Math TeX Gyre"/>
                  </w:rPr>
                  <m:t>j</m:t>
                </m:r>
              </m:sub>
            </m:sSub>
            <m:r>
              <w:rPr>
                <w:rFonts w:ascii="DejaVu Math TeX Gyre" w:hAnsi="DejaVu Math TeX Gyre"/>
              </w:rPr>
              <m:t xml:space="preserve"> - </m:t>
            </m:r>
            <m:acc>
              <m:accPr>
                <m:ctrlPr>
                  <w:rPr>
                    <w:rFonts w:ascii="DejaVu Math TeX Gyre" w:hAnsi="DejaVu Math TeX Gyre"/>
                  </w:rPr>
                </m:ctrlPr>
              </m:accPr>
              <m:e>
                <m:r>
                  <w:rPr>
                    <w:rFonts w:ascii="DejaVu Math TeX Gyre" w:hAnsi="DejaVu Math TeX Gyre"/>
                  </w:rPr>
                  <m:t>f</m:t>
                </m:r>
              </m:e>
            </m:acc>
            <m:d>
              <m:dPr>
                <m:ctrlPr>
                  <w:rPr>
                    <w:rFonts w:ascii="DejaVu Math TeX Gyre" w:hAnsi="DejaVu Math TeX Gyre"/>
                  </w:rPr>
                </m:ctrlPr>
              </m:dPr>
              <m:e>
                <m:sSub>
                  <m:sSubPr>
                    <m:ctrlPr>
                      <w:rPr>
                        <w:rFonts w:ascii="DejaVu Math TeX Gyre" w:hAnsi="DejaVu Math TeX Gyre"/>
                      </w:rPr>
                    </m:ctrlPr>
                  </m:sSubPr>
                  <m:e>
                    <m:r>
                      <w:rPr>
                        <w:rFonts w:ascii="DejaVu Math TeX Gyre" w:hAnsi="DejaVu Math TeX Gyre"/>
                      </w:rPr>
                      <m:t>x</m:t>
                    </m:r>
                  </m:e>
                  <m:sub>
                    <m:r>
                      <w:rPr>
                        <w:rFonts w:ascii="DejaVu Math TeX Gyre" w:hAnsi="DejaVu Math TeX Gyre"/>
                      </w:rPr>
                      <m:t>j</m:t>
                    </m:r>
                  </m:sub>
                </m:sSub>
              </m:e>
            </m:d>
          </m:e>
        </m:d>
        <m:r>
          <w:rPr>
            <w:rFonts w:ascii="DejaVu Math TeX Gyre" w:hAnsi="DejaVu Math TeX Gyre"/>
          </w:rPr>
          <m:t xml:space="preserve">,  j ∈ </m:t>
        </m:r>
        <m:sSub>
          <m:sSubPr>
            <m:ctrlPr>
              <w:rPr>
                <w:rFonts w:ascii="DejaVu Math TeX Gyre" w:hAnsi="DejaVu Math TeX Gyre"/>
              </w:rPr>
            </m:ctrlPr>
          </m:sSubPr>
          <m:e>
            <m:r>
              <m:rPr>
                <m:sty m:val="p"/>
              </m:rPr>
              <w:rPr>
                <w:rFonts w:ascii="DejaVu Math TeX Gyre" w:hAnsi="DejaVu Math TeX Gyre"/>
              </w:rPr>
              <m:t>I</m:t>
            </m:r>
          </m:e>
          <m:sub>
            <m:r>
              <m:rPr>
                <m:sty m:val="p"/>
              </m:rPr>
              <w:rPr>
                <w:rFonts w:ascii="DejaVu Math TeX Gyre" w:hAnsi="DejaVu Math TeX Gyre"/>
              </w:rPr>
              <m:t>cal</m:t>
            </m:r>
          </m:sub>
        </m:sSub>
      </m:oMath>
      <w:r>
        <w:rPr>
          <w:sz w:val="22"/>
        </w:rPr>
        <w:tab/>
        <w:t>(3.4)</w:t>
      </w:r>
    </w:p>
    <w:p w14:paraId="0AEFD11C" w14:textId="77777777" w:rsidR="008A5109" w:rsidRDefault="00000000">
      <w:pPr>
        <w:jc w:val="both"/>
      </w:pPr>
      <w:r>
        <w:t>For nominal coverage 1 - α = 0.90 and the calibration count, use the finite-sample order-statistic rank k and radius q below. If k exceeds the calibration count, the implementation rejects a finite interval rather than applying an interpolated quantile:</w:t>
      </w:r>
    </w:p>
    <w:p w14:paraId="2D35D366" w14:textId="77777777" w:rsidR="008A5109" w:rsidRDefault="00000000">
      <w:pPr>
        <w:keepLines/>
        <w:tabs>
          <w:tab w:val="center" w:pos="4493"/>
          <w:tab w:val="right" w:pos="9000"/>
        </w:tabs>
        <w:spacing w:before="60" w:after="80" w:line="276" w:lineRule="auto"/>
      </w:pPr>
      <w:r>
        <w:rPr>
          <w:sz w:val="22"/>
        </w:rPr>
        <w:tab/>
      </w:r>
      <m:oMath>
        <m:r>
          <w:rPr>
            <w:rFonts w:ascii="DejaVu Math TeX Gyre" w:hAnsi="DejaVu Math TeX Gyre"/>
          </w:rPr>
          <m:t xml:space="preserve">k = </m:t>
        </m:r>
        <m:d>
          <m:dPr>
            <m:begChr m:val="⌈"/>
            <m:endChr m:val="⌉"/>
            <m:ctrlPr>
              <w:rPr>
                <w:rFonts w:ascii="DejaVu Math TeX Gyre" w:hAnsi="DejaVu Math TeX Gyre"/>
              </w:rPr>
            </m:ctrlPr>
          </m:dPr>
          <m:e>
            <m:d>
              <m:dPr>
                <m:ctrlPr>
                  <w:rPr>
                    <w:rFonts w:ascii="DejaVu Math TeX Gyre" w:hAnsi="DejaVu Math TeX Gyre"/>
                  </w:rPr>
                </m:ctrlPr>
              </m:dPr>
              <m:e>
                <m:sSub>
                  <m:sSubPr>
                    <m:ctrlPr>
                      <w:rPr>
                        <w:rFonts w:ascii="DejaVu Math TeX Gyre" w:hAnsi="DejaVu Math TeX Gyre"/>
                      </w:rPr>
                    </m:ctrlPr>
                  </m:sSubPr>
                  <m:e>
                    <m:r>
                      <w:rPr>
                        <w:rFonts w:ascii="DejaVu Math TeX Gyre" w:hAnsi="DejaVu Math TeX Gyre"/>
                      </w:rPr>
                      <m:t>n</m:t>
                    </m:r>
                  </m:e>
                  <m:sub>
                    <m:r>
                      <m:rPr>
                        <m:sty m:val="p"/>
                      </m:rPr>
                      <w:rPr>
                        <w:rFonts w:ascii="DejaVu Math TeX Gyre" w:hAnsi="DejaVu Math TeX Gyre"/>
                      </w:rPr>
                      <m:t>cal</m:t>
                    </m:r>
                  </m:sub>
                </m:sSub>
                <m:r>
                  <w:rPr>
                    <w:rFonts w:ascii="DejaVu Math TeX Gyre" w:hAnsi="DejaVu Math TeX Gyre"/>
                  </w:rPr>
                  <m:t xml:space="preserve"> + 1</m:t>
                </m:r>
              </m:e>
            </m:d>
            <m:d>
              <m:dPr>
                <m:ctrlPr>
                  <w:rPr>
                    <w:rFonts w:ascii="DejaVu Math TeX Gyre" w:hAnsi="DejaVu Math TeX Gyre"/>
                  </w:rPr>
                </m:ctrlPr>
              </m:dPr>
              <m:e>
                <m:r>
                  <w:rPr>
                    <w:rFonts w:ascii="DejaVu Math TeX Gyre" w:hAnsi="DejaVu Math TeX Gyre"/>
                  </w:rPr>
                  <m:t>1 - α</m:t>
                </m:r>
              </m:e>
            </m:d>
          </m:e>
        </m:d>
        <m:r>
          <w:rPr>
            <w:rFonts w:ascii="DejaVu Math TeX Gyre" w:hAnsi="DejaVu Math TeX Gyre"/>
          </w:rPr>
          <m:t xml:space="preserve">,   q = </m:t>
        </m:r>
        <m:sSub>
          <m:sSubPr>
            <m:ctrlPr>
              <w:rPr>
                <w:rFonts w:ascii="DejaVu Math TeX Gyre" w:hAnsi="DejaVu Math TeX Gyre"/>
              </w:rPr>
            </m:ctrlPr>
          </m:sSubPr>
          <m:e>
            <m:r>
              <w:rPr>
                <w:rFonts w:ascii="DejaVu Math TeX Gyre" w:hAnsi="DejaVu Math TeX Gyre"/>
              </w:rPr>
              <m:t>s</m:t>
            </m:r>
          </m:e>
          <m:sub>
            <m:d>
              <m:dPr>
                <m:ctrlPr>
                  <w:rPr>
                    <w:rFonts w:ascii="DejaVu Math TeX Gyre" w:hAnsi="DejaVu Math TeX Gyre"/>
                  </w:rPr>
                </m:ctrlPr>
              </m:dPr>
              <m:e>
                <m:r>
                  <w:rPr>
                    <w:rFonts w:ascii="DejaVu Math TeX Gyre" w:hAnsi="DejaVu Math TeX Gyre"/>
                  </w:rPr>
                  <m:t>k</m:t>
                </m:r>
              </m:e>
            </m:d>
          </m:sub>
        </m:sSub>
      </m:oMath>
      <w:r>
        <w:rPr>
          <w:sz w:val="22"/>
        </w:rPr>
        <w:tab/>
        <w:t>(3.5)</w:t>
      </w:r>
    </w:p>
    <w:p w14:paraId="04FBBAB0" w14:textId="77777777" w:rsidR="008A5109" w:rsidRDefault="00000000">
      <w:pPr>
        <w:jc w:val="both"/>
      </w:pPr>
      <w:r>
        <w:t>For a new constituent representation x, the selected model returns the interval:</w:t>
      </w:r>
    </w:p>
    <w:p w14:paraId="4835A21E" w14:textId="77777777" w:rsidR="008A5109" w:rsidRDefault="00000000">
      <w:pPr>
        <w:keepLines/>
        <w:tabs>
          <w:tab w:val="center" w:pos="4493"/>
          <w:tab w:val="right" w:pos="9000"/>
        </w:tabs>
        <w:spacing w:before="60" w:after="80" w:line="276" w:lineRule="auto"/>
      </w:pPr>
      <w:r>
        <w:rPr>
          <w:sz w:val="22"/>
        </w:rPr>
        <w:tab/>
      </w:r>
      <m:oMath>
        <m:sSub>
          <m:sSubPr>
            <m:ctrlPr>
              <w:rPr>
                <w:rFonts w:ascii="DejaVu Math TeX Gyre" w:hAnsi="DejaVu Math TeX Gyre"/>
              </w:rPr>
            </m:ctrlPr>
          </m:sSubPr>
          <m:e>
            <m:r>
              <w:rPr>
                <w:rFonts w:ascii="DejaVu Math TeX Gyre" w:hAnsi="DejaVu Math TeX Gyre"/>
              </w:rPr>
              <m:t>C</m:t>
            </m:r>
          </m:e>
          <m:sub>
            <m:r>
              <w:rPr>
                <w:rFonts w:ascii="DejaVu Math TeX Gyre" w:hAnsi="DejaVu Math TeX Gyre"/>
              </w:rPr>
              <m:t>α</m:t>
            </m:r>
          </m:sub>
        </m:sSub>
        <m:d>
          <m:dPr>
            <m:ctrlPr>
              <w:rPr>
                <w:rFonts w:ascii="DejaVu Math TeX Gyre" w:hAnsi="DejaVu Math TeX Gyre"/>
              </w:rPr>
            </m:ctrlPr>
          </m:dPr>
          <m:e>
            <m:r>
              <w:rPr>
                <w:rFonts w:ascii="DejaVu Math TeX Gyre" w:hAnsi="DejaVu Math TeX Gyre"/>
              </w:rPr>
              <m:t>x</m:t>
            </m:r>
          </m:e>
        </m:d>
        <m:r>
          <w:rPr>
            <w:rFonts w:ascii="DejaVu Math TeX Gyre" w:hAnsi="DejaVu Math TeX Gyre"/>
          </w:rPr>
          <m:t xml:space="preserve"> = </m:t>
        </m:r>
        <m:d>
          <m:dPr>
            <m:begChr m:val="["/>
            <m:endChr m:val="]"/>
            <m:ctrlPr>
              <w:rPr>
                <w:rFonts w:ascii="DejaVu Math TeX Gyre" w:hAnsi="DejaVu Math TeX Gyre"/>
              </w:rPr>
            </m:ctrlPr>
          </m:dPr>
          <m:e>
            <m:acc>
              <m:accPr>
                <m:ctrlPr>
                  <w:rPr>
                    <w:rFonts w:ascii="DejaVu Math TeX Gyre" w:hAnsi="DejaVu Math TeX Gyre"/>
                  </w:rPr>
                </m:ctrlPr>
              </m:accPr>
              <m:e>
                <m:r>
                  <w:rPr>
                    <w:rFonts w:ascii="DejaVu Math TeX Gyre" w:hAnsi="DejaVu Math TeX Gyre"/>
                  </w:rPr>
                  <m:t>f</m:t>
                </m:r>
              </m:e>
            </m:acc>
            <m:d>
              <m:dPr>
                <m:ctrlPr>
                  <w:rPr>
                    <w:rFonts w:ascii="DejaVu Math TeX Gyre" w:hAnsi="DejaVu Math TeX Gyre"/>
                  </w:rPr>
                </m:ctrlPr>
              </m:dPr>
              <m:e>
                <m:r>
                  <w:rPr>
                    <w:rFonts w:ascii="DejaVu Math TeX Gyre" w:hAnsi="DejaVu Math TeX Gyre"/>
                  </w:rPr>
                  <m:t>x</m:t>
                </m:r>
              </m:e>
            </m:d>
            <m:r>
              <w:rPr>
                <w:rFonts w:ascii="DejaVu Math TeX Gyre" w:hAnsi="DejaVu Math TeX Gyre"/>
              </w:rPr>
              <m:t xml:space="preserve"> - q,  </m:t>
            </m:r>
            <m:acc>
              <m:accPr>
                <m:ctrlPr>
                  <w:rPr>
                    <w:rFonts w:ascii="DejaVu Math TeX Gyre" w:hAnsi="DejaVu Math TeX Gyre"/>
                  </w:rPr>
                </m:ctrlPr>
              </m:accPr>
              <m:e>
                <m:r>
                  <w:rPr>
                    <w:rFonts w:ascii="DejaVu Math TeX Gyre" w:hAnsi="DejaVu Math TeX Gyre"/>
                  </w:rPr>
                  <m:t>f</m:t>
                </m:r>
              </m:e>
            </m:acc>
            <m:d>
              <m:dPr>
                <m:ctrlPr>
                  <w:rPr>
                    <w:rFonts w:ascii="DejaVu Math TeX Gyre" w:hAnsi="DejaVu Math TeX Gyre"/>
                  </w:rPr>
                </m:ctrlPr>
              </m:dPr>
              <m:e>
                <m:r>
                  <w:rPr>
                    <w:rFonts w:ascii="DejaVu Math TeX Gyre" w:hAnsi="DejaVu Math TeX Gyre"/>
                  </w:rPr>
                  <m:t>x</m:t>
                </m:r>
              </m:e>
            </m:d>
            <m:r>
              <w:rPr>
                <w:rFonts w:ascii="DejaVu Math TeX Gyre" w:hAnsi="DejaVu Math TeX Gyre"/>
              </w:rPr>
              <m:t xml:space="preserve"> + q</m:t>
            </m:r>
          </m:e>
        </m:d>
      </m:oMath>
      <w:r>
        <w:rPr>
          <w:sz w:val="22"/>
        </w:rPr>
        <w:tab/>
        <w:t>(3.6)</w:t>
      </w:r>
    </w:p>
    <w:p w14:paraId="4C992ADF" w14:textId="77777777" w:rsidR="008A5109" w:rsidRDefault="00000000">
      <w:pPr>
        <w:jc w:val="both"/>
      </w:pPr>
      <w:r>
        <w:t>Inductive split-conformal calibration gives finite-sample marginal assay coverage under exchangeability [6]. Scaffold and publication holdouts assess coverage under chemical and source shift; the guarantee does not automatically extend to shifted populations or clinical outcomes.</w:t>
      </w:r>
    </w:p>
    <w:p w14:paraId="2B0E7BEA" w14:textId="77777777" w:rsidR="008A5109" w:rsidRDefault="00000000">
      <w:pPr>
        <w:keepLines/>
        <w:tabs>
          <w:tab w:val="center" w:pos="4493"/>
          <w:tab w:val="right" w:pos="9000"/>
        </w:tabs>
        <w:spacing w:before="60" w:after="80" w:line="276" w:lineRule="auto"/>
      </w:pPr>
      <w:r>
        <w:rPr>
          <w:sz w:val="22"/>
        </w:rPr>
        <w:tab/>
      </w:r>
      <m:oMath>
        <m:r>
          <m:rPr>
            <m:sty m:val="p"/>
          </m:rPr>
          <w:rPr>
            <w:rFonts w:ascii="DejaVu Math TeX Gyre" w:hAnsi="DejaVu Math TeX Gyre"/>
          </w:rPr>
          <m:t>P</m:t>
        </m:r>
        <m:d>
          <m:dPr>
            <m:ctrlPr>
              <w:rPr>
                <w:rFonts w:ascii="DejaVu Math TeX Gyre" w:hAnsi="DejaVu Math TeX Gyre"/>
              </w:rPr>
            </m:ctrlPr>
          </m:dPr>
          <m:e>
            <m:r>
              <w:rPr>
                <w:rFonts w:ascii="DejaVu Math TeX Gyre" w:hAnsi="DejaVu Math TeX Gyre"/>
              </w:rPr>
              <m:t xml:space="preserve">Y ∈ </m:t>
            </m:r>
            <m:sSub>
              <m:sSubPr>
                <m:ctrlPr>
                  <w:rPr>
                    <w:rFonts w:ascii="DejaVu Math TeX Gyre" w:hAnsi="DejaVu Math TeX Gyre"/>
                  </w:rPr>
                </m:ctrlPr>
              </m:sSubPr>
              <m:e>
                <m:r>
                  <w:rPr>
                    <w:rFonts w:ascii="DejaVu Math TeX Gyre" w:hAnsi="DejaVu Math TeX Gyre"/>
                  </w:rPr>
                  <m:t>C</m:t>
                </m:r>
              </m:e>
              <m:sub>
                <m:r>
                  <w:rPr>
                    <w:rFonts w:ascii="DejaVu Math TeX Gyre" w:hAnsi="DejaVu Math TeX Gyre"/>
                  </w:rPr>
                  <m:t>α</m:t>
                </m:r>
              </m:sub>
            </m:sSub>
            <m:d>
              <m:dPr>
                <m:ctrlPr>
                  <w:rPr>
                    <w:rFonts w:ascii="DejaVu Math TeX Gyre" w:hAnsi="DejaVu Math TeX Gyre"/>
                  </w:rPr>
                </m:ctrlPr>
              </m:dPr>
              <m:e>
                <m:r>
                  <w:rPr>
                    <w:rFonts w:ascii="DejaVu Math TeX Gyre" w:hAnsi="DejaVu Math TeX Gyre"/>
                  </w:rPr>
                  <m:t>X</m:t>
                </m:r>
              </m:e>
            </m:d>
          </m:e>
        </m:d>
        <m:r>
          <w:rPr>
            <w:rFonts w:ascii="DejaVu Math TeX Gyre" w:hAnsi="DejaVu Math TeX Gyre"/>
          </w:rPr>
          <m:t xml:space="preserve"> ≥ 1 - α</m:t>
        </m:r>
      </m:oMath>
      <w:r>
        <w:rPr>
          <w:sz w:val="22"/>
        </w:rPr>
        <w:tab/>
        <w:t>(3.7)</w:t>
      </w:r>
    </w:p>
    <w:p w14:paraId="65B47DBF" w14:textId="77777777" w:rsidR="008A5109" w:rsidRDefault="00000000">
      <w:pPr>
        <w:jc w:val="both"/>
      </w:pPr>
      <w:r>
        <w:t>4. Publication/endpoint deduplication: The active screen keys records by PMID, botanical, drug and endpoint. Repeated identical records are collapsed; inconsistent extractions for the same key are rejected. Unique publication IDs do not establish independent cohorts. Historical citation-DAG modules remain outside this active inference path.</w:t>
      </w:r>
    </w:p>
    <w:p w14:paraId="5848FC00" w14:textId="77777777" w:rsidR="008A5109" w:rsidRDefault="00000000">
      <w:pPr>
        <w:pStyle w:val="Heading2"/>
      </w:pPr>
      <w:bookmarkStart w:id="23" w:name="hdi_ref_20"/>
      <w:r>
        <w:rPr>
          <w:rFonts w:ascii="Times New Roman" w:hAnsi="Times New Roman"/>
        </w:rPr>
        <w:lastRenderedPageBreak/>
        <w:t>3.5 Evaluation metrics</w:t>
      </w:r>
      <w:bookmarkEnd w:id="23"/>
    </w:p>
    <w:p w14:paraId="02F87042" w14:textId="77777777" w:rsidR="008A5109" w:rsidRDefault="00000000">
      <w:pPr>
        <w:jc w:val="both"/>
      </w:pPr>
      <w:r>
        <w:t>Model performance is evaluated using standard quantitative regression and uncertainty metrics:</w:t>
      </w:r>
    </w:p>
    <w:p w14:paraId="0FF748CE" w14:textId="77777777" w:rsidR="008A5109" w:rsidRDefault="00000000">
      <w:pPr>
        <w:jc w:val="both"/>
      </w:pPr>
      <w:r>
        <w:t>1. Logarithmic assay potency: Convert the reported exact IC</w:t>
      </w:r>
      <w:r>
        <w:rPr>
          <w:vertAlign w:val="subscript"/>
        </w:rPr>
        <w:t>50</w:t>
      </w:r>
      <w:r>
        <w:t xml:space="preserve"> in nM to a dimensionless molar log-potency endpoint. IC</w:t>
      </w:r>
      <w:r>
        <w:rPr>
          <w:vertAlign w:val="subscript"/>
        </w:rPr>
        <w:t>50</w:t>
      </w:r>
      <w:r>
        <w:t xml:space="preserve"> is assay-dependent and must not be equated directly with thermodynamic binding free energy:</w:t>
      </w:r>
    </w:p>
    <w:p w14:paraId="1CB0BC7D" w14:textId="77777777" w:rsidR="008A5109" w:rsidRDefault="00000000">
      <w:pPr>
        <w:keepLines/>
        <w:tabs>
          <w:tab w:val="center" w:pos="4493"/>
          <w:tab w:val="right" w:pos="9000"/>
        </w:tabs>
        <w:spacing w:before="60" w:after="80" w:line="276" w:lineRule="auto"/>
      </w:pPr>
      <w:r>
        <w:rPr>
          <w:sz w:val="22"/>
        </w:rPr>
        <w:tab/>
      </w:r>
      <m:oMath>
        <m:sSub>
          <m:sSubPr>
            <m:ctrlPr>
              <w:rPr>
                <w:rFonts w:ascii="DejaVu Math TeX Gyre" w:hAnsi="DejaVu Math TeX Gyre"/>
              </w:rPr>
            </m:ctrlPr>
          </m:sSubPr>
          <m:e>
            <m:r>
              <m:rPr>
                <m:sty m:val="p"/>
              </m:rPr>
              <w:rPr>
                <w:rFonts w:ascii="DejaVu Math TeX Gyre" w:hAnsi="DejaVu Math TeX Gyre"/>
              </w:rPr>
              <m:t>pIC</m:t>
            </m:r>
          </m:e>
          <m:sub>
            <m:r>
              <w:rPr>
                <w:rFonts w:ascii="DejaVu Math TeX Gyre" w:hAnsi="DejaVu Math TeX Gyre"/>
              </w:rPr>
              <m:t>50</m:t>
            </m:r>
          </m:sub>
        </m:sSub>
        <m:r>
          <w:rPr>
            <w:rFonts w:ascii="DejaVu Math TeX Gyre" w:hAnsi="DejaVu Math TeX Gyre"/>
          </w:rPr>
          <m:t xml:space="preserve"> = 9 - </m:t>
        </m:r>
        <m:sSub>
          <m:sSubPr>
            <m:ctrlPr>
              <w:rPr>
                <w:rFonts w:ascii="DejaVu Math TeX Gyre" w:hAnsi="DejaVu Math TeX Gyre"/>
              </w:rPr>
            </m:ctrlPr>
          </m:sSubPr>
          <m:e>
            <m:r>
              <m:rPr>
                <m:sty m:val="p"/>
              </m:rPr>
              <w:rPr>
                <w:rFonts w:ascii="DejaVu Math TeX Gyre" w:hAnsi="DejaVu Math TeX Gyre"/>
              </w:rPr>
              <m:t>log</m:t>
            </m:r>
          </m:e>
          <m:sub>
            <m:r>
              <w:rPr>
                <w:rFonts w:ascii="DejaVu Math TeX Gyre" w:hAnsi="DejaVu Math TeX Gyre"/>
              </w:rPr>
              <m:t>10</m:t>
            </m:r>
          </m:sub>
        </m:sSub>
        <m:d>
          <m:dPr>
            <m:ctrlPr>
              <w:rPr>
                <w:rFonts w:ascii="DejaVu Math TeX Gyre" w:hAnsi="DejaVu Math TeX Gyre"/>
              </w:rPr>
            </m:ctrlPr>
          </m:dPr>
          <m:e>
            <m:f>
              <m:fPr>
                <m:ctrlPr>
                  <w:rPr>
                    <w:rFonts w:ascii="DejaVu Math TeX Gyre" w:hAnsi="DejaVu Math TeX Gyre"/>
                  </w:rPr>
                </m:ctrlPr>
              </m:fPr>
              <m:num>
                <m:sSub>
                  <m:sSubPr>
                    <m:ctrlPr>
                      <w:rPr>
                        <w:rFonts w:ascii="DejaVu Math TeX Gyre" w:hAnsi="DejaVu Math TeX Gyre"/>
                      </w:rPr>
                    </m:ctrlPr>
                  </m:sSubPr>
                  <m:e>
                    <m:r>
                      <m:rPr>
                        <m:sty m:val="p"/>
                      </m:rPr>
                      <w:rPr>
                        <w:rFonts w:ascii="DejaVu Math TeX Gyre" w:hAnsi="DejaVu Math TeX Gyre"/>
                      </w:rPr>
                      <m:t>IC</m:t>
                    </m:r>
                  </m:e>
                  <m:sub>
                    <m:r>
                      <w:rPr>
                        <w:rFonts w:ascii="DejaVu Math TeX Gyre" w:hAnsi="DejaVu Math TeX Gyre"/>
                      </w:rPr>
                      <m:t>50</m:t>
                    </m:r>
                  </m:sub>
                </m:sSub>
              </m:num>
              <m:den>
                <m:r>
                  <m:rPr>
                    <m:sty m:val="p"/>
                  </m:rPr>
                  <w:rPr>
                    <w:rFonts w:ascii="DejaVu Math TeX Gyre" w:hAnsi="DejaVu Math TeX Gyre"/>
                  </w:rPr>
                  <m:t>nM</m:t>
                </m:r>
              </m:den>
            </m:f>
          </m:e>
        </m:d>
      </m:oMath>
      <w:r>
        <w:rPr>
          <w:sz w:val="22"/>
        </w:rPr>
        <w:tab/>
        <w:t>(3.8)</w:t>
      </w:r>
    </w:p>
    <w:p w14:paraId="433BD3FD" w14:textId="77777777" w:rsidR="008A5109" w:rsidRDefault="00000000">
      <w:pPr>
        <w:jc w:val="both"/>
      </w:pPr>
      <w:r>
        <w:t>2. Mean absolute error: For N held-out samples with observed endpoints y and fitted predictions from the model, MAE is the average absolute residual in log-potency units:</w:t>
      </w:r>
    </w:p>
    <w:p w14:paraId="69405CCF" w14:textId="77777777" w:rsidR="008A5109" w:rsidRDefault="00000000">
      <w:pPr>
        <w:keepLines/>
        <w:tabs>
          <w:tab w:val="center" w:pos="4493"/>
          <w:tab w:val="right" w:pos="9000"/>
        </w:tabs>
        <w:spacing w:before="60" w:after="80" w:line="276" w:lineRule="auto"/>
      </w:pPr>
      <w:r>
        <w:rPr>
          <w:sz w:val="22"/>
        </w:rPr>
        <w:tab/>
      </w:r>
      <m:oMath>
        <m:r>
          <m:rPr>
            <m:sty m:val="p"/>
          </m:rPr>
          <w:rPr>
            <w:rFonts w:ascii="DejaVu Math TeX Gyre" w:hAnsi="DejaVu Math TeX Gyre"/>
          </w:rPr>
          <m:t>MAE</m:t>
        </m:r>
        <m:r>
          <w:rPr>
            <w:rFonts w:ascii="DejaVu Math TeX Gyre" w:hAnsi="DejaVu Math TeX Gyre"/>
          </w:rPr>
          <m:t xml:space="preserve"> = </m:t>
        </m:r>
        <m:f>
          <m:fPr>
            <m:ctrlPr>
              <w:rPr>
                <w:rFonts w:ascii="DejaVu Math TeX Gyre" w:hAnsi="DejaVu Math TeX Gyre"/>
              </w:rPr>
            </m:ctrlPr>
          </m:fPr>
          <m:num>
            <m:r>
              <w:rPr>
                <w:rFonts w:ascii="DejaVu Math TeX Gyre" w:hAnsi="DejaVu Math TeX Gyre"/>
              </w:rPr>
              <m:t>1</m:t>
            </m:r>
          </m:num>
          <m:den>
            <m:r>
              <w:rPr>
                <w:rFonts w:ascii="DejaVu Math TeX Gyre" w:hAnsi="DejaVu Math TeX Gyre"/>
              </w:rPr>
              <m:t>N</m:t>
            </m:r>
          </m:den>
        </m:f>
        <m:nary>
          <m:naryPr>
            <m:chr m:val="∑"/>
            <m:limLoc m:val="undOvr"/>
            <m:ctrlPr>
              <w:rPr>
                <w:rFonts w:ascii="DejaVu Math TeX Gyre" w:hAnsi="DejaVu Math TeX Gyre"/>
              </w:rPr>
            </m:ctrlPr>
          </m:naryPr>
          <m:sub>
            <m:r>
              <w:rPr>
                <w:rFonts w:ascii="DejaVu Math TeX Gyre" w:hAnsi="DejaVu Math TeX Gyre"/>
              </w:rPr>
              <m:t>i = 1</m:t>
            </m:r>
          </m:sub>
          <m:sup>
            <m:r>
              <w:rPr>
                <w:rFonts w:ascii="DejaVu Math TeX Gyre" w:hAnsi="DejaVu Math TeX Gyre"/>
              </w:rPr>
              <m:t>N</m:t>
            </m:r>
          </m:sup>
          <m:e>
            <m:d>
              <m:dPr>
                <m:begChr m:val="|"/>
                <m:endChr m:val="|"/>
                <m:ctrlPr>
                  <w:rPr>
                    <w:rFonts w:ascii="DejaVu Math TeX Gyre" w:hAnsi="DejaVu Math TeX Gyre"/>
                  </w:rPr>
                </m:ctrlPr>
              </m:dPr>
              <m:e>
                <m:sSub>
                  <m:sSubPr>
                    <m:ctrlPr>
                      <w:rPr>
                        <w:rFonts w:ascii="DejaVu Math TeX Gyre" w:hAnsi="DejaVu Math TeX Gyre"/>
                      </w:rPr>
                    </m:ctrlPr>
                  </m:sSubPr>
                  <m:e>
                    <m:r>
                      <w:rPr>
                        <w:rFonts w:ascii="DejaVu Math TeX Gyre" w:hAnsi="DejaVu Math TeX Gyre"/>
                      </w:rPr>
                      <m:t>y</m:t>
                    </m:r>
                  </m:e>
                  <m:sub>
                    <m:r>
                      <w:rPr>
                        <w:rFonts w:ascii="DejaVu Math TeX Gyre" w:hAnsi="DejaVu Math TeX Gyre"/>
                      </w:rPr>
                      <m:t>i</m:t>
                    </m:r>
                  </m:sub>
                </m:sSub>
                <m:r>
                  <w:rPr>
                    <w:rFonts w:ascii="DejaVu Math TeX Gyre" w:hAnsi="DejaVu Math TeX Gyre"/>
                  </w:rPr>
                  <m:t xml:space="preserve"> - </m:t>
                </m:r>
                <m:sSub>
                  <m:sSubPr>
                    <m:ctrlPr>
                      <w:rPr>
                        <w:rFonts w:ascii="DejaVu Math TeX Gyre" w:hAnsi="DejaVu Math TeX Gyre"/>
                      </w:rPr>
                    </m:ctrlPr>
                  </m:sSubPr>
                  <m:e>
                    <m:acc>
                      <m:accPr>
                        <m:ctrlPr>
                          <w:rPr>
                            <w:rFonts w:ascii="DejaVu Math TeX Gyre" w:hAnsi="DejaVu Math TeX Gyre"/>
                          </w:rPr>
                        </m:ctrlPr>
                      </m:accPr>
                      <m:e>
                        <m:r>
                          <w:rPr>
                            <w:rFonts w:ascii="DejaVu Math TeX Gyre" w:hAnsi="DejaVu Math TeX Gyre"/>
                          </w:rPr>
                          <m:t>y</m:t>
                        </m:r>
                      </m:e>
                    </m:acc>
                  </m:e>
                  <m:sub>
                    <m:r>
                      <w:rPr>
                        <w:rFonts w:ascii="DejaVu Math TeX Gyre" w:hAnsi="DejaVu Math TeX Gyre"/>
                      </w:rPr>
                      <m:t>i</m:t>
                    </m:r>
                  </m:sub>
                </m:sSub>
              </m:e>
            </m:d>
          </m:e>
        </m:nary>
      </m:oMath>
      <w:r>
        <w:rPr>
          <w:sz w:val="22"/>
        </w:rPr>
        <w:tab/>
        <w:t>(3.9)</w:t>
      </w:r>
    </w:p>
    <w:p w14:paraId="65357179" w14:textId="77777777" w:rsidR="008A5109" w:rsidRDefault="00000000">
      <w:pPr>
        <w:jc w:val="both"/>
      </w:pPr>
      <w:r>
        <w:t>3. Root Mean Squared Error (RMSE): Penalizes substantial residual outliers:</w:t>
      </w:r>
    </w:p>
    <w:p w14:paraId="4E4F2DF6" w14:textId="77777777" w:rsidR="008A5109" w:rsidRDefault="00000000">
      <w:pPr>
        <w:keepLines/>
        <w:tabs>
          <w:tab w:val="center" w:pos="4493"/>
          <w:tab w:val="right" w:pos="9000"/>
        </w:tabs>
        <w:spacing w:before="60" w:after="80" w:line="276" w:lineRule="auto"/>
      </w:pPr>
      <w:r>
        <w:rPr>
          <w:sz w:val="22"/>
        </w:rPr>
        <w:tab/>
      </w:r>
      <m:oMath>
        <m:r>
          <m:rPr>
            <m:sty m:val="p"/>
          </m:rPr>
          <w:rPr>
            <w:rFonts w:ascii="DejaVu Math TeX Gyre" w:hAnsi="DejaVu Math TeX Gyre"/>
          </w:rPr>
          <m:t>RMSE</m:t>
        </m:r>
        <m:r>
          <w:rPr>
            <w:rFonts w:ascii="DejaVu Math TeX Gyre" w:hAnsi="DejaVu Math TeX Gyre"/>
          </w:rPr>
          <m:t xml:space="preserve"> = </m:t>
        </m:r>
        <m:rad>
          <m:radPr>
            <m:degHide m:val="1"/>
            <m:ctrlPr>
              <w:rPr>
                <w:rFonts w:ascii="DejaVu Math TeX Gyre" w:hAnsi="DejaVu Math TeX Gyre"/>
              </w:rPr>
            </m:ctrlPr>
          </m:radPr>
          <m:deg/>
          <m:e>
            <m:f>
              <m:fPr>
                <m:ctrlPr>
                  <w:rPr>
                    <w:rFonts w:ascii="DejaVu Math TeX Gyre" w:hAnsi="DejaVu Math TeX Gyre"/>
                  </w:rPr>
                </m:ctrlPr>
              </m:fPr>
              <m:num>
                <m:r>
                  <w:rPr>
                    <w:rFonts w:ascii="DejaVu Math TeX Gyre" w:hAnsi="DejaVu Math TeX Gyre"/>
                  </w:rPr>
                  <m:t>1</m:t>
                </m:r>
              </m:num>
              <m:den>
                <m:r>
                  <w:rPr>
                    <w:rFonts w:ascii="DejaVu Math TeX Gyre" w:hAnsi="DejaVu Math TeX Gyre"/>
                  </w:rPr>
                  <m:t>N</m:t>
                </m:r>
              </m:den>
            </m:f>
            <m:nary>
              <m:naryPr>
                <m:chr m:val="∑"/>
                <m:limLoc m:val="undOvr"/>
                <m:ctrlPr>
                  <w:rPr>
                    <w:rFonts w:ascii="DejaVu Math TeX Gyre" w:hAnsi="DejaVu Math TeX Gyre"/>
                  </w:rPr>
                </m:ctrlPr>
              </m:naryPr>
              <m:sub>
                <m:r>
                  <w:rPr>
                    <w:rFonts w:ascii="DejaVu Math TeX Gyre" w:hAnsi="DejaVu Math TeX Gyre"/>
                  </w:rPr>
                  <m:t>i = 1</m:t>
                </m:r>
              </m:sub>
              <m:sup>
                <m:r>
                  <w:rPr>
                    <w:rFonts w:ascii="DejaVu Math TeX Gyre" w:hAnsi="DejaVu Math TeX Gyre"/>
                  </w:rPr>
                  <m:t>N</m:t>
                </m:r>
              </m:sup>
              <m:e>
                <m:sSup>
                  <m:sSupPr>
                    <m:ctrlPr>
                      <w:rPr>
                        <w:rFonts w:ascii="DejaVu Math TeX Gyre" w:hAnsi="DejaVu Math TeX Gyre"/>
                      </w:rPr>
                    </m:ctrlPr>
                  </m:sSupPr>
                  <m:e>
                    <m:d>
                      <m:dPr>
                        <m:ctrlPr>
                          <w:rPr>
                            <w:rFonts w:ascii="DejaVu Math TeX Gyre" w:hAnsi="DejaVu Math TeX Gyre"/>
                          </w:rPr>
                        </m:ctrlPr>
                      </m:dPr>
                      <m:e>
                        <m:sSub>
                          <m:sSubPr>
                            <m:ctrlPr>
                              <w:rPr>
                                <w:rFonts w:ascii="DejaVu Math TeX Gyre" w:hAnsi="DejaVu Math TeX Gyre"/>
                              </w:rPr>
                            </m:ctrlPr>
                          </m:sSubPr>
                          <m:e>
                            <m:r>
                              <w:rPr>
                                <w:rFonts w:ascii="DejaVu Math TeX Gyre" w:hAnsi="DejaVu Math TeX Gyre"/>
                              </w:rPr>
                              <m:t>y</m:t>
                            </m:r>
                          </m:e>
                          <m:sub>
                            <m:r>
                              <w:rPr>
                                <w:rFonts w:ascii="DejaVu Math TeX Gyre" w:hAnsi="DejaVu Math TeX Gyre"/>
                              </w:rPr>
                              <m:t>i</m:t>
                            </m:r>
                          </m:sub>
                        </m:sSub>
                        <m:r>
                          <w:rPr>
                            <w:rFonts w:ascii="DejaVu Math TeX Gyre" w:hAnsi="DejaVu Math TeX Gyre"/>
                          </w:rPr>
                          <m:t xml:space="preserve"> - </m:t>
                        </m:r>
                        <m:sSub>
                          <m:sSubPr>
                            <m:ctrlPr>
                              <w:rPr>
                                <w:rFonts w:ascii="DejaVu Math TeX Gyre" w:hAnsi="DejaVu Math TeX Gyre"/>
                              </w:rPr>
                            </m:ctrlPr>
                          </m:sSubPr>
                          <m:e>
                            <m:acc>
                              <m:accPr>
                                <m:ctrlPr>
                                  <w:rPr>
                                    <w:rFonts w:ascii="DejaVu Math TeX Gyre" w:hAnsi="DejaVu Math TeX Gyre"/>
                                  </w:rPr>
                                </m:ctrlPr>
                              </m:accPr>
                              <m:e>
                                <m:r>
                                  <w:rPr>
                                    <w:rFonts w:ascii="DejaVu Math TeX Gyre" w:hAnsi="DejaVu Math TeX Gyre"/>
                                  </w:rPr>
                                  <m:t>y</m:t>
                                </m:r>
                              </m:e>
                            </m:acc>
                          </m:e>
                          <m:sub>
                            <m:r>
                              <w:rPr>
                                <w:rFonts w:ascii="DejaVu Math TeX Gyre" w:hAnsi="DejaVu Math TeX Gyre"/>
                              </w:rPr>
                              <m:t>i</m:t>
                            </m:r>
                          </m:sub>
                        </m:sSub>
                      </m:e>
                    </m:d>
                  </m:e>
                  <m:sup>
                    <m:r>
                      <w:rPr>
                        <w:rFonts w:ascii="DejaVu Math TeX Gyre" w:hAnsi="DejaVu Math TeX Gyre"/>
                      </w:rPr>
                      <m:t>2</m:t>
                    </m:r>
                  </m:sup>
                </m:sSup>
              </m:e>
            </m:nary>
          </m:e>
        </m:rad>
      </m:oMath>
      <w:r>
        <w:rPr>
          <w:sz w:val="22"/>
        </w:rPr>
        <w:tab/>
        <w:t>(3.10)</w:t>
      </w:r>
    </w:p>
    <w:p w14:paraId="4EA30BA3" w14:textId="77777777" w:rsidR="008A5109" w:rsidRDefault="00000000">
      <w:pPr>
        <w:jc w:val="both"/>
      </w:pPr>
      <w:r>
        <w:t>4. Coefficient of determination: R</w:t>
      </w:r>
      <w:r>
        <w:rPr>
          <w:vertAlign w:val="superscript"/>
        </w:rPr>
        <w:t>2</w:t>
      </w:r>
      <w:r>
        <w:t xml:space="preserve"> compares squared residuals with variation around the held-out mean. It can be negative and is undefined when the denominator is zero:</w:t>
      </w:r>
    </w:p>
    <w:p w14:paraId="60023AD0" w14:textId="77777777" w:rsidR="008A5109" w:rsidRDefault="00000000">
      <w:pPr>
        <w:keepLines/>
        <w:tabs>
          <w:tab w:val="center" w:pos="4493"/>
          <w:tab w:val="right" w:pos="9000"/>
        </w:tabs>
        <w:spacing w:before="60" w:after="80" w:line="276" w:lineRule="auto"/>
      </w:pPr>
      <w:r>
        <w:rPr>
          <w:sz w:val="22"/>
        </w:rPr>
        <w:tab/>
      </w:r>
      <m:oMath>
        <m:sSup>
          <m:sSupPr>
            <m:ctrlPr>
              <w:rPr>
                <w:rFonts w:ascii="DejaVu Math TeX Gyre" w:hAnsi="DejaVu Math TeX Gyre"/>
              </w:rPr>
            </m:ctrlPr>
          </m:sSupPr>
          <m:e>
            <m:r>
              <w:rPr>
                <w:rFonts w:ascii="DejaVu Math TeX Gyre" w:hAnsi="DejaVu Math TeX Gyre"/>
              </w:rPr>
              <m:t>R</m:t>
            </m:r>
          </m:e>
          <m:sup>
            <m:r>
              <w:rPr>
                <w:rFonts w:ascii="DejaVu Math TeX Gyre" w:hAnsi="DejaVu Math TeX Gyre"/>
              </w:rPr>
              <m:t>2</m:t>
            </m:r>
          </m:sup>
        </m:sSup>
        <m:r>
          <w:rPr>
            <w:rFonts w:ascii="DejaVu Math TeX Gyre" w:hAnsi="DejaVu Math TeX Gyre"/>
          </w:rPr>
          <m:t xml:space="preserve"> = 1 - </m:t>
        </m:r>
        <m:f>
          <m:fPr>
            <m:ctrlPr>
              <w:rPr>
                <w:rFonts w:ascii="DejaVu Math TeX Gyre" w:hAnsi="DejaVu Math TeX Gyre"/>
              </w:rPr>
            </m:ctrlPr>
          </m:fPr>
          <m:num>
            <m:nary>
              <m:naryPr>
                <m:chr m:val="∑"/>
                <m:limLoc m:val="undOvr"/>
                <m:ctrlPr>
                  <w:rPr>
                    <w:rFonts w:ascii="DejaVu Math TeX Gyre" w:hAnsi="DejaVu Math TeX Gyre"/>
                  </w:rPr>
                </m:ctrlPr>
              </m:naryPr>
              <m:sub>
                <m:r>
                  <w:rPr>
                    <w:rFonts w:ascii="DejaVu Math TeX Gyre" w:hAnsi="DejaVu Math TeX Gyre"/>
                  </w:rPr>
                  <m:t>i = 1</m:t>
                </m:r>
              </m:sub>
              <m:sup>
                <m:r>
                  <w:rPr>
                    <w:rFonts w:ascii="DejaVu Math TeX Gyre" w:hAnsi="DejaVu Math TeX Gyre"/>
                  </w:rPr>
                  <m:t>N</m:t>
                </m:r>
              </m:sup>
              <m:e>
                <m:sSup>
                  <m:sSupPr>
                    <m:ctrlPr>
                      <w:rPr>
                        <w:rFonts w:ascii="DejaVu Math TeX Gyre" w:hAnsi="DejaVu Math TeX Gyre"/>
                      </w:rPr>
                    </m:ctrlPr>
                  </m:sSupPr>
                  <m:e>
                    <m:d>
                      <m:dPr>
                        <m:ctrlPr>
                          <w:rPr>
                            <w:rFonts w:ascii="DejaVu Math TeX Gyre" w:hAnsi="DejaVu Math TeX Gyre"/>
                          </w:rPr>
                        </m:ctrlPr>
                      </m:dPr>
                      <m:e>
                        <m:sSub>
                          <m:sSubPr>
                            <m:ctrlPr>
                              <w:rPr>
                                <w:rFonts w:ascii="DejaVu Math TeX Gyre" w:hAnsi="DejaVu Math TeX Gyre"/>
                              </w:rPr>
                            </m:ctrlPr>
                          </m:sSubPr>
                          <m:e>
                            <m:r>
                              <w:rPr>
                                <w:rFonts w:ascii="DejaVu Math TeX Gyre" w:hAnsi="DejaVu Math TeX Gyre"/>
                              </w:rPr>
                              <m:t>y</m:t>
                            </m:r>
                          </m:e>
                          <m:sub>
                            <m:r>
                              <w:rPr>
                                <w:rFonts w:ascii="DejaVu Math TeX Gyre" w:hAnsi="DejaVu Math TeX Gyre"/>
                              </w:rPr>
                              <m:t>i</m:t>
                            </m:r>
                          </m:sub>
                        </m:sSub>
                        <m:r>
                          <w:rPr>
                            <w:rFonts w:ascii="DejaVu Math TeX Gyre" w:hAnsi="DejaVu Math TeX Gyre"/>
                          </w:rPr>
                          <m:t xml:space="preserve"> - </m:t>
                        </m:r>
                        <m:sSub>
                          <m:sSubPr>
                            <m:ctrlPr>
                              <w:rPr>
                                <w:rFonts w:ascii="DejaVu Math TeX Gyre" w:hAnsi="DejaVu Math TeX Gyre"/>
                              </w:rPr>
                            </m:ctrlPr>
                          </m:sSubPr>
                          <m:e>
                            <m:acc>
                              <m:accPr>
                                <m:ctrlPr>
                                  <w:rPr>
                                    <w:rFonts w:ascii="DejaVu Math TeX Gyre" w:hAnsi="DejaVu Math TeX Gyre"/>
                                  </w:rPr>
                                </m:ctrlPr>
                              </m:accPr>
                              <m:e>
                                <m:r>
                                  <w:rPr>
                                    <w:rFonts w:ascii="DejaVu Math TeX Gyre" w:hAnsi="DejaVu Math TeX Gyre"/>
                                  </w:rPr>
                                  <m:t>y</m:t>
                                </m:r>
                              </m:e>
                            </m:acc>
                          </m:e>
                          <m:sub>
                            <m:r>
                              <w:rPr>
                                <w:rFonts w:ascii="DejaVu Math TeX Gyre" w:hAnsi="DejaVu Math TeX Gyre"/>
                              </w:rPr>
                              <m:t>i</m:t>
                            </m:r>
                          </m:sub>
                        </m:sSub>
                      </m:e>
                    </m:d>
                  </m:e>
                  <m:sup>
                    <m:r>
                      <w:rPr>
                        <w:rFonts w:ascii="DejaVu Math TeX Gyre" w:hAnsi="DejaVu Math TeX Gyre"/>
                      </w:rPr>
                      <m:t>2</m:t>
                    </m:r>
                  </m:sup>
                </m:sSup>
              </m:e>
            </m:nary>
          </m:num>
          <m:den>
            <m:nary>
              <m:naryPr>
                <m:chr m:val="∑"/>
                <m:limLoc m:val="undOvr"/>
                <m:ctrlPr>
                  <w:rPr>
                    <w:rFonts w:ascii="DejaVu Math TeX Gyre" w:hAnsi="DejaVu Math TeX Gyre"/>
                  </w:rPr>
                </m:ctrlPr>
              </m:naryPr>
              <m:sub>
                <m:r>
                  <w:rPr>
                    <w:rFonts w:ascii="DejaVu Math TeX Gyre" w:hAnsi="DejaVu Math TeX Gyre"/>
                  </w:rPr>
                  <m:t>i = 1</m:t>
                </m:r>
              </m:sub>
              <m:sup>
                <m:r>
                  <w:rPr>
                    <w:rFonts w:ascii="DejaVu Math TeX Gyre" w:hAnsi="DejaVu Math TeX Gyre"/>
                  </w:rPr>
                  <m:t>N</m:t>
                </m:r>
              </m:sup>
              <m:e>
                <m:sSup>
                  <m:sSupPr>
                    <m:ctrlPr>
                      <w:rPr>
                        <w:rFonts w:ascii="DejaVu Math TeX Gyre" w:hAnsi="DejaVu Math TeX Gyre"/>
                      </w:rPr>
                    </m:ctrlPr>
                  </m:sSupPr>
                  <m:e>
                    <m:d>
                      <m:dPr>
                        <m:ctrlPr>
                          <w:rPr>
                            <w:rFonts w:ascii="DejaVu Math TeX Gyre" w:hAnsi="DejaVu Math TeX Gyre"/>
                          </w:rPr>
                        </m:ctrlPr>
                      </m:dPr>
                      <m:e>
                        <m:sSub>
                          <m:sSubPr>
                            <m:ctrlPr>
                              <w:rPr>
                                <w:rFonts w:ascii="DejaVu Math TeX Gyre" w:hAnsi="DejaVu Math TeX Gyre"/>
                              </w:rPr>
                            </m:ctrlPr>
                          </m:sSubPr>
                          <m:e>
                            <m:r>
                              <w:rPr>
                                <w:rFonts w:ascii="DejaVu Math TeX Gyre" w:hAnsi="DejaVu Math TeX Gyre"/>
                              </w:rPr>
                              <m:t>y</m:t>
                            </m:r>
                          </m:e>
                          <m:sub>
                            <m:r>
                              <w:rPr>
                                <w:rFonts w:ascii="DejaVu Math TeX Gyre" w:hAnsi="DejaVu Math TeX Gyre"/>
                              </w:rPr>
                              <m:t>i</m:t>
                            </m:r>
                          </m:sub>
                        </m:sSub>
                        <m:r>
                          <w:rPr>
                            <w:rFonts w:ascii="DejaVu Math TeX Gyre" w:hAnsi="DejaVu Math TeX Gyre"/>
                          </w:rPr>
                          <m:t xml:space="preserve"> - </m:t>
                        </m:r>
                        <m:bar>
                          <m:barPr>
                            <m:pos m:val="top"/>
                            <m:ctrlPr>
                              <w:rPr>
                                <w:rFonts w:ascii="DejaVu Math TeX Gyre" w:hAnsi="DejaVu Math TeX Gyre"/>
                              </w:rPr>
                            </m:ctrlPr>
                          </m:barPr>
                          <m:e>
                            <m:r>
                              <w:rPr>
                                <w:rFonts w:ascii="DejaVu Math TeX Gyre" w:hAnsi="DejaVu Math TeX Gyre"/>
                              </w:rPr>
                              <m:t>y</m:t>
                            </m:r>
                          </m:e>
                        </m:bar>
                      </m:e>
                    </m:d>
                  </m:e>
                  <m:sup>
                    <m:r>
                      <w:rPr>
                        <w:rFonts w:ascii="DejaVu Math TeX Gyre" w:hAnsi="DejaVu Math TeX Gyre"/>
                      </w:rPr>
                      <m:t>2</m:t>
                    </m:r>
                  </m:sup>
                </m:sSup>
              </m:e>
            </m:nary>
          </m:den>
        </m:f>
      </m:oMath>
      <w:r>
        <w:rPr>
          <w:sz w:val="22"/>
        </w:rPr>
        <w:tab/>
        <w:t>(3.11)</w:t>
      </w:r>
    </w:p>
    <w:p w14:paraId="50972C28" w14:textId="77777777" w:rsidR="008A5109" w:rsidRDefault="00000000">
      <w:pPr>
        <w:jc w:val="both"/>
      </w:pPr>
      <w:r>
        <w:t>5. Empirical interval coverage: The indicator equals one when the observed test value lies inside its predicted interval, and zero otherwise:</w:t>
      </w:r>
    </w:p>
    <w:p w14:paraId="5285D844" w14:textId="77777777" w:rsidR="008A5109" w:rsidRDefault="00000000">
      <w:pPr>
        <w:keepLines/>
        <w:tabs>
          <w:tab w:val="center" w:pos="4493"/>
          <w:tab w:val="right" w:pos="9000"/>
        </w:tabs>
        <w:spacing w:before="60" w:after="80" w:line="276" w:lineRule="auto"/>
      </w:pPr>
      <w:r>
        <w:rPr>
          <w:sz w:val="22"/>
        </w:rPr>
        <w:tab/>
      </w:r>
      <m:oMath>
        <m:r>
          <m:rPr>
            <m:sty m:val="p"/>
          </m:rPr>
          <w:rPr>
            <w:rFonts w:ascii="DejaVu Math TeX Gyre" w:hAnsi="DejaVu Math TeX Gyre"/>
          </w:rPr>
          <m:t>Coverage</m:t>
        </m:r>
        <m:r>
          <w:rPr>
            <w:rFonts w:ascii="DejaVu Math TeX Gyre" w:hAnsi="DejaVu Math TeX Gyre"/>
          </w:rPr>
          <m:t xml:space="preserve"> = </m:t>
        </m:r>
        <m:f>
          <m:fPr>
            <m:ctrlPr>
              <w:rPr>
                <w:rFonts w:ascii="DejaVu Math TeX Gyre" w:hAnsi="DejaVu Math TeX Gyre"/>
              </w:rPr>
            </m:ctrlPr>
          </m:fPr>
          <m:num>
            <m:r>
              <w:rPr>
                <w:rFonts w:ascii="DejaVu Math TeX Gyre" w:hAnsi="DejaVu Math TeX Gyre"/>
              </w:rPr>
              <m:t>1</m:t>
            </m:r>
          </m:num>
          <m:den>
            <m:sSub>
              <m:sSubPr>
                <m:ctrlPr>
                  <w:rPr>
                    <w:rFonts w:ascii="DejaVu Math TeX Gyre" w:hAnsi="DejaVu Math TeX Gyre"/>
                  </w:rPr>
                </m:ctrlPr>
              </m:sSubPr>
              <m:e>
                <m:r>
                  <w:rPr>
                    <w:rFonts w:ascii="DejaVu Math TeX Gyre" w:hAnsi="DejaVu Math TeX Gyre"/>
                  </w:rPr>
                  <m:t>N</m:t>
                </m:r>
              </m:e>
              <m:sub>
                <m:r>
                  <m:rPr>
                    <m:sty m:val="p"/>
                  </m:rPr>
                  <w:rPr>
                    <w:rFonts w:ascii="DejaVu Math TeX Gyre" w:hAnsi="DejaVu Math TeX Gyre"/>
                  </w:rPr>
                  <m:t>test</m:t>
                </m:r>
              </m:sub>
            </m:sSub>
          </m:den>
        </m:f>
        <m:nary>
          <m:naryPr>
            <m:chr m:val="∑"/>
            <m:limLoc m:val="undOvr"/>
            <m:ctrlPr>
              <w:rPr>
                <w:rFonts w:ascii="DejaVu Math TeX Gyre" w:hAnsi="DejaVu Math TeX Gyre"/>
              </w:rPr>
            </m:ctrlPr>
          </m:naryPr>
          <m:sub>
            <m:r>
              <w:rPr>
                <w:rFonts w:ascii="DejaVu Math TeX Gyre" w:hAnsi="DejaVu Math TeX Gyre"/>
              </w:rPr>
              <m:t>i = 1</m:t>
            </m:r>
          </m:sub>
          <m:sup>
            <m:sSub>
              <m:sSubPr>
                <m:ctrlPr>
                  <w:rPr>
                    <w:rFonts w:ascii="DejaVu Math TeX Gyre" w:hAnsi="DejaVu Math TeX Gyre"/>
                  </w:rPr>
                </m:ctrlPr>
              </m:sSubPr>
              <m:e>
                <m:r>
                  <w:rPr>
                    <w:rFonts w:ascii="DejaVu Math TeX Gyre" w:hAnsi="DejaVu Math TeX Gyre"/>
                  </w:rPr>
                  <m:t>N</m:t>
                </m:r>
              </m:e>
              <m:sub>
                <m:r>
                  <m:rPr>
                    <m:sty m:val="p"/>
                  </m:rPr>
                  <w:rPr>
                    <w:rFonts w:ascii="DejaVu Math TeX Gyre" w:hAnsi="DejaVu Math TeX Gyre"/>
                  </w:rPr>
                  <m:t>test</m:t>
                </m:r>
              </m:sub>
            </m:sSub>
          </m:sup>
          <m:e>
            <m:r>
              <m:rPr>
                <m:sty m:val="p"/>
              </m:rPr>
              <w:rPr>
                <w:rFonts w:ascii="DejaVu Math TeX Gyre" w:hAnsi="DejaVu Math TeX Gyre"/>
              </w:rPr>
              <m:t>1</m:t>
            </m:r>
            <m:d>
              <m:dPr>
                <m:begChr m:val="{"/>
                <m:endChr m:val="}"/>
                <m:ctrlPr>
                  <w:rPr>
                    <w:rFonts w:ascii="DejaVu Math TeX Gyre" w:hAnsi="DejaVu Math TeX Gyre"/>
                  </w:rPr>
                </m:ctrlPr>
              </m:dPr>
              <m:e>
                <m:sSub>
                  <m:sSubPr>
                    <m:ctrlPr>
                      <w:rPr>
                        <w:rFonts w:ascii="DejaVu Math TeX Gyre" w:hAnsi="DejaVu Math TeX Gyre"/>
                      </w:rPr>
                    </m:ctrlPr>
                  </m:sSubPr>
                  <m:e>
                    <m:r>
                      <w:rPr>
                        <w:rFonts w:ascii="DejaVu Math TeX Gyre" w:hAnsi="DejaVu Math TeX Gyre"/>
                      </w:rPr>
                      <m:t>y</m:t>
                    </m:r>
                  </m:e>
                  <m:sub>
                    <m:r>
                      <w:rPr>
                        <w:rFonts w:ascii="DejaVu Math TeX Gyre" w:hAnsi="DejaVu Math TeX Gyre"/>
                      </w:rPr>
                      <m:t>i</m:t>
                    </m:r>
                  </m:sub>
                </m:sSub>
                <m:r>
                  <w:rPr>
                    <w:rFonts w:ascii="DejaVu Math TeX Gyre" w:hAnsi="DejaVu Math TeX Gyre"/>
                  </w:rPr>
                  <m:t xml:space="preserve"> ∈ </m:t>
                </m:r>
                <m:sSub>
                  <m:sSubPr>
                    <m:ctrlPr>
                      <w:rPr>
                        <w:rFonts w:ascii="DejaVu Math TeX Gyre" w:hAnsi="DejaVu Math TeX Gyre"/>
                      </w:rPr>
                    </m:ctrlPr>
                  </m:sSubPr>
                  <m:e>
                    <m:r>
                      <w:rPr>
                        <w:rFonts w:ascii="DejaVu Math TeX Gyre" w:hAnsi="DejaVu Math TeX Gyre"/>
                      </w:rPr>
                      <m:t>C</m:t>
                    </m:r>
                  </m:e>
                  <m:sub>
                    <m:r>
                      <w:rPr>
                        <w:rFonts w:ascii="DejaVu Math TeX Gyre" w:hAnsi="DejaVu Math TeX Gyre"/>
                      </w:rPr>
                      <m:t>α</m:t>
                    </m:r>
                  </m:sub>
                </m:sSub>
                <m:d>
                  <m:dPr>
                    <m:ctrlPr>
                      <w:rPr>
                        <w:rFonts w:ascii="DejaVu Math TeX Gyre" w:hAnsi="DejaVu Math TeX Gyre"/>
                      </w:rPr>
                    </m:ctrlPr>
                  </m:dPr>
                  <m:e>
                    <m:sSub>
                      <m:sSubPr>
                        <m:ctrlPr>
                          <w:rPr>
                            <w:rFonts w:ascii="DejaVu Math TeX Gyre" w:hAnsi="DejaVu Math TeX Gyre"/>
                          </w:rPr>
                        </m:ctrlPr>
                      </m:sSubPr>
                      <m:e>
                        <m:r>
                          <w:rPr>
                            <w:rFonts w:ascii="DejaVu Math TeX Gyre" w:hAnsi="DejaVu Math TeX Gyre"/>
                          </w:rPr>
                          <m:t>x</m:t>
                        </m:r>
                      </m:e>
                      <m:sub>
                        <m:r>
                          <w:rPr>
                            <w:rFonts w:ascii="DejaVu Math TeX Gyre" w:hAnsi="DejaVu Math TeX Gyre"/>
                          </w:rPr>
                          <m:t>i</m:t>
                        </m:r>
                      </m:sub>
                    </m:sSub>
                  </m:e>
                </m:d>
              </m:e>
            </m:d>
          </m:e>
        </m:nary>
      </m:oMath>
      <w:r>
        <w:rPr>
          <w:sz w:val="22"/>
        </w:rPr>
        <w:tab/>
        <w:t>(3.12)</w:t>
      </w:r>
    </w:p>
    <w:p w14:paraId="73C68B75" w14:textId="77777777" w:rsidR="008A5109" w:rsidRDefault="00000000">
      <w:pPr>
        <w:jc w:val="both"/>
      </w:pPr>
      <w:r>
        <w:t>MAE intervals use 200 bootstrap resamples of canonical structures, conditional on one fitted split. They omit retraining variability and broader scaffold/publication dependence [18].</w:t>
      </w:r>
    </w:p>
    <w:p w14:paraId="22E0F0C8" w14:textId="77777777" w:rsidR="008A5109" w:rsidRDefault="00000000">
      <w:pPr>
        <w:pStyle w:val="Heading1"/>
        <w:pageBreakBefore/>
      </w:pPr>
      <w:bookmarkStart w:id="24" w:name="hdi_ref_21"/>
      <w:r>
        <w:rPr>
          <w:rFonts w:ascii="Times New Roman" w:hAnsi="Times New Roman"/>
        </w:rPr>
        <w:lastRenderedPageBreak/>
        <w:t>CHAPTER 4: IMPLEMENTATION AND EXPERIMENTS</w:t>
      </w:r>
      <w:bookmarkEnd w:id="24"/>
    </w:p>
    <w:p w14:paraId="2A81E413" w14:textId="77777777" w:rsidR="008A5109" w:rsidRDefault="00000000">
      <w:pPr>
        <w:pStyle w:val="Heading2"/>
      </w:pPr>
      <w:bookmarkStart w:id="25" w:name="hdi_ref_22"/>
      <w:r>
        <w:rPr>
          <w:rFonts w:ascii="Times New Roman" w:hAnsi="Times New Roman"/>
        </w:rPr>
        <w:t>4.1 Implementation details</w:t>
      </w:r>
      <w:bookmarkEnd w:id="25"/>
    </w:p>
    <w:p w14:paraId="54178850" w14:textId="77777777" w:rsidR="008A5109" w:rsidRDefault="00000000">
      <w:pPr>
        <w:jc w:val="both"/>
      </w:pPr>
      <w:r>
        <w:t>The software architecture is implemented in standard Python 3.11 with strict separation between offline model training, artifact verification, molecular inference, and online research screening. The codebase is organized within the src/assay package and app/ directory as follows:</w:t>
      </w:r>
    </w:p>
    <w:p w14:paraId="25D555FB" w14:textId="77777777" w:rsidR="008A5109" w:rsidRDefault="00000000">
      <w:pPr>
        <w:jc w:val="both"/>
      </w:pPr>
      <w:r>
        <w:t>• src/assay/data.py: Responsible for raw ChEMBL data ingestion, structure screening, parent fragmentation, document-balanced sample aggregation, and grouped data partitioning (scaffold and publication holdouts).</w:t>
      </w:r>
    </w:p>
    <w:p w14:paraId="04504DC3" w14:textId="77777777" w:rsidR="008A5109" w:rsidRDefault="00000000">
      <w:pPr>
        <w:jc w:val="both"/>
      </w:pPr>
      <w:r>
        <w:t>• src/assay/experiment.py: Executes the offline training pipeline across target regression models, executes validation-based model selection, fits split-conformal calibration quantiles, computes bootstrap metrics, and serializes trusted model bundles.</w:t>
      </w:r>
    </w:p>
    <w:p w14:paraId="17C3E192" w14:textId="77777777" w:rsidR="008A5109" w:rsidRDefault="00000000">
      <w:pPr>
        <w:jc w:val="both"/>
      </w:pPr>
      <w:r>
        <w:t>• src/assay/predict.py: Loads a trusted completed experiment, parses a constituent structure, generates fingerprints and returns target estimates, calibrated assay intervals, nearest-training Tanimoto similarity and training-compound status. Throughput and latency were not benchmarked.</w:t>
      </w:r>
    </w:p>
    <w:p w14:paraId="50B16C90" w14:textId="77777777" w:rsidR="008A5109" w:rsidRDefault="00000000">
      <w:pPr>
        <w:jc w:val="both"/>
      </w:pPr>
      <w:r>
        <w:t>• src/assay/verify.py: An independent, read-only verification engine that audits serialized experiment artifacts, recomputes test metrics from raw predictions, and asserts split disjointness invariants without refitting models.</w:t>
      </w:r>
    </w:p>
    <w:p w14:paraId="419EB7F0" w14:textId="77777777" w:rsidR="008A5109" w:rsidRDefault="00000000">
      <w:pPr>
        <w:jc w:val="both"/>
      </w:pPr>
      <w:r>
        <w:t>• src/assay/screening.py: Matches the botanical-drug selection to the local source catalog, filters assay targets through pathway mappings, deduplicates publication/endpoint records and reports mechanism or context gaps. It does not estimate drug clearance fractions.</w:t>
      </w:r>
    </w:p>
    <w:p w14:paraId="0103540C" w14:textId="77777777" w:rsidR="008A5109" w:rsidRDefault="00000000">
      <w:pPr>
        <w:jc w:val="both"/>
      </w:pPr>
      <w:r>
        <w:t>• app/demo.py and app/screening_demo.py: Render the interactive screen, potency chart, interval tables, human findings and downloadable JSON report. Assay intervals are tabulated; they are not clinical confidence bounds.</w:t>
      </w:r>
    </w:p>
    <w:p w14:paraId="77BC0C60" w14:textId="77777777" w:rsidR="008A5109" w:rsidRDefault="00000000">
      <w:pPr>
        <w:pStyle w:val="Heading2"/>
      </w:pPr>
      <w:bookmarkStart w:id="26" w:name="hdi_ref_23"/>
      <w:r>
        <w:rPr>
          <w:rFonts w:ascii="Times New Roman" w:hAnsi="Times New Roman"/>
        </w:rPr>
        <w:t>4.2 Experimental setup</w:t>
      </w:r>
      <w:bookmarkEnd w:id="26"/>
    </w:p>
    <w:p w14:paraId="0433ABAD" w14:textId="77777777" w:rsidR="008A5109" w:rsidRDefault="00000000">
      <w:pPr>
        <w:jc w:val="both"/>
      </w:pPr>
      <w:r>
        <w:t>The preparation pipeline applies declared endpoint and structural checks and saves exclusion reasons. Table 1 summarizes the actual transition from downloaded records to canonical assay samples. Structural screening is not expert approval of every experiment.</w:t>
      </w:r>
    </w:p>
    <w:p w14:paraId="4D4DC0F9" w14:textId="77777777" w:rsidR="008A5109" w:rsidRDefault="00000000">
      <w:pPr>
        <w:pStyle w:val="Caption"/>
        <w:keepNext/>
        <w:keepLines/>
        <w:spacing w:before="100" w:after="160"/>
        <w:jc w:val="center"/>
      </w:pPr>
      <w:bookmarkStart w:id="27" w:name="hdi_ref_45"/>
      <w:r>
        <w:rPr>
          <w:b w:val="0"/>
        </w:rPr>
        <w:lastRenderedPageBreak/>
        <w:t>Table 1: Dataset preparation counts</w:t>
      </w:r>
      <w:bookmarkEnd w:id="27"/>
    </w:p>
    <w:tbl>
      <w:tblPr>
        <w:tblW w:w="0" w:type="auto"/>
        <w:jc w:val="center"/>
        <w:tblBorders>
          <w:top w:val="single" w:sz="6" w:space="0" w:color="0F2A4A"/>
          <w:bottom w:val="single" w:sz="6" w:space="0" w:color="0F2A4A"/>
          <w:insideH w:val="single" w:sz="4" w:space="0" w:color="E2E8F0"/>
        </w:tblBorders>
        <w:tblLayout w:type="fixed"/>
        <w:tblLook w:val="04A0" w:firstRow="1" w:lastRow="0" w:firstColumn="1" w:lastColumn="0" w:noHBand="0" w:noVBand="1"/>
      </w:tblPr>
      <w:tblGrid>
        <w:gridCol w:w="6768"/>
        <w:gridCol w:w="2448"/>
      </w:tblGrid>
      <w:tr w:rsidR="008A5109" w14:paraId="7422B4AE" w14:textId="77777777">
        <w:trPr>
          <w:cantSplit/>
          <w:tblHeader/>
          <w:jc w:val="center"/>
        </w:trPr>
        <w:tc>
          <w:tcPr>
            <w:tcW w:w="6768" w:type="dxa"/>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vAlign w:val="center"/>
          </w:tcPr>
          <w:p w14:paraId="3AF0E1FB" w14:textId="77777777" w:rsidR="008A5109" w:rsidRDefault="00000000">
            <w:pPr>
              <w:keepNext/>
              <w:spacing w:before="60" w:after="60" w:line="252" w:lineRule="auto"/>
            </w:pPr>
            <w:r>
              <w:rPr>
                <w:b/>
                <w:sz w:val="20"/>
              </w:rPr>
              <w:t>Stage</w:t>
            </w:r>
          </w:p>
        </w:tc>
        <w:tc>
          <w:tcPr>
            <w:tcW w:w="2448" w:type="dxa"/>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vAlign w:val="center"/>
          </w:tcPr>
          <w:p w14:paraId="461A25A3" w14:textId="77777777" w:rsidR="008A5109" w:rsidRDefault="00000000">
            <w:pPr>
              <w:keepNext/>
              <w:spacing w:before="60" w:after="60" w:line="252" w:lineRule="auto"/>
              <w:jc w:val="center"/>
            </w:pPr>
            <w:r>
              <w:rPr>
                <w:b/>
                <w:sz w:val="20"/>
              </w:rPr>
              <w:t>Count</w:t>
            </w:r>
          </w:p>
        </w:tc>
      </w:tr>
      <w:tr w:rsidR="008A5109" w14:paraId="01C88AB3" w14:textId="77777777">
        <w:trPr>
          <w:cantSplit/>
          <w:jc w:val="center"/>
        </w:trPr>
        <w:tc>
          <w:tcPr>
            <w:tcW w:w="676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27A6893" w14:textId="77777777" w:rsidR="008A5109" w:rsidRDefault="00000000">
            <w:pPr>
              <w:keepNext/>
              <w:spacing w:before="60" w:after="60" w:line="252" w:lineRule="auto"/>
            </w:pPr>
            <w:r>
              <w:rPr>
                <w:sz w:val="20"/>
              </w:rPr>
              <w:t>Downloaded IC50 records</w:t>
            </w:r>
          </w:p>
        </w:tc>
        <w:tc>
          <w:tcPr>
            <w:tcW w:w="244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D0AC8DC" w14:textId="77777777" w:rsidR="008A5109" w:rsidRDefault="00000000">
            <w:pPr>
              <w:keepNext/>
              <w:spacing w:before="60" w:after="60" w:line="252" w:lineRule="auto"/>
              <w:jc w:val="center"/>
            </w:pPr>
            <w:r>
              <w:rPr>
                <w:sz w:val="20"/>
              </w:rPr>
              <w:t>18,833</w:t>
            </w:r>
          </w:p>
        </w:tc>
      </w:tr>
      <w:tr w:rsidR="008A5109" w14:paraId="674FD93B" w14:textId="77777777">
        <w:trPr>
          <w:cantSplit/>
          <w:jc w:val="center"/>
        </w:trPr>
        <w:tc>
          <w:tcPr>
            <w:tcW w:w="676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57DA24A" w14:textId="77777777" w:rsidR="008A5109" w:rsidRDefault="00000000">
            <w:pPr>
              <w:keepNext/>
              <w:spacing w:before="60" w:after="60" w:line="252" w:lineRule="auto"/>
            </w:pPr>
            <w:r>
              <w:rPr>
                <w:sz w:val="20"/>
              </w:rPr>
              <w:t>Structurally screened candidates</w:t>
            </w:r>
          </w:p>
        </w:tc>
        <w:tc>
          <w:tcPr>
            <w:tcW w:w="244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FC79946" w14:textId="77777777" w:rsidR="008A5109" w:rsidRDefault="00000000">
            <w:pPr>
              <w:keepNext/>
              <w:spacing w:before="60" w:after="60" w:line="252" w:lineRule="auto"/>
              <w:jc w:val="center"/>
            </w:pPr>
            <w:r>
              <w:rPr>
                <w:sz w:val="20"/>
              </w:rPr>
              <w:t>16,018</w:t>
            </w:r>
          </w:p>
        </w:tc>
      </w:tr>
      <w:tr w:rsidR="008A5109" w14:paraId="019834A8" w14:textId="77777777">
        <w:trPr>
          <w:cantSplit/>
          <w:jc w:val="center"/>
        </w:trPr>
        <w:tc>
          <w:tcPr>
            <w:tcW w:w="676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D4D9794" w14:textId="77777777" w:rsidR="008A5109" w:rsidRDefault="00000000">
            <w:pPr>
              <w:keepNext/>
              <w:spacing w:before="60" w:after="60" w:line="252" w:lineRule="auto"/>
            </w:pPr>
            <w:r>
              <w:rPr>
                <w:sz w:val="20"/>
              </w:rPr>
              <w:t>Additional screening exclusions</w:t>
            </w:r>
          </w:p>
        </w:tc>
        <w:tc>
          <w:tcPr>
            <w:tcW w:w="244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4BCFF3B" w14:textId="77777777" w:rsidR="008A5109" w:rsidRDefault="00000000">
            <w:pPr>
              <w:keepNext/>
              <w:spacing w:before="60" w:after="60" w:line="252" w:lineRule="auto"/>
              <w:jc w:val="center"/>
            </w:pPr>
            <w:r>
              <w:rPr>
                <w:sz w:val="20"/>
              </w:rPr>
              <w:t>805</w:t>
            </w:r>
          </w:p>
        </w:tc>
      </w:tr>
      <w:tr w:rsidR="008A5109" w14:paraId="2DE366DE" w14:textId="77777777">
        <w:trPr>
          <w:cantSplit/>
          <w:jc w:val="center"/>
        </w:trPr>
        <w:tc>
          <w:tcPr>
            <w:tcW w:w="676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728C9AD" w14:textId="77777777" w:rsidR="008A5109" w:rsidRDefault="00000000">
            <w:pPr>
              <w:keepNext/>
              <w:spacing w:before="60" w:after="60" w:line="252" w:lineRule="auto"/>
            </w:pPr>
            <w:r>
              <w:rPr>
                <w:sz w:val="20"/>
              </w:rPr>
              <w:t>Retained measurements</w:t>
            </w:r>
          </w:p>
        </w:tc>
        <w:tc>
          <w:tcPr>
            <w:tcW w:w="244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2CDD7FB" w14:textId="77777777" w:rsidR="008A5109" w:rsidRDefault="00000000">
            <w:pPr>
              <w:keepNext/>
              <w:spacing w:before="60" w:after="60" w:line="252" w:lineRule="auto"/>
              <w:jc w:val="center"/>
            </w:pPr>
            <w:r>
              <w:rPr>
                <w:sz w:val="20"/>
              </w:rPr>
              <w:t>15,213</w:t>
            </w:r>
          </w:p>
        </w:tc>
      </w:tr>
      <w:tr w:rsidR="008A5109" w14:paraId="4063C939" w14:textId="77777777">
        <w:trPr>
          <w:cantSplit/>
          <w:jc w:val="center"/>
        </w:trPr>
        <w:tc>
          <w:tcPr>
            <w:tcW w:w="676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7EE0C59" w14:textId="77777777" w:rsidR="008A5109" w:rsidRDefault="00000000">
            <w:pPr>
              <w:keepNext/>
              <w:spacing w:before="60" w:after="60" w:line="252" w:lineRule="auto"/>
            </w:pPr>
            <w:r>
              <w:rPr>
                <w:sz w:val="20"/>
              </w:rPr>
              <w:t>Scaffold structure-target samples</w:t>
            </w:r>
          </w:p>
        </w:tc>
        <w:tc>
          <w:tcPr>
            <w:tcW w:w="244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25C7791" w14:textId="77777777" w:rsidR="008A5109" w:rsidRDefault="00000000">
            <w:pPr>
              <w:keepNext/>
              <w:spacing w:before="60" w:after="60" w:line="252" w:lineRule="auto"/>
              <w:jc w:val="center"/>
            </w:pPr>
            <w:r>
              <w:rPr>
                <w:sz w:val="20"/>
              </w:rPr>
              <w:t>13,242</w:t>
            </w:r>
          </w:p>
        </w:tc>
      </w:tr>
      <w:tr w:rsidR="008A5109" w14:paraId="37011826" w14:textId="77777777">
        <w:trPr>
          <w:cantSplit/>
          <w:jc w:val="center"/>
        </w:trPr>
        <w:tc>
          <w:tcPr>
            <w:tcW w:w="676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F2B577D" w14:textId="77777777" w:rsidR="008A5109" w:rsidRDefault="00000000">
            <w:pPr>
              <w:spacing w:before="60" w:after="60" w:line="252" w:lineRule="auto"/>
            </w:pPr>
            <w:r>
              <w:rPr>
                <w:sz w:val="20"/>
              </w:rPr>
              <w:t>Canonical structures</w:t>
            </w:r>
          </w:p>
        </w:tc>
        <w:tc>
          <w:tcPr>
            <w:tcW w:w="244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CC830B3" w14:textId="77777777" w:rsidR="008A5109" w:rsidRDefault="00000000">
            <w:pPr>
              <w:spacing w:before="60" w:after="60" w:line="252" w:lineRule="auto"/>
              <w:jc w:val="center"/>
            </w:pPr>
            <w:r>
              <w:rPr>
                <w:sz w:val="20"/>
              </w:rPr>
              <w:t>8,724</w:t>
            </w:r>
          </w:p>
        </w:tc>
      </w:tr>
    </w:tbl>
    <w:p w14:paraId="40082A78" w14:textId="77777777" w:rsidR="008A5109" w:rsidRDefault="00000000">
      <w:pPr>
        <w:jc w:val="both"/>
      </w:pPr>
      <w:r>
        <w:t>All machine learning models and conformal calibration procedures were executed under fixed, pre-declared hyperparameter settings, as specified in Table 2.</w:t>
      </w:r>
    </w:p>
    <w:p w14:paraId="14520E12" w14:textId="77777777" w:rsidR="008A5109" w:rsidRDefault="00000000">
      <w:pPr>
        <w:pStyle w:val="Caption"/>
        <w:keepNext/>
        <w:keepLines/>
        <w:spacing w:before="100" w:after="160"/>
        <w:jc w:val="center"/>
      </w:pPr>
      <w:bookmarkStart w:id="28" w:name="hdi_ref_46"/>
      <w:r>
        <w:rPr>
          <w:b w:val="0"/>
        </w:rPr>
        <w:t>Table 2: Model and calibration settings</w:t>
      </w:r>
      <w:bookmarkEnd w:id="28"/>
    </w:p>
    <w:tbl>
      <w:tblPr>
        <w:tblW w:w="0" w:type="auto"/>
        <w:jc w:val="center"/>
        <w:tblBorders>
          <w:top w:val="single" w:sz="6" w:space="0" w:color="0F2A4A"/>
          <w:bottom w:val="single" w:sz="6" w:space="0" w:color="0F2A4A"/>
          <w:insideH w:val="single" w:sz="4" w:space="0" w:color="E2E8F0"/>
        </w:tblBorders>
        <w:tblLayout w:type="fixed"/>
        <w:tblLook w:val="04A0" w:firstRow="1" w:lastRow="0" w:firstColumn="1" w:lastColumn="0" w:noHBand="0" w:noVBand="1"/>
      </w:tblPr>
      <w:tblGrid>
        <w:gridCol w:w="3744"/>
        <w:gridCol w:w="5472"/>
      </w:tblGrid>
      <w:tr w:rsidR="008A5109" w14:paraId="46503F6C" w14:textId="77777777">
        <w:trPr>
          <w:cantSplit/>
          <w:tblHeader/>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vAlign w:val="center"/>
          </w:tcPr>
          <w:p w14:paraId="2AF27F2A" w14:textId="77777777" w:rsidR="008A5109" w:rsidRDefault="00000000">
            <w:pPr>
              <w:keepNext/>
              <w:spacing w:before="60" w:after="60" w:line="252" w:lineRule="auto"/>
            </w:pPr>
            <w:r>
              <w:rPr>
                <w:b/>
                <w:sz w:val="20"/>
              </w:rPr>
              <w:t>Component</w:t>
            </w:r>
          </w:p>
        </w:tc>
        <w:tc>
          <w:tcPr>
            <w:tcW w:w="5472" w:type="dxa"/>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vAlign w:val="center"/>
          </w:tcPr>
          <w:p w14:paraId="340531B2" w14:textId="77777777" w:rsidR="008A5109" w:rsidRDefault="00000000">
            <w:pPr>
              <w:keepNext/>
              <w:spacing w:before="60" w:after="60" w:line="252" w:lineRule="auto"/>
              <w:jc w:val="center"/>
            </w:pPr>
            <w:r>
              <w:rPr>
                <w:b/>
                <w:sz w:val="20"/>
              </w:rPr>
              <w:t>Setting</w:t>
            </w:r>
          </w:p>
        </w:tc>
      </w:tr>
      <w:tr w:rsidR="008A5109" w14:paraId="626AAEC7" w14:textId="77777777">
        <w:trPr>
          <w:cantSplit/>
          <w:jc w:val="center"/>
        </w:trPr>
        <w:tc>
          <w:tcPr>
            <w:tcW w:w="374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F9DF033" w14:textId="77777777" w:rsidR="008A5109" w:rsidRDefault="00000000">
            <w:pPr>
              <w:keepNext/>
              <w:spacing w:before="60" w:after="60" w:line="252" w:lineRule="auto"/>
            </w:pPr>
            <w:r>
              <w:rPr>
                <w:sz w:val="20"/>
              </w:rPr>
              <w:t>Molecular features</w:t>
            </w:r>
          </w:p>
        </w:tc>
        <w:tc>
          <w:tcPr>
            <w:tcW w:w="547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9147F76" w14:textId="77777777" w:rsidR="008A5109" w:rsidRDefault="00000000">
            <w:pPr>
              <w:keepNext/>
              <w:spacing w:before="60" w:after="60" w:line="252" w:lineRule="auto"/>
              <w:jc w:val="center"/>
            </w:pPr>
            <w:r>
              <w:rPr>
                <w:sz w:val="20"/>
              </w:rPr>
              <w:t>Morgan radius 2; 2048 bits</w:t>
            </w:r>
          </w:p>
        </w:tc>
      </w:tr>
      <w:tr w:rsidR="008A5109" w14:paraId="21CFD673" w14:textId="77777777">
        <w:trPr>
          <w:cantSplit/>
          <w:jc w:val="center"/>
        </w:trPr>
        <w:tc>
          <w:tcPr>
            <w:tcW w:w="374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1BFEB20" w14:textId="77777777" w:rsidR="008A5109" w:rsidRDefault="00000000">
            <w:pPr>
              <w:keepNext/>
              <w:spacing w:before="60" w:after="60" w:line="252" w:lineRule="auto"/>
            </w:pPr>
            <w:r>
              <w:rPr>
                <w:sz w:val="20"/>
              </w:rPr>
              <w:t>Ridge</w:t>
            </w:r>
          </w:p>
        </w:tc>
        <w:tc>
          <w:tcPr>
            <w:tcW w:w="547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AABF482" w14:textId="77777777" w:rsidR="008A5109" w:rsidRDefault="00000000">
            <w:pPr>
              <w:keepNext/>
              <w:spacing w:before="60" w:after="60" w:line="252" w:lineRule="auto"/>
              <w:jc w:val="center"/>
            </w:pPr>
            <w:r>
              <w:rPr>
                <w:sz w:val="20"/>
              </w:rPr>
              <w:t>alpha 100; lsqr solver</w:t>
            </w:r>
          </w:p>
        </w:tc>
      </w:tr>
      <w:tr w:rsidR="008A5109" w14:paraId="1B1CA342" w14:textId="77777777">
        <w:trPr>
          <w:cantSplit/>
          <w:jc w:val="center"/>
        </w:trPr>
        <w:tc>
          <w:tcPr>
            <w:tcW w:w="374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D62CE99" w14:textId="77777777" w:rsidR="008A5109" w:rsidRDefault="00000000">
            <w:pPr>
              <w:keepNext/>
              <w:spacing w:before="60" w:after="60" w:line="252" w:lineRule="auto"/>
            </w:pPr>
            <w:r>
              <w:rPr>
                <w:sz w:val="20"/>
              </w:rPr>
              <w:t>ExtraTrees</w:t>
            </w:r>
          </w:p>
        </w:tc>
        <w:tc>
          <w:tcPr>
            <w:tcW w:w="547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29C8EBD" w14:textId="77777777" w:rsidR="008A5109" w:rsidRDefault="00000000">
            <w:pPr>
              <w:keepNext/>
              <w:spacing w:before="60" w:after="60" w:line="252" w:lineRule="auto"/>
              <w:jc w:val="center"/>
            </w:pPr>
            <w:r>
              <w:rPr>
                <w:sz w:val="20"/>
              </w:rPr>
              <w:t>128 trees; min leaf 2; feature fraction 0.5</w:t>
            </w:r>
          </w:p>
        </w:tc>
      </w:tr>
      <w:tr w:rsidR="008A5109" w14:paraId="45E2638C" w14:textId="77777777">
        <w:trPr>
          <w:cantSplit/>
          <w:jc w:val="center"/>
        </w:trPr>
        <w:tc>
          <w:tcPr>
            <w:tcW w:w="374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4AFD01A" w14:textId="77777777" w:rsidR="008A5109" w:rsidRDefault="00000000">
            <w:pPr>
              <w:keepNext/>
              <w:spacing w:before="60" w:after="60" w:line="252" w:lineRule="auto"/>
            </w:pPr>
            <w:r>
              <w:rPr>
                <w:sz w:val="20"/>
              </w:rPr>
              <w:t>Consistency weight</w:t>
            </w:r>
          </w:p>
        </w:tc>
        <w:tc>
          <w:tcPr>
            <w:tcW w:w="547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7CF46F7" w14:textId="77777777" w:rsidR="008A5109" w:rsidRDefault="00000000">
            <w:pPr>
              <w:keepNext/>
              <w:spacing w:before="60" w:after="60" w:line="252" w:lineRule="auto"/>
              <w:jc w:val="center"/>
            </w:pPr>
            <w:r>
              <w:rPr>
                <w:sz w:val="20"/>
              </w:rPr>
              <w:t>1 / (1 + training pair MAD)</w:t>
            </w:r>
          </w:p>
        </w:tc>
      </w:tr>
      <w:tr w:rsidR="008A5109" w14:paraId="3F5D0656" w14:textId="77777777">
        <w:trPr>
          <w:cantSplit/>
          <w:jc w:val="center"/>
        </w:trPr>
        <w:tc>
          <w:tcPr>
            <w:tcW w:w="374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911C854" w14:textId="77777777" w:rsidR="008A5109" w:rsidRDefault="00000000">
            <w:pPr>
              <w:keepNext/>
              <w:spacing w:before="60" w:after="60" w:line="252" w:lineRule="auto"/>
            </w:pPr>
            <w:r>
              <w:rPr>
                <w:sz w:val="20"/>
              </w:rPr>
              <w:t>Role fractions</w:t>
            </w:r>
          </w:p>
        </w:tc>
        <w:tc>
          <w:tcPr>
            <w:tcW w:w="547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A3F0984" w14:textId="77777777" w:rsidR="008A5109" w:rsidRDefault="00000000">
            <w:pPr>
              <w:keepNext/>
              <w:spacing w:before="60" w:after="60" w:line="252" w:lineRule="auto"/>
              <w:jc w:val="center"/>
            </w:pPr>
            <w:r>
              <w:rPr>
                <w:sz w:val="20"/>
              </w:rPr>
              <w:t>60% / 15% / 10% / 15% (Train / Val / Cal / Test)</w:t>
            </w:r>
          </w:p>
        </w:tc>
      </w:tr>
      <w:tr w:rsidR="008A5109" w14:paraId="511D3AEE" w14:textId="77777777">
        <w:trPr>
          <w:cantSplit/>
          <w:jc w:val="center"/>
        </w:trPr>
        <w:tc>
          <w:tcPr>
            <w:tcW w:w="374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EC8F4F8" w14:textId="77777777" w:rsidR="008A5109" w:rsidRDefault="00000000">
            <w:pPr>
              <w:keepNext/>
              <w:spacing w:before="60" w:after="60" w:line="252" w:lineRule="auto"/>
            </w:pPr>
            <w:r>
              <w:rPr>
                <w:sz w:val="20"/>
              </w:rPr>
              <w:t>Calibration</w:t>
            </w:r>
          </w:p>
        </w:tc>
        <w:tc>
          <w:tcPr>
            <w:tcW w:w="547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E6AC53B" w14:textId="77777777" w:rsidR="008A5109" w:rsidRDefault="00000000">
            <w:pPr>
              <w:keepNext/>
              <w:spacing w:before="60" w:after="60" w:line="252" w:lineRule="auto"/>
              <w:jc w:val="center"/>
            </w:pPr>
            <w:r>
              <w:rPr>
                <w:sz w:val="20"/>
              </w:rPr>
              <w:t>alpha 0.10; absolute residuals</w:t>
            </w:r>
          </w:p>
        </w:tc>
      </w:tr>
      <w:tr w:rsidR="008A5109" w14:paraId="6C018318" w14:textId="77777777">
        <w:trPr>
          <w:cantSplit/>
          <w:jc w:val="center"/>
        </w:trPr>
        <w:tc>
          <w:tcPr>
            <w:tcW w:w="374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96A95C6" w14:textId="77777777" w:rsidR="008A5109" w:rsidRDefault="00000000">
            <w:pPr>
              <w:spacing w:before="60" w:after="60" w:line="252" w:lineRule="auto"/>
            </w:pPr>
            <w:r>
              <w:rPr>
                <w:sz w:val="20"/>
              </w:rPr>
              <w:t>Seed</w:t>
            </w:r>
          </w:p>
        </w:tc>
        <w:tc>
          <w:tcPr>
            <w:tcW w:w="547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900BA8D" w14:textId="77777777" w:rsidR="008A5109" w:rsidRDefault="00000000">
            <w:pPr>
              <w:spacing w:before="60" w:after="60" w:line="252" w:lineRule="auto"/>
              <w:jc w:val="center"/>
            </w:pPr>
            <w:r>
              <w:rPr>
                <w:sz w:val="20"/>
              </w:rPr>
              <w:t>20261030</w:t>
            </w:r>
          </w:p>
        </w:tc>
      </w:tr>
    </w:tbl>
    <w:p w14:paraId="110F21B0" w14:textId="77777777" w:rsidR="008A5109" w:rsidRDefault="00000000">
      <w:pPr>
        <w:jc w:val="both"/>
      </w:pPr>
      <w:r>
        <w:t>The scaffold regime keeps each Bemis-Murcko group in one role. The publication regime assigns source documents and then purges cross-role structures, with fixed priority test, calibration, validation, training. Publication separation does not prove separation by laboratory or institution. Both regimes use seed 20261030 and separate training, validation, calibration and testing roles; Table 3 records their aggregate sizes.</w:t>
      </w:r>
    </w:p>
    <w:p w14:paraId="0C8C1B0E" w14:textId="77777777" w:rsidR="008A5109" w:rsidRDefault="00000000">
      <w:pPr>
        <w:pStyle w:val="Caption"/>
        <w:keepNext/>
        <w:keepLines/>
        <w:spacing w:before="100" w:after="160"/>
        <w:jc w:val="center"/>
      </w:pPr>
      <w:bookmarkStart w:id="29" w:name="hdi_ref_47"/>
      <w:r>
        <w:rPr>
          <w:b w:val="0"/>
        </w:rPr>
        <w:lastRenderedPageBreak/>
        <w:t>Table 3: Sample counts by evaluation role</w:t>
      </w:r>
      <w:bookmarkEnd w:id="29"/>
    </w:p>
    <w:tbl>
      <w:tblPr>
        <w:tblW w:w="0" w:type="auto"/>
        <w:jc w:val="center"/>
        <w:tblBorders>
          <w:top w:val="single" w:sz="6" w:space="0" w:color="0F2A4A"/>
          <w:bottom w:val="single" w:sz="6" w:space="0" w:color="0F2A4A"/>
          <w:insideH w:val="single" w:sz="4" w:space="0" w:color="E2E8F0"/>
        </w:tblBorders>
        <w:tblLayout w:type="fixed"/>
        <w:tblLook w:val="04A0" w:firstRow="1" w:lastRow="0" w:firstColumn="1" w:lastColumn="0" w:noHBand="0" w:noVBand="1"/>
      </w:tblPr>
      <w:tblGrid>
        <w:gridCol w:w="2160"/>
        <w:gridCol w:w="1584"/>
        <w:gridCol w:w="1728"/>
        <w:gridCol w:w="1872"/>
        <w:gridCol w:w="1872"/>
      </w:tblGrid>
      <w:tr w:rsidR="008A5109" w14:paraId="7AB7A8BB" w14:textId="77777777">
        <w:trPr>
          <w:cantSplit/>
          <w:tblHeader/>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vAlign w:val="center"/>
          </w:tcPr>
          <w:p w14:paraId="75F6B1D0" w14:textId="77777777" w:rsidR="008A5109" w:rsidRDefault="00000000">
            <w:pPr>
              <w:keepNext/>
              <w:spacing w:before="60" w:after="60" w:line="252" w:lineRule="auto"/>
            </w:pPr>
            <w:r>
              <w:rPr>
                <w:b/>
                <w:sz w:val="20"/>
              </w:rPr>
              <w:t>Split</w:t>
            </w:r>
          </w:p>
        </w:tc>
        <w:tc>
          <w:tcPr>
            <w:tcW w:w="1584" w:type="dxa"/>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vAlign w:val="center"/>
          </w:tcPr>
          <w:p w14:paraId="14106E94" w14:textId="77777777" w:rsidR="008A5109" w:rsidRDefault="00000000">
            <w:pPr>
              <w:keepNext/>
              <w:spacing w:before="60" w:after="60" w:line="252" w:lineRule="auto"/>
              <w:jc w:val="center"/>
            </w:pPr>
            <w:r>
              <w:rPr>
                <w:b/>
                <w:sz w:val="20"/>
              </w:rPr>
              <w:t>Train</w:t>
            </w:r>
          </w:p>
        </w:tc>
        <w:tc>
          <w:tcPr>
            <w:tcW w:w="1728" w:type="dxa"/>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vAlign w:val="center"/>
          </w:tcPr>
          <w:p w14:paraId="556EDA8A" w14:textId="77777777" w:rsidR="008A5109" w:rsidRDefault="00000000">
            <w:pPr>
              <w:keepNext/>
              <w:spacing w:before="60" w:after="60" w:line="252" w:lineRule="auto"/>
              <w:jc w:val="center"/>
            </w:pPr>
            <w:r>
              <w:rPr>
                <w:b/>
                <w:sz w:val="20"/>
              </w:rPr>
              <w:t>Validation</w:t>
            </w:r>
          </w:p>
        </w:tc>
        <w:tc>
          <w:tcPr>
            <w:tcW w:w="1872" w:type="dxa"/>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vAlign w:val="center"/>
          </w:tcPr>
          <w:p w14:paraId="18C2B182" w14:textId="77777777" w:rsidR="008A5109" w:rsidRDefault="00000000">
            <w:pPr>
              <w:keepNext/>
              <w:spacing w:before="60" w:after="60" w:line="252" w:lineRule="auto"/>
              <w:jc w:val="center"/>
            </w:pPr>
            <w:r>
              <w:rPr>
                <w:b/>
                <w:sz w:val="20"/>
              </w:rPr>
              <w:t>Calibration</w:t>
            </w:r>
          </w:p>
        </w:tc>
        <w:tc>
          <w:tcPr>
            <w:tcW w:w="1872" w:type="dxa"/>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vAlign w:val="center"/>
          </w:tcPr>
          <w:p w14:paraId="002085BF" w14:textId="77777777" w:rsidR="008A5109" w:rsidRDefault="00000000">
            <w:pPr>
              <w:keepNext/>
              <w:spacing w:before="60" w:after="60" w:line="252" w:lineRule="auto"/>
              <w:jc w:val="center"/>
            </w:pPr>
            <w:r>
              <w:rPr>
                <w:b/>
                <w:sz w:val="20"/>
              </w:rPr>
              <w:t>Test</w:t>
            </w:r>
          </w:p>
        </w:tc>
      </w:tr>
      <w:tr w:rsidR="008A5109" w14:paraId="5048628C"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2D0FE8D" w14:textId="77777777" w:rsidR="008A5109" w:rsidRDefault="00000000">
            <w:pPr>
              <w:keepNext/>
              <w:spacing w:before="60" w:after="60" w:line="252" w:lineRule="auto"/>
            </w:pPr>
            <w:r>
              <w:rPr>
                <w:sz w:val="20"/>
              </w:rPr>
              <w:t>Scaffold</w:t>
            </w:r>
          </w:p>
        </w:tc>
        <w:tc>
          <w:tcPr>
            <w:tcW w:w="158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6C24F99" w14:textId="77777777" w:rsidR="008A5109" w:rsidRDefault="00000000">
            <w:pPr>
              <w:keepNext/>
              <w:spacing w:before="60" w:after="60" w:line="252" w:lineRule="auto"/>
              <w:jc w:val="center"/>
            </w:pPr>
            <w:r>
              <w:rPr>
                <w:sz w:val="20"/>
              </w:rPr>
              <w:t>7937</w:t>
            </w:r>
          </w:p>
        </w:tc>
        <w:tc>
          <w:tcPr>
            <w:tcW w:w="172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7747B78" w14:textId="77777777" w:rsidR="008A5109" w:rsidRDefault="00000000">
            <w:pPr>
              <w:keepNext/>
              <w:spacing w:before="60" w:after="60" w:line="252" w:lineRule="auto"/>
              <w:jc w:val="center"/>
            </w:pPr>
            <w:r>
              <w:rPr>
                <w:sz w:val="20"/>
              </w:rPr>
              <w:t>1863</w:t>
            </w:r>
          </w:p>
        </w:tc>
        <w:tc>
          <w:tcPr>
            <w:tcW w:w="187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AB19118" w14:textId="77777777" w:rsidR="008A5109" w:rsidRDefault="00000000">
            <w:pPr>
              <w:keepNext/>
              <w:spacing w:before="60" w:after="60" w:line="252" w:lineRule="auto"/>
              <w:jc w:val="center"/>
            </w:pPr>
            <w:r>
              <w:rPr>
                <w:sz w:val="20"/>
              </w:rPr>
              <w:t>1326</w:t>
            </w:r>
          </w:p>
        </w:tc>
        <w:tc>
          <w:tcPr>
            <w:tcW w:w="187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9183225" w14:textId="77777777" w:rsidR="008A5109" w:rsidRDefault="00000000">
            <w:pPr>
              <w:keepNext/>
              <w:spacing w:before="60" w:after="60" w:line="252" w:lineRule="auto"/>
              <w:jc w:val="center"/>
            </w:pPr>
            <w:r>
              <w:rPr>
                <w:sz w:val="20"/>
              </w:rPr>
              <w:t>2116</w:t>
            </w:r>
          </w:p>
        </w:tc>
      </w:tr>
      <w:tr w:rsidR="008A5109" w14:paraId="40576A11"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3F97C0A" w14:textId="77777777" w:rsidR="008A5109" w:rsidRDefault="00000000">
            <w:pPr>
              <w:spacing w:before="60" w:after="60" w:line="252" w:lineRule="auto"/>
            </w:pPr>
            <w:r>
              <w:rPr>
                <w:sz w:val="20"/>
              </w:rPr>
              <w:t>Publication</w:t>
            </w:r>
          </w:p>
        </w:tc>
        <w:tc>
          <w:tcPr>
            <w:tcW w:w="158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51843AF" w14:textId="77777777" w:rsidR="008A5109" w:rsidRDefault="00000000">
            <w:pPr>
              <w:spacing w:before="60" w:after="60" w:line="252" w:lineRule="auto"/>
              <w:jc w:val="center"/>
            </w:pPr>
            <w:r>
              <w:rPr>
                <w:sz w:val="20"/>
              </w:rPr>
              <w:t>7477</w:t>
            </w:r>
          </w:p>
        </w:tc>
        <w:tc>
          <w:tcPr>
            <w:tcW w:w="172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EE93EF4" w14:textId="77777777" w:rsidR="008A5109" w:rsidRDefault="00000000">
            <w:pPr>
              <w:spacing w:before="60" w:after="60" w:line="252" w:lineRule="auto"/>
              <w:jc w:val="center"/>
            </w:pPr>
            <w:r>
              <w:rPr>
                <w:sz w:val="20"/>
              </w:rPr>
              <w:t>1993</w:t>
            </w:r>
          </w:p>
        </w:tc>
        <w:tc>
          <w:tcPr>
            <w:tcW w:w="187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5210131" w14:textId="77777777" w:rsidR="008A5109" w:rsidRDefault="00000000">
            <w:pPr>
              <w:spacing w:before="60" w:after="60" w:line="252" w:lineRule="auto"/>
              <w:jc w:val="center"/>
            </w:pPr>
            <w:r>
              <w:rPr>
                <w:sz w:val="20"/>
              </w:rPr>
              <w:t>1603</w:t>
            </w:r>
          </w:p>
        </w:tc>
        <w:tc>
          <w:tcPr>
            <w:tcW w:w="187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E377384" w14:textId="77777777" w:rsidR="008A5109" w:rsidRDefault="00000000">
            <w:pPr>
              <w:spacing w:before="60" w:after="60" w:line="252" w:lineRule="auto"/>
              <w:jc w:val="center"/>
            </w:pPr>
            <w:r>
              <w:rPr>
                <w:sz w:val="20"/>
              </w:rPr>
              <w:t>2076</w:t>
            </w:r>
          </w:p>
        </w:tc>
      </w:tr>
    </w:tbl>
    <w:p w14:paraId="748CE337" w14:textId="77777777" w:rsidR="008A5109" w:rsidRDefault="00000000">
      <w:pPr>
        <w:pStyle w:val="Heading2"/>
      </w:pPr>
      <w:bookmarkStart w:id="30" w:name="hdi_ref_24"/>
      <w:r>
        <w:rPr>
          <w:rFonts w:ascii="Times New Roman" w:hAnsi="Times New Roman"/>
        </w:rPr>
        <w:t>4.3 Test cases and validation protocol</w:t>
      </w:r>
      <w:bookmarkEnd w:id="30"/>
    </w:p>
    <w:p w14:paraId="5BF5BB67" w14:textId="77777777" w:rsidR="008A5109" w:rsidRDefault="00000000">
      <w:pPr>
        <w:jc w:val="both"/>
      </w:pPr>
      <w:r>
        <w:t>Verification includes a focused 219-test assay/source/component/orchestrator/preflight run, three report-integrity tests, and a later overlapping 23-test screening/assay/presentation selection. These are engineering checks and are not a full-suite green or clinical-validation claim. Table 4 records representative expected behaviors; the test selections must not be added as independent counts [18].</w:t>
      </w:r>
    </w:p>
    <w:p w14:paraId="7D233302" w14:textId="77777777" w:rsidR="008A5109" w:rsidRDefault="00000000">
      <w:pPr>
        <w:pStyle w:val="Caption"/>
        <w:keepNext/>
        <w:keepLines/>
        <w:spacing w:before="100" w:after="160"/>
        <w:jc w:val="center"/>
      </w:pPr>
      <w:bookmarkStart w:id="31" w:name="hdi_ref_48"/>
      <w:r>
        <w:rPr>
          <w:b w:val="0"/>
        </w:rPr>
        <w:t>Table 4: Behavioral verification cases</w:t>
      </w:r>
      <w:bookmarkEnd w:id="31"/>
    </w:p>
    <w:tbl>
      <w:tblPr>
        <w:tblW w:w="0" w:type="auto"/>
        <w:jc w:val="center"/>
        <w:tblBorders>
          <w:top w:val="single" w:sz="6" w:space="0" w:color="0F2A4A"/>
          <w:bottom w:val="single" w:sz="6" w:space="0" w:color="0F2A4A"/>
          <w:insideH w:val="single" w:sz="4" w:space="0" w:color="E2E8F0"/>
        </w:tblBorders>
        <w:tblLayout w:type="fixed"/>
        <w:tblLook w:val="04A0" w:firstRow="1" w:lastRow="0" w:firstColumn="1" w:lastColumn="0" w:noHBand="0" w:noVBand="1"/>
      </w:tblPr>
      <w:tblGrid>
        <w:gridCol w:w="2880"/>
        <w:gridCol w:w="6336"/>
      </w:tblGrid>
      <w:tr w:rsidR="008A5109" w14:paraId="5B58F6B2" w14:textId="77777777">
        <w:trPr>
          <w:cantSplit/>
          <w:tblHeader/>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vAlign w:val="center"/>
          </w:tcPr>
          <w:p w14:paraId="4A68D6B3" w14:textId="77777777" w:rsidR="008A5109" w:rsidRDefault="00000000">
            <w:pPr>
              <w:keepNext/>
              <w:spacing w:before="60" w:after="60" w:line="252" w:lineRule="auto"/>
            </w:pPr>
            <w:r>
              <w:rPr>
                <w:b/>
                <w:sz w:val="20"/>
              </w:rPr>
              <w:t>Check</w:t>
            </w:r>
          </w:p>
        </w:tc>
        <w:tc>
          <w:tcPr>
            <w:tcW w:w="6336" w:type="dxa"/>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vAlign w:val="center"/>
          </w:tcPr>
          <w:p w14:paraId="33017E59" w14:textId="77777777" w:rsidR="008A5109" w:rsidRDefault="00000000">
            <w:pPr>
              <w:keepNext/>
              <w:spacing w:before="60" w:after="60" w:line="252" w:lineRule="auto"/>
              <w:jc w:val="center"/>
            </w:pPr>
            <w:r>
              <w:rPr>
                <w:b/>
                <w:sz w:val="20"/>
              </w:rPr>
              <w:t>Expected behavior</w:t>
            </w:r>
          </w:p>
        </w:tc>
      </w:tr>
      <w:tr w:rsidR="008A5109" w14:paraId="2C969BE1"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EFCE6BF" w14:textId="77777777" w:rsidR="008A5109" w:rsidRDefault="00000000">
            <w:pPr>
              <w:keepNext/>
              <w:spacing w:before="60" w:after="60" w:line="252" w:lineRule="auto"/>
            </w:pPr>
            <w:r>
              <w:rPr>
                <w:sz w:val="20"/>
              </w:rPr>
              <w:t>Outcome isolation</w:t>
            </w:r>
          </w:p>
        </w:tc>
        <w:tc>
          <w:tcPr>
            <w:tcW w:w="633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72D36A8" w14:textId="77777777" w:rsidR="008A5109" w:rsidRDefault="00000000">
            <w:pPr>
              <w:keepNext/>
              <w:spacing w:before="60" w:after="60" w:line="252" w:lineRule="auto"/>
              <w:jc w:val="center"/>
            </w:pPr>
            <w:r>
              <w:rPr>
                <w:sz w:val="20"/>
              </w:rPr>
              <w:t>Changed test labels do not alter fitted predictions</w:t>
            </w:r>
          </w:p>
        </w:tc>
      </w:tr>
      <w:tr w:rsidR="008A5109" w14:paraId="31F413A0"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8E6E034" w14:textId="77777777" w:rsidR="008A5109" w:rsidRDefault="00000000">
            <w:pPr>
              <w:keepNext/>
              <w:spacing w:before="60" w:after="60" w:line="252" w:lineRule="auto"/>
            </w:pPr>
            <w:r>
              <w:rPr>
                <w:sz w:val="20"/>
              </w:rPr>
              <w:t>Role separation</w:t>
            </w:r>
          </w:p>
        </w:tc>
        <w:tc>
          <w:tcPr>
            <w:tcW w:w="633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C340016" w14:textId="77777777" w:rsidR="008A5109" w:rsidRDefault="00000000">
            <w:pPr>
              <w:keepNext/>
              <w:spacing w:before="60" w:after="60" w:line="252" w:lineRule="auto"/>
              <w:jc w:val="center"/>
            </w:pPr>
            <w:r>
              <w:rPr>
                <w:sz w:val="20"/>
              </w:rPr>
              <w:t>Forbidden structure or group overlap fails with an explicit error</w:t>
            </w:r>
          </w:p>
        </w:tc>
      </w:tr>
      <w:tr w:rsidR="008A5109" w14:paraId="169F3F7E"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BA1AD79" w14:textId="77777777" w:rsidR="008A5109" w:rsidRDefault="00000000">
            <w:pPr>
              <w:keepNext/>
              <w:spacing w:before="60" w:after="60" w:line="252" w:lineRule="auto"/>
            </w:pPr>
            <w:r>
              <w:rPr>
                <w:sz w:val="20"/>
              </w:rPr>
              <w:t>Artifact integrity</w:t>
            </w:r>
          </w:p>
        </w:tc>
        <w:tc>
          <w:tcPr>
            <w:tcW w:w="633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488FEAF" w14:textId="77777777" w:rsidR="008A5109" w:rsidRDefault="00000000">
            <w:pPr>
              <w:keepNext/>
              <w:spacing w:before="60" w:after="60" w:line="252" w:lineRule="auto"/>
              <w:jc w:val="center"/>
            </w:pPr>
            <w:r>
              <w:rPr>
                <w:sz w:val="20"/>
              </w:rPr>
              <w:t>Changed experiment bytes or altered manifest hashes are rejected</w:t>
            </w:r>
          </w:p>
        </w:tc>
      </w:tr>
      <w:tr w:rsidR="008A5109" w14:paraId="7A5E6496"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65375EC" w14:textId="77777777" w:rsidR="008A5109" w:rsidRDefault="00000000">
            <w:pPr>
              <w:keepNext/>
              <w:spacing w:before="60" w:after="60" w:line="252" w:lineRule="auto"/>
            </w:pPr>
            <w:r>
              <w:rPr>
                <w:sz w:val="20"/>
              </w:rPr>
              <w:t>Citation duplication</w:t>
            </w:r>
          </w:p>
        </w:tc>
        <w:tc>
          <w:tcPr>
            <w:tcW w:w="633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ADFE4ED" w14:textId="77777777" w:rsidR="008A5109" w:rsidRDefault="00000000">
            <w:pPr>
              <w:keepNext/>
              <w:spacing w:before="60" w:after="60" w:line="252" w:lineRule="auto"/>
              <w:jc w:val="center"/>
            </w:pPr>
            <w:r>
              <w:rPr>
                <w:sz w:val="20"/>
              </w:rPr>
              <w:t>Repeated literature record adds no unique publication to evidence counts</w:t>
            </w:r>
          </w:p>
        </w:tc>
      </w:tr>
      <w:tr w:rsidR="008A5109" w14:paraId="5DA4C81E"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245BE83" w14:textId="77777777" w:rsidR="008A5109" w:rsidRDefault="00000000">
            <w:pPr>
              <w:keepNext/>
              <w:spacing w:before="60" w:after="60" w:line="252" w:lineRule="auto"/>
            </w:pPr>
            <w:r>
              <w:rPr>
                <w:sz w:val="20"/>
              </w:rPr>
              <w:t>Induction mechanism</w:t>
            </w:r>
          </w:p>
        </w:tc>
        <w:tc>
          <w:tcPr>
            <w:tcW w:w="633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8AA7059" w14:textId="77777777" w:rsidR="008A5109" w:rsidRDefault="00000000">
            <w:pPr>
              <w:keepNext/>
              <w:spacing w:before="60" w:after="60" w:line="252" w:lineRule="auto"/>
              <w:jc w:val="center"/>
            </w:pPr>
            <w:r>
              <w:rPr>
                <w:sz w:val="20"/>
              </w:rPr>
              <w:t>Inhibition exposure ratio is not computed for PXR induction pathways</w:t>
            </w:r>
          </w:p>
        </w:tc>
      </w:tr>
      <w:tr w:rsidR="008A5109" w14:paraId="2B1B6B60"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59E132C" w14:textId="77777777" w:rsidR="008A5109" w:rsidRDefault="00000000">
            <w:pPr>
              <w:spacing w:before="60" w:after="60" w:line="252" w:lineRule="auto"/>
            </w:pPr>
            <w:r>
              <w:rPr>
                <w:sz w:val="20"/>
              </w:rPr>
              <w:t>Unknown preparation</w:t>
            </w:r>
          </w:p>
        </w:tc>
        <w:tc>
          <w:tcPr>
            <w:tcW w:w="633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C524484" w14:textId="77777777" w:rsidR="008A5109" w:rsidRDefault="00000000">
            <w:pPr>
              <w:spacing w:before="60" w:after="60" w:line="252" w:lineRule="auto"/>
              <w:jc w:val="center"/>
            </w:pPr>
            <w:r>
              <w:rPr>
                <w:sz w:val="20"/>
              </w:rPr>
              <w:t>Context mismatch remains explicit; unstudied preparations are flagged</w:t>
            </w:r>
          </w:p>
        </w:tc>
      </w:tr>
    </w:tbl>
    <w:p w14:paraId="55F2F93F" w14:textId="77777777" w:rsidR="008A5109" w:rsidRDefault="00000000">
      <w:pPr>
        <w:pStyle w:val="Heading2"/>
      </w:pPr>
      <w:bookmarkStart w:id="32" w:name="hdi_ref_25"/>
      <w:r>
        <w:rPr>
          <w:rFonts w:ascii="Times New Roman" w:hAnsi="Times New Roman"/>
        </w:rPr>
        <w:t>4.4 Reproducibility details</w:t>
      </w:r>
      <w:bookmarkEnd w:id="32"/>
    </w:p>
    <w:p w14:paraId="6550C8A4" w14:textId="77777777" w:rsidR="008A5109" w:rsidRDefault="00000000">
      <w:pPr>
        <w:jc w:val="both"/>
      </w:pPr>
      <w:r>
        <w:t>A fixed seed and recorded dependency versions support reproducibility within the declared environment, without promising byte-identical artifacts across systems. Each completed run stores protocol settings, source hashes, role mappings, exclusions, purges, aggregates, predictions and a fitted bundle. The independent verifier recomputes metrics and checks split invariants without refitting. Locally fitted model bundles are excluded from Git; versioned summaries and prediction tables support review. The implementation commit is 4dcbf89 [18].</w:t>
      </w:r>
    </w:p>
    <w:p w14:paraId="672E24DA" w14:textId="77777777" w:rsidR="008A5109" w:rsidRDefault="00000000">
      <w:pPr>
        <w:pStyle w:val="Heading1"/>
        <w:pageBreakBefore/>
      </w:pPr>
      <w:bookmarkStart w:id="33" w:name="hdi_ref_26"/>
      <w:r>
        <w:rPr>
          <w:rFonts w:ascii="Times New Roman" w:hAnsi="Times New Roman"/>
        </w:rPr>
        <w:lastRenderedPageBreak/>
        <w:t>CHAPTER 5: RESULTS AND DISCUSSION</w:t>
      </w:r>
      <w:bookmarkEnd w:id="33"/>
    </w:p>
    <w:p w14:paraId="7048A0E6" w14:textId="77777777" w:rsidR="008A5109" w:rsidRDefault="00000000">
      <w:pPr>
        <w:pStyle w:val="Heading2"/>
      </w:pPr>
      <w:bookmarkStart w:id="34" w:name="hdi_ref_27"/>
      <w:r>
        <w:rPr>
          <w:rFonts w:ascii="Times New Roman" w:hAnsi="Times New Roman"/>
        </w:rPr>
        <w:t>5.1 Quantitative and qualitative results</w:t>
      </w:r>
      <w:bookmarkEnd w:id="34"/>
    </w:p>
    <w:p w14:paraId="2D51925D" w14:textId="77777777" w:rsidR="008A5109" w:rsidRDefault="00000000">
      <w:pPr>
        <w:jc w:val="both"/>
      </w:pPr>
      <w:r>
        <w:t>The empirical performance of the selected regression models across the six target pharmacokinetic endpoints is reported in Table 5 for the molecular scaffold holdout (2,116 test samples) and Table 6 for the publication holdout (2,076 test samples).</w:t>
      </w:r>
    </w:p>
    <w:p w14:paraId="2D68C889" w14:textId="77777777" w:rsidR="008A5109" w:rsidRDefault="00000000">
      <w:pPr>
        <w:pStyle w:val="Caption"/>
        <w:keepNext/>
        <w:keepLines/>
        <w:spacing w:before="100" w:after="160"/>
        <w:jc w:val="center"/>
      </w:pPr>
      <w:bookmarkStart w:id="35" w:name="hdi_ref_49"/>
      <w:r>
        <w:rPr>
          <w:b w:val="0"/>
        </w:rPr>
        <w:t>Table 5: Scaffold holdout selected model results</w:t>
      </w:r>
      <w:bookmarkEnd w:id="35"/>
    </w:p>
    <w:tbl>
      <w:tblPr>
        <w:tblW w:w="0" w:type="auto"/>
        <w:jc w:val="center"/>
        <w:tblBorders>
          <w:top w:val="single" w:sz="6" w:space="0" w:color="0F2A4A"/>
          <w:bottom w:val="single" w:sz="6" w:space="0" w:color="0F2A4A"/>
          <w:insideH w:val="single" w:sz="4" w:space="0" w:color="E2E8F0"/>
        </w:tblBorders>
        <w:tblLayout w:type="fixed"/>
        <w:tblLook w:val="04A0" w:firstRow="1" w:lastRow="0" w:firstColumn="1" w:lastColumn="0" w:noHBand="0" w:noVBand="1"/>
      </w:tblPr>
      <w:tblGrid>
        <w:gridCol w:w="2088"/>
        <w:gridCol w:w="1152"/>
        <w:gridCol w:w="1440"/>
        <w:gridCol w:w="1440"/>
        <w:gridCol w:w="1512"/>
        <w:gridCol w:w="1584"/>
      </w:tblGrid>
      <w:tr w:rsidR="008A5109" w14:paraId="77C7F0FC" w14:textId="77777777">
        <w:trPr>
          <w:cantSplit/>
          <w:tblHeader/>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vAlign w:val="center"/>
          </w:tcPr>
          <w:p w14:paraId="27E205F0" w14:textId="77777777" w:rsidR="008A5109" w:rsidRDefault="00000000">
            <w:pPr>
              <w:keepNext/>
              <w:spacing w:before="60" w:after="60" w:line="252" w:lineRule="auto"/>
            </w:pPr>
            <w:r>
              <w:rPr>
                <w:b/>
                <w:sz w:val="20"/>
              </w:rPr>
              <w:t>Target</w:t>
            </w:r>
          </w:p>
        </w:tc>
        <w:tc>
          <w:tcPr>
            <w:tcW w:w="1152" w:type="dxa"/>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vAlign w:val="center"/>
          </w:tcPr>
          <w:p w14:paraId="250A9DAF" w14:textId="77777777" w:rsidR="008A5109" w:rsidRDefault="00000000">
            <w:pPr>
              <w:keepNext/>
              <w:spacing w:before="60" w:after="60" w:line="252" w:lineRule="auto"/>
              <w:jc w:val="center"/>
            </w:pPr>
            <w:r>
              <w:rPr>
                <w:b/>
                <w:sz w:val="20"/>
              </w:rPr>
              <w:t>Test n</w:t>
            </w:r>
          </w:p>
        </w:tc>
        <w:tc>
          <w:tcPr>
            <w:tcW w:w="1440" w:type="dxa"/>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vAlign w:val="center"/>
          </w:tcPr>
          <w:p w14:paraId="234FFFB8" w14:textId="77777777" w:rsidR="008A5109" w:rsidRDefault="00000000">
            <w:pPr>
              <w:keepNext/>
              <w:spacing w:before="60" w:after="60" w:line="252" w:lineRule="auto"/>
              <w:jc w:val="center"/>
            </w:pPr>
            <w:r>
              <w:rPr>
                <w:b/>
                <w:sz w:val="20"/>
              </w:rPr>
              <w:t>MAE</w:t>
            </w:r>
          </w:p>
        </w:tc>
        <w:tc>
          <w:tcPr>
            <w:tcW w:w="1440" w:type="dxa"/>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vAlign w:val="center"/>
          </w:tcPr>
          <w:p w14:paraId="4F11F1B6" w14:textId="77777777" w:rsidR="008A5109" w:rsidRDefault="00000000">
            <w:pPr>
              <w:keepNext/>
              <w:spacing w:before="60" w:after="60" w:line="252" w:lineRule="auto"/>
              <w:jc w:val="center"/>
            </w:pPr>
            <w:r>
              <w:rPr>
                <w:b/>
                <w:sz w:val="20"/>
              </w:rPr>
              <w:t>RMSE</w:t>
            </w:r>
          </w:p>
        </w:tc>
        <w:tc>
          <w:tcPr>
            <w:tcW w:w="1512" w:type="dxa"/>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vAlign w:val="center"/>
          </w:tcPr>
          <w:p w14:paraId="7E72B1F9" w14:textId="77777777" w:rsidR="008A5109" w:rsidRDefault="00000000">
            <w:pPr>
              <w:keepNext/>
              <w:spacing w:before="60" w:after="60" w:line="252" w:lineRule="auto"/>
              <w:jc w:val="center"/>
            </w:pPr>
            <w:r>
              <w:rPr>
                <w:b/>
                <w:sz w:val="20"/>
              </w:rPr>
              <w:t>R²</w:t>
            </w:r>
          </w:p>
        </w:tc>
        <w:tc>
          <w:tcPr>
            <w:tcW w:w="1584" w:type="dxa"/>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vAlign w:val="center"/>
          </w:tcPr>
          <w:p w14:paraId="11229C04" w14:textId="77777777" w:rsidR="008A5109" w:rsidRDefault="00000000">
            <w:pPr>
              <w:keepNext/>
              <w:spacing w:before="60" w:after="60" w:line="252" w:lineRule="auto"/>
              <w:jc w:val="center"/>
            </w:pPr>
            <w:r>
              <w:rPr>
                <w:b/>
                <w:sz w:val="20"/>
              </w:rPr>
              <w:t>Coverage</w:t>
            </w:r>
          </w:p>
        </w:tc>
      </w:tr>
      <w:tr w:rsidR="008A5109" w14:paraId="63AB7114"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C74E1D7" w14:textId="77777777" w:rsidR="008A5109" w:rsidRDefault="00000000">
            <w:pPr>
              <w:keepNext/>
              <w:spacing w:before="60" w:after="60" w:line="252" w:lineRule="auto"/>
            </w:pPr>
            <w:r>
              <w:rPr>
                <w:sz w:val="20"/>
              </w:rPr>
              <w:t>ABCB1</w:t>
            </w:r>
          </w:p>
        </w:tc>
        <w:tc>
          <w:tcPr>
            <w:tcW w:w="11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B08DD55" w14:textId="77777777" w:rsidR="008A5109" w:rsidRDefault="00000000">
            <w:pPr>
              <w:keepNext/>
              <w:spacing w:before="60" w:after="60" w:line="252" w:lineRule="auto"/>
              <w:jc w:val="center"/>
            </w:pPr>
            <w:r>
              <w:rPr>
                <w:sz w:val="20"/>
              </w:rPr>
              <w:t>155</w:t>
            </w:r>
          </w:p>
        </w:tc>
        <w:tc>
          <w:tcPr>
            <w:tcW w:w="14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E1FD2C1" w14:textId="77777777" w:rsidR="008A5109" w:rsidRDefault="00000000">
            <w:pPr>
              <w:keepNext/>
              <w:spacing w:before="60" w:after="60" w:line="252" w:lineRule="auto"/>
              <w:jc w:val="center"/>
            </w:pPr>
            <w:r>
              <w:rPr>
                <w:sz w:val="20"/>
              </w:rPr>
              <w:t>0.495</w:t>
            </w:r>
          </w:p>
        </w:tc>
        <w:tc>
          <w:tcPr>
            <w:tcW w:w="14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5E51DE5" w14:textId="77777777" w:rsidR="008A5109" w:rsidRDefault="00000000">
            <w:pPr>
              <w:keepNext/>
              <w:spacing w:before="60" w:after="60" w:line="252" w:lineRule="auto"/>
              <w:jc w:val="center"/>
            </w:pPr>
            <w:r>
              <w:rPr>
                <w:sz w:val="20"/>
              </w:rPr>
              <w:t>0.658</w:t>
            </w:r>
          </w:p>
        </w:tc>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1B87D42" w14:textId="77777777" w:rsidR="008A5109" w:rsidRDefault="00000000">
            <w:pPr>
              <w:keepNext/>
              <w:spacing w:before="60" w:after="60" w:line="252" w:lineRule="auto"/>
              <w:jc w:val="center"/>
            </w:pPr>
            <w:r>
              <w:rPr>
                <w:sz w:val="20"/>
              </w:rPr>
              <w:t>0.507</w:t>
            </w:r>
          </w:p>
        </w:tc>
        <w:tc>
          <w:tcPr>
            <w:tcW w:w="158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DAA271D" w14:textId="77777777" w:rsidR="008A5109" w:rsidRDefault="00000000">
            <w:pPr>
              <w:keepNext/>
              <w:spacing w:before="60" w:after="60" w:line="252" w:lineRule="auto"/>
              <w:jc w:val="center"/>
            </w:pPr>
            <w:r>
              <w:rPr>
                <w:sz w:val="20"/>
              </w:rPr>
              <w:t>0.955</w:t>
            </w:r>
          </w:p>
        </w:tc>
      </w:tr>
      <w:tr w:rsidR="008A5109" w14:paraId="1CA8E58F"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31DFB89" w14:textId="77777777" w:rsidR="008A5109" w:rsidRDefault="00000000">
            <w:pPr>
              <w:keepNext/>
              <w:spacing w:before="60" w:after="60" w:line="252" w:lineRule="auto"/>
            </w:pPr>
            <w:r>
              <w:rPr>
                <w:sz w:val="20"/>
              </w:rPr>
              <w:t>CYP1A2</w:t>
            </w:r>
          </w:p>
        </w:tc>
        <w:tc>
          <w:tcPr>
            <w:tcW w:w="11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047867E" w14:textId="77777777" w:rsidR="008A5109" w:rsidRDefault="00000000">
            <w:pPr>
              <w:keepNext/>
              <w:spacing w:before="60" w:after="60" w:line="252" w:lineRule="auto"/>
              <w:jc w:val="center"/>
            </w:pPr>
            <w:r>
              <w:rPr>
                <w:sz w:val="20"/>
              </w:rPr>
              <w:t>251</w:t>
            </w:r>
          </w:p>
        </w:tc>
        <w:tc>
          <w:tcPr>
            <w:tcW w:w="14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2FF73CF" w14:textId="77777777" w:rsidR="008A5109" w:rsidRDefault="00000000">
            <w:pPr>
              <w:keepNext/>
              <w:spacing w:before="60" w:after="60" w:line="252" w:lineRule="auto"/>
              <w:jc w:val="center"/>
            </w:pPr>
            <w:r>
              <w:rPr>
                <w:sz w:val="20"/>
              </w:rPr>
              <w:t>0.584</w:t>
            </w:r>
          </w:p>
        </w:tc>
        <w:tc>
          <w:tcPr>
            <w:tcW w:w="14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D0A6C32" w14:textId="77777777" w:rsidR="008A5109" w:rsidRDefault="00000000">
            <w:pPr>
              <w:keepNext/>
              <w:spacing w:before="60" w:after="60" w:line="252" w:lineRule="auto"/>
              <w:jc w:val="center"/>
            </w:pPr>
            <w:r>
              <w:rPr>
                <w:sz w:val="20"/>
              </w:rPr>
              <w:t>0.756</w:t>
            </w:r>
          </w:p>
        </w:tc>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3E58326" w14:textId="77777777" w:rsidR="008A5109" w:rsidRDefault="00000000">
            <w:pPr>
              <w:keepNext/>
              <w:spacing w:before="60" w:after="60" w:line="252" w:lineRule="auto"/>
              <w:jc w:val="center"/>
            </w:pPr>
            <w:r>
              <w:rPr>
                <w:sz w:val="20"/>
              </w:rPr>
              <w:t>0.221</w:t>
            </w:r>
          </w:p>
        </w:tc>
        <w:tc>
          <w:tcPr>
            <w:tcW w:w="158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6E51024" w14:textId="77777777" w:rsidR="008A5109" w:rsidRDefault="00000000">
            <w:pPr>
              <w:keepNext/>
              <w:spacing w:before="60" w:after="60" w:line="252" w:lineRule="auto"/>
              <w:jc w:val="center"/>
            </w:pPr>
            <w:r>
              <w:rPr>
                <w:sz w:val="20"/>
              </w:rPr>
              <w:t>0.936</w:t>
            </w:r>
          </w:p>
        </w:tc>
      </w:tr>
      <w:tr w:rsidR="008A5109" w14:paraId="1E1C0E22"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67B666F" w14:textId="77777777" w:rsidR="008A5109" w:rsidRDefault="00000000">
            <w:pPr>
              <w:keepNext/>
              <w:spacing w:before="60" w:after="60" w:line="252" w:lineRule="auto"/>
            </w:pPr>
            <w:r>
              <w:rPr>
                <w:sz w:val="20"/>
              </w:rPr>
              <w:t>CYP2C19</w:t>
            </w:r>
          </w:p>
        </w:tc>
        <w:tc>
          <w:tcPr>
            <w:tcW w:w="11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7156EBE" w14:textId="77777777" w:rsidR="008A5109" w:rsidRDefault="00000000">
            <w:pPr>
              <w:keepNext/>
              <w:spacing w:before="60" w:after="60" w:line="252" w:lineRule="auto"/>
              <w:jc w:val="center"/>
            </w:pPr>
            <w:r>
              <w:rPr>
                <w:sz w:val="20"/>
              </w:rPr>
              <w:t>217</w:t>
            </w:r>
          </w:p>
        </w:tc>
        <w:tc>
          <w:tcPr>
            <w:tcW w:w="14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C462E44" w14:textId="77777777" w:rsidR="008A5109" w:rsidRDefault="00000000">
            <w:pPr>
              <w:keepNext/>
              <w:spacing w:before="60" w:after="60" w:line="252" w:lineRule="auto"/>
              <w:jc w:val="center"/>
            </w:pPr>
            <w:r>
              <w:rPr>
                <w:sz w:val="20"/>
              </w:rPr>
              <w:t>0.474</w:t>
            </w:r>
          </w:p>
        </w:tc>
        <w:tc>
          <w:tcPr>
            <w:tcW w:w="14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B69A5DF" w14:textId="77777777" w:rsidR="008A5109" w:rsidRDefault="00000000">
            <w:pPr>
              <w:keepNext/>
              <w:spacing w:before="60" w:after="60" w:line="252" w:lineRule="auto"/>
              <w:jc w:val="center"/>
            </w:pPr>
            <w:r>
              <w:rPr>
                <w:sz w:val="20"/>
              </w:rPr>
              <w:t>0.600</w:t>
            </w:r>
          </w:p>
        </w:tc>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F0D1435" w14:textId="77777777" w:rsidR="008A5109" w:rsidRDefault="00000000">
            <w:pPr>
              <w:keepNext/>
              <w:spacing w:before="60" w:after="60" w:line="252" w:lineRule="auto"/>
              <w:jc w:val="center"/>
            </w:pPr>
            <w:r>
              <w:rPr>
                <w:sz w:val="20"/>
              </w:rPr>
              <w:t>0.129</w:t>
            </w:r>
          </w:p>
        </w:tc>
        <w:tc>
          <w:tcPr>
            <w:tcW w:w="158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3CD17EE" w14:textId="77777777" w:rsidR="008A5109" w:rsidRDefault="00000000">
            <w:pPr>
              <w:keepNext/>
              <w:spacing w:before="60" w:after="60" w:line="252" w:lineRule="auto"/>
              <w:jc w:val="center"/>
            </w:pPr>
            <w:r>
              <w:rPr>
                <w:sz w:val="20"/>
              </w:rPr>
              <w:t>0.935</w:t>
            </w:r>
          </w:p>
        </w:tc>
      </w:tr>
      <w:tr w:rsidR="008A5109" w14:paraId="28E76EAA"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556EDD1" w14:textId="77777777" w:rsidR="008A5109" w:rsidRDefault="00000000">
            <w:pPr>
              <w:keepNext/>
              <w:spacing w:before="60" w:after="60" w:line="252" w:lineRule="auto"/>
            </w:pPr>
            <w:r>
              <w:rPr>
                <w:sz w:val="20"/>
              </w:rPr>
              <w:t>CYP2C9</w:t>
            </w:r>
          </w:p>
        </w:tc>
        <w:tc>
          <w:tcPr>
            <w:tcW w:w="11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2EE3EFE" w14:textId="77777777" w:rsidR="008A5109" w:rsidRDefault="00000000">
            <w:pPr>
              <w:keepNext/>
              <w:spacing w:before="60" w:after="60" w:line="252" w:lineRule="auto"/>
              <w:jc w:val="center"/>
            </w:pPr>
            <w:r>
              <w:rPr>
                <w:sz w:val="20"/>
              </w:rPr>
              <w:t>358</w:t>
            </w:r>
          </w:p>
        </w:tc>
        <w:tc>
          <w:tcPr>
            <w:tcW w:w="14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8F38ED5" w14:textId="77777777" w:rsidR="008A5109" w:rsidRDefault="00000000">
            <w:pPr>
              <w:keepNext/>
              <w:spacing w:before="60" w:after="60" w:line="252" w:lineRule="auto"/>
              <w:jc w:val="center"/>
            </w:pPr>
            <w:r>
              <w:rPr>
                <w:sz w:val="20"/>
              </w:rPr>
              <w:t>0.468</w:t>
            </w:r>
          </w:p>
        </w:tc>
        <w:tc>
          <w:tcPr>
            <w:tcW w:w="14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2BB652E" w14:textId="77777777" w:rsidR="008A5109" w:rsidRDefault="00000000">
            <w:pPr>
              <w:keepNext/>
              <w:spacing w:before="60" w:after="60" w:line="252" w:lineRule="auto"/>
              <w:jc w:val="center"/>
            </w:pPr>
            <w:r>
              <w:rPr>
                <w:sz w:val="20"/>
              </w:rPr>
              <w:t>0.607</w:t>
            </w:r>
          </w:p>
        </w:tc>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A2593D1" w14:textId="77777777" w:rsidR="008A5109" w:rsidRDefault="00000000">
            <w:pPr>
              <w:keepNext/>
              <w:spacing w:before="60" w:after="60" w:line="252" w:lineRule="auto"/>
              <w:jc w:val="center"/>
            </w:pPr>
            <w:r>
              <w:rPr>
                <w:sz w:val="20"/>
              </w:rPr>
              <w:t>0.242</w:t>
            </w:r>
          </w:p>
        </w:tc>
        <w:tc>
          <w:tcPr>
            <w:tcW w:w="158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EA4874E" w14:textId="77777777" w:rsidR="008A5109" w:rsidRDefault="00000000">
            <w:pPr>
              <w:keepNext/>
              <w:spacing w:before="60" w:after="60" w:line="252" w:lineRule="auto"/>
              <w:jc w:val="center"/>
            </w:pPr>
            <w:r>
              <w:rPr>
                <w:sz w:val="20"/>
              </w:rPr>
              <w:t>0.874</w:t>
            </w:r>
          </w:p>
        </w:tc>
      </w:tr>
      <w:tr w:rsidR="008A5109" w14:paraId="442701CB"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18D337E" w14:textId="77777777" w:rsidR="008A5109" w:rsidRDefault="00000000">
            <w:pPr>
              <w:keepNext/>
              <w:spacing w:before="60" w:after="60" w:line="252" w:lineRule="auto"/>
            </w:pPr>
            <w:r>
              <w:rPr>
                <w:sz w:val="20"/>
              </w:rPr>
              <w:t>CYP2D6</w:t>
            </w:r>
          </w:p>
        </w:tc>
        <w:tc>
          <w:tcPr>
            <w:tcW w:w="11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0FD4A68" w14:textId="77777777" w:rsidR="008A5109" w:rsidRDefault="00000000">
            <w:pPr>
              <w:keepNext/>
              <w:spacing w:before="60" w:after="60" w:line="252" w:lineRule="auto"/>
              <w:jc w:val="center"/>
            </w:pPr>
            <w:r>
              <w:rPr>
                <w:sz w:val="20"/>
              </w:rPr>
              <w:t>375</w:t>
            </w:r>
          </w:p>
        </w:tc>
        <w:tc>
          <w:tcPr>
            <w:tcW w:w="14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01C4543" w14:textId="77777777" w:rsidR="008A5109" w:rsidRDefault="00000000">
            <w:pPr>
              <w:keepNext/>
              <w:spacing w:before="60" w:after="60" w:line="252" w:lineRule="auto"/>
              <w:jc w:val="center"/>
            </w:pPr>
            <w:r>
              <w:rPr>
                <w:sz w:val="20"/>
              </w:rPr>
              <w:t>0.513</w:t>
            </w:r>
          </w:p>
        </w:tc>
        <w:tc>
          <w:tcPr>
            <w:tcW w:w="14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799C7C5" w14:textId="77777777" w:rsidR="008A5109" w:rsidRDefault="00000000">
            <w:pPr>
              <w:keepNext/>
              <w:spacing w:before="60" w:after="60" w:line="252" w:lineRule="auto"/>
              <w:jc w:val="center"/>
            </w:pPr>
            <w:r>
              <w:rPr>
                <w:sz w:val="20"/>
              </w:rPr>
              <w:t>0.666</w:t>
            </w:r>
          </w:p>
        </w:tc>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191C5C2" w14:textId="77777777" w:rsidR="008A5109" w:rsidRDefault="00000000">
            <w:pPr>
              <w:keepNext/>
              <w:spacing w:before="60" w:after="60" w:line="252" w:lineRule="auto"/>
              <w:jc w:val="center"/>
            </w:pPr>
            <w:r>
              <w:rPr>
                <w:sz w:val="20"/>
              </w:rPr>
              <w:t>0.322</w:t>
            </w:r>
          </w:p>
        </w:tc>
        <w:tc>
          <w:tcPr>
            <w:tcW w:w="158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05C68A3" w14:textId="77777777" w:rsidR="008A5109" w:rsidRDefault="00000000">
            <w:pPr>
              <w:keepNext/>
              <w:spacing w:before="60" w:after="60" w:line="252" w:lineRule="auto"/>
              <w:jc w:val="center"/>
            </w:pPr>
            <w:r>
              <w:rPr>
                <w:sz w:val="20"/>
              </w:rPr>
              <w:t>0.944</w:t>
            </w:r>
          </w:p>
        </w:tc>
      </w:tr>
      <w:tr w:rsidR="008A5109" w14:paraId="4F85E642"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77C94A6" w14:textId="77777777" w:rsidR="008A5109" w:rsidRDefault="00000000">
            <w:pPr>
              <w:spacing w:before="60" w:after="60" w:line="252" w:lineRule="auto"/>
            </w:pPr>
            <w:r>
              <w:rPr>
                <w:sz w:val="20"/>
              </w:rPr>
              <w:t>CYP3A4</w:t>
            </w:r>
          </w:p>
        </w:tc>
        <w:tc>
          <w:tcPr>
            <w:tcW w:w="11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15F7E37" w14:textId="77777777" w:rsidR="008A5109" w:rsidRDefault="00000000">
            <w:pPr>
              <w:spacing w:before="60" w:after="60" w:line="252" w:lineRule="auto"/>
              <w:jc w:val="center"/>
            </w:pPr>
            <w:r>
              <w:rPr>
                <w:sz w:val="20"/>
              </w:rPr>
              <w:t>760</w:t>
            </w:r>
          </w:p>
        </w:tc>
        <w:tc>
          <w:tcPr>
            <w:tcW w:w="14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77A02FB" w14:textId="77777777" w:rsidR="008A5109" w:rsidRDefault="00000000">
            <w:pPr>
              <w:spacing w:before="60" w:after="60" w:line="252" w:lineRule="auto"/>
              <w:jc w:val="center"/>
            </w:pPr>
            <w:r>
              <w:rPr>
                <w:sz w:val="20"/>
              </w:rPr>
              <w:t>0.482</w:t>
            </w:r>
          </w:p>
        </w:tc>
        <w:tc>
          <w:tcPr>
            <w:tcW w:w="14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ED152E4" w14:textId="77777777" w:rsidR="008A5109" w:rsidRDefault="00000000">
            <w:pPr>
              <w:spacing w:before="60" w:after="60" w:line="252" w:lineRule="auto"/>
              <w:jc w:val="center"/>
            </w:pPr>
            <w:r>
              <w:rPr>
                <w:sz w:val="20"/>
              </w:rPr>
              <w:t>0.641</w:t>
            </w:r>
          </w:p>
        </w:tc>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F65CA78" w14:textId="77777777" w:rsidR="008A5109" w:rsidRDefault="00000000">
            <w:pPr>
              <w:spacing w:before="60" w:after="60" w:line="252" w:lineRule="auto"/>
              <w:jc w:val="center"/>
            </w:pPr>
            <w:r>
              <w:rPr>
                <w:sz w:val="20"/>
              </w:rPr>
              <w:t>0.350</w:t>
            </w:r>
          </w:p>
        </w:tc>
        <w:tc>
          <w:tcPr>
            <w:tcW w:w="158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F154F09" w14:textId="77777777" w:rsidR="008A5109" w:rsidRDefault="00000000">
            <w:pPr>
              <w:spacing w:before="60" w:after="60" w:line="252" w:lineRule="auto"/>
              <w:jc w:val="center"/>
            </w:pPr>
            <w:r>
              <w:rPr>
                <w:sz w:val="20"/>
              </w:rPr>
              <w:t>0.880</w:t>
            </w:r>
          </w:p>
        </w:tc>
      </w:tr>
    </w:tbl>
    <w:p w14:paraId="5EDF5195" w14:textId="77777777" w:rsidR="008A5109" w:rsidRDefault="00000000">
      <w:pPr>
        <w:pStyle w:val="Caption"/>
        <w:keepNext/>
        <w:keepLines/>
        <w:spacing w:before="100" w:after="160"/>
        <w:jc w:val="center"/>
      </w:pPr>
      <w:bookmarkStart w:id="36" w:name="hdi_ref_50"/>
      <w:r>
        <w:rPr>
          <w:b w:val="0"/>
        </w:rPr>
        <w:t>Table 6: Publication holdout selected model results</w:t>
      </w:r>
      <w:bookmarkEnd w:id="36"/>
    </w:p>
    <w:tbl>
      <w:tblPr>
        <w:tblW w:w="0" w:type="auto"/>
        <w:jc w:val="center"/>
        <w:tblBorders>
          <w:top w:val="single" w:sz="6" w:space="0" w:color="0F2A4A"/>
          <w:bottom w:val="single" w:sz="6" w:space="0" w:color="0F2A4A"/>
          <w:insideH w:val="single" w:sz="4" w:space="0" w:color="E2E8F0"/>
        </w:tblBorders>
        <w:tblLayout w:type="fixed"/>
        <w:tblLook w:val="04A0" w:firstRow="1" w:lastRow="0" w:firstColumn="1" w:lastColumn="0" w:noHBand="0" w:noVBand="1"/>
      </w:tblPr>
      <w:tblGrid>
        <w:gridCol w:w="2088"/>
        <w:gridCol w:w="1152"/>
        <w:gridCol w:w="1440"/>
        <w:gridCol w:w="1440"/>
        <w:gridCol w:w="1512"/>
        <w:gridCol w:w="1584"/>
      </w:tblGrid>
      <w:tr w:rsidR="008A5109" w14:paraId="7170A1B8" w14:textId="77777777">
        <w:trPr>
          <w:cantSplit/>
          <w:tblHeader/>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vAlign w:val="center"/>
          </w:tcPr>
          <w:p w14:paraId="3849B8A4" w14:textId="77777777" w:rsidR="008A5109" w:rsidRDefault="00000000">
            <w:pPr>
              <w:keepNext/>
              <w:spacing w:before="60" w:after="60" w:line="252" w:lineRule="auto"/>
            </w:pPr>
            <w:r>
              <w:rPr>
                <w:b/>
                <w:sz w:val="20"/>
              </w:rPr>
              <w:t>Target</w:t>
            </w:r>
          </w:p>
        </w:tc>
        <w:tc>
          <w:tcPr>
            <w:tcW w:w="1152" w:type="dxa"/>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vAlign w:val="center"/>
          </w:tcPr>
          <w:p w14:paraId="7F3D3A8D" w14:textId="77777777" w:rsidR="008A5109" w:rsidRDefault="00000000">
            <w:pPr>
              <w:keepNext/>
              <w:spacing w:before="60" w:after="60" w:line="252" w:lineRule="auto"/>
              <w:jc w:val="center"/>
            </w:pPr>
            <w:r>
              <w:rPr>
                <w:b/>
                <w:sz w:val="20"/>
              </w:rPr>
              <w:t>Test n</w:t>
            </w:r>
          </w:p>
        </w:tc>
        <w:tc>
          <w:tcPr>
            <w:tcW w:w="1440" w:type="dxa"/>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vAlign w:val="center"/>
          </w:tcPr>
          <w:p w14:paraId="6AFC1E4B" w14:textId="77777777" w:rsidR="008A5109" w:rsidRDefault="00000000">
            <w:pPr>
              <w:keepNext/>
              <w:spacing w:before="60" w:after="60" w:line="252" w:lineRule="auto"/>
              <w:jc w:val="center"/>
            </w:pPr>
            <w:r>
              <w:rPr>
                <w:b/>
                <w:sz w:val="20"/>
              </w:rPr>
              <w:t>MAE</w:t>
            </w:r>
          </w:p>
        </w:tc>
        <w:tc>
          <w:tcPr>
            <w:tcW w:w="1440" w:type="dxa"/>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vAlign w:val="center"/>
          </w:tcPr>
          <w:p w14:paraId="652312D0" w14:textId="77777777" w:rsidR="008A5109" w:rsidRDefault="00000000">
            <w:pPr>
              <w:keepNext/>
              <w:spacing w:before="60" w:after="60" w:line="252" w:lineRule="auto"/>
              <w:jc w:val="center"/>
            </w:pPr>
            <w:r>
              <w:rPr>
                <w:b/>
                <w:sz w:val="20"/>
              </w:rPr>
              <w:t>RMSE</w:t>
            </w:r>
          </w:p>
        </w:tc>
        <w:tc>
          <w:tcPr>
            <w:tcW w:w="1512" w:type="dxa"/>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vAlign w:val="center"/>
          </w:tcPr>
          <w:p w14:paraId="0D95A13D" w14:textId="77777777" w:rsidR="008A5109" w:rsidRDefault="00000000">
            <w:pPr>
              <w:keepNext/>
              <w:spacing w:before="60" w:after="60" w:line="252" w:lineRule="auto"/>
              <w:jc w:val="center"/>
            </w:pPr>
            <w:r>
              <w:rPr>
                <w:b/>
                <w:sz w:val="20"/>
              </w:rPr>
              <w:t>R²</w:t>
            </w:r>
          </w:p>
        </w:tc>
        <w:tc>
          <w:tcPr>
            <w:tcW w:w="1584" w:type="dxa"/>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vAlign w:val="center"/>
          </w:tcPr>
          <w:p w14:paraId="40575550" w14:textId="77777777" w:rsidR="008A5109" w:rsidRDefault="00000000">
            <w:pPr>
              <w:keepNext/>
              <w:spacing w:before="60" w:after="60" w:line="252" w:lineRule="auto"/>
              <w:jc w:val="center"/>
            </w:pPr>
            <w:r>
              <w:rPr>
                <w:b/>
                <w:sz w:val="20"/>
              </w:rPr>
              <w:t>Coverage</w:t>
            </w:r>
          </w:p>
        </w:tc>
      </w:tr>
      <w:tr w:rsidR="008A5109" w14:paraId="194F9B1F"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8F910E0" w14:textId="77777777" w:rsidR="008A5109" w:rsidRDefault="00000000">
            <w:pPr>
              <w:keepNext/>
              <w:spacing w:before="60" w:after="60" w:line="252" w:lineRule="auto"/>
            </w:pPr>
            <w:r>
              <w:rPr>
                <w:sz w:val="20"/>
              </w:rPr>
              <w:t>ABCB1</w:t>
            </w:r>
          </w:p>
        </w:tc>
        <w:tc>
          <w:tcPr>
            <w:tcW w:w="11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6090C9C" w14:textId="77777777" w:rsidR="008A5109" w:rsidRDefault="00000000">
            <w:pPr>
              <w:keepNext/>
              <w:spacing w:before="60" w:after="60" w:line="252" w:lineRule="auto"/>
              <w:jc w:val="center"/>
            </w:pPr>
            <w:r>
              <w:rPr>
                <w:sz w:val="20"/>
              </w:rPr>
              <w:t>166</w:t>
            </w:r>
          </w:p>
        </w:tc>
        <w:tc>
          <w:tcPr>
            <w:tcW w:w="14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4358F18" w14:textId="77777777" w:rsidR="008A5109" w:rsidRDefault="00000000">
            <w:pPr>
              <w:keepNext/>
              <w:spacing w:before="60" w:after="60" w:line="252" w:lineRule="auto"/>
              <w:jc w:val="center"/>
            </w:pPr>
            <w:r>
              <w:rPr>
                <w:sz w:val="20"/>
              </w:rPr>
              <w:t>0.587</w:t>
            </w:r>
          </w:p>
        </w:tc>
        <w:tc>
          <w:tcPr>
            <w:tcW w:w="14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5BF5E12" w14:textId="77777777" w:rsidR="008A5109" w:rsidRDefault="00000000">
            <w:pPr>
              <w:keepNext/>
              <w:spacing w:before="60" w:after="60" w:line="252" w:lineRule="auto"/>
              <w:jc w:val="center"/>
            </w:pPr>
            <w:r>
              <w:rPr>
                <w:sz w:val="20"/>
              </w:rPr>
              <w:t>0.773</w:t>
            </w:r>
          </w:p>
        </w:tc>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9887D8E" w14:textId="77777777" w:rsidR="008A5109" w:rsidRDefault="00000000">
            <w:pPr>
              <w:keepNext/>
              <w:spacing w:before="60" w:after="60" w:line="252" w:lineRule="auto"/>
              <w:jc w:val="center"/>
            </w:pPr>
            <w:r>
              <w:rPr>
                <w:sz w:val="20"/>
              </w:rPr>
              <w:t>-0.051</w:t>
            </w:r>
          </w:p>
        </w:tc>
        <w:tc>
          <w:tcPr>
            <w:tcW w:w="158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4458016" w14:textId="77777777" w:rsidR="008A5109" w:rsidRDefault="00000000">
            <w:pPr>
              <w:keepNext/>
              <w:spacing w:before="60" w:after="60" w:line="252" w:lineRule="auto"/>
              <w:jc w:val="center"/>
            </w:pPr>
            <w:r>
              <w:rPr>
                <w:sz w:val="20"/>
              </w:rPr>
              <w:t>0.958</w:t>
            </w:r>
          </w:p>
        </w:tc>
      </w:tr>
      <w:tr w:rsidR="008A5109" w14:paraId="1B63EAE1"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DFEA08C" w14:textId="77777777" w:rsidR="008A5109" w:rsidRDefault="00000000">
            <w:pPr>
              <w:keepNext/>
              <w:spacing w:before="60" w:after="60" w:line="252" w:lineRule="auto"/>
            </w:pPr>
            <w:r>
              <w:rPr>
                <w:sz w:val="20"/>
              </w:rPr>
              <w:t>CYP1A2</w:t>
            </w:r>
          </w:p>
        </w:tc>
        <w:tc>
          <w:tcPr>
            <w:tcW w:w="11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C61DBBF" w14:textId="77777777" w:rsidR="008A5109" w:rsidRDefault="00000000">
            <w:pPr>
              <w:keepNext/>
              <w:spacing w:before="60" w:after="60" w:line="252" w:lineRule="auto"/>
              <w:jc w:val="center"/>
            </w:pPr>
            <w:r>
              <w:rPr>
                <w:sz w:val="20"/>
              </w:rPr>
              <w:t>180</w:t>
            </w:r>
          </w:p>
        </w:tc>
        <w:tc>
          <w:tcPr>
            <w:tcW w:w="14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13813C3" w14:textId="77777777" w:rsidR="008A5109" w:rsidRDefault="00000000">
            <w:pPr>
              <w:keepNext/>
              <w:spacing w:before="60" w:after="60" w:line="252" w:lineRule="auto"/>
              <w:jc w:val="center"/>
            </w:pPr>
            <w:r>
              <w:rPr>
                <w:sz w:val="20"/>
              </w:rPr>
              <w:t>0.751</w:t>
            </w:r>
          </w:p>
        </w:tc>
        <w:tc>
          <w:tcPr>
            <w:tcW w:w="14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F5B16D4" w14:textId="77777777" w:rsidR="008A5109" w:rsidRDefault="00000000">
            <w:pPr>
              <w:keepNext/>
              <w:spacing w:before="60" w:after="60" w:line="252" w:lineRule="auto"/>
              <w:jc w:val="center"/>
            </w:pPr>
            <w:r>
              <w:rPr>
                <w:sz w:val="20"/>
              </w:rPr>
              <w:t>0.992</w:t>
            </w:r>
          </w:p>
        </w:tc>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4878794" w14:textId="77777777" w:rsidR="008A5109" w:rsidRDefault="00000000">
            <w:pPr>
              <w:keepNext/>
              <w:spacing w:before="60" w:after="60" w:line="252" w:lineRule="auto"/>
              <w:jc w:val="center"/>
            </w:pPr>
            <w:r>
              <w:rPr>
                <w:sz w:val="20"/>
              </w:rPr>
              <w:t>0.123</w:t>
            </w:r>
          </w:p>
        </w:tc>
        <w:tc>
          <w:tcPr>
            <w:tcW w:w="158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E68F3F5" w14:textId="77777777" w:rsidR="008A5109" w:rsidRDefault="00000000">
            <w:pPr>
              <w:keepNext/>
              <w:spacing w:before="60" w:after="60" w:line="252" w:lineRule="auto"/>
              <w:jc w:val="center"/>
            </w:pPr>
            <w:r>
              <w:rPr>
                <w:sz w:val="20"/>
              </w:rPr>
              <w:t>0.794</w:t>
            </w:r>
          </w:p>
        </w:tc>
      </w:tr>
      <w:tr w:rsidR="008A5109" w14:paraId="615EDCBF"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3366A5D" w14:textId="77777777" w:rsidR="008A5109" w:rsidRDefault="00000000">
            <w:pPr>
              <w:keepNext/>
              <w:spacing w:before="60" w:after="60" w:line="252" w:lineRule="auto"/>
            </w:pPr>
            <w:r>
              <w:rPr>
                <w:sz w:val="20"/>
              </w:rPr>
              <w:t>CYP2C19</w:t>
            </w:r>
          </w:p>
        </w:tc>
        <w:tc>
          <w:tcPr>
            <w:tcW w:w="11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99B6D91" w14:textId="77777777" w:rsidR="008A5109" w:rsidRDefault="00000000">
            <w:pPr>
              <w:keepNext/>
              <w:spacing w:before="60" w:after="60" w:line="252" w:lineRule="auto"/>
              <w:jc w:val="center"/>
            </w:pPr>
            <w:r>
              <w:rPr>
                <w:sz w:val="20"/>
              </w:rPr>
              <w:t>158</w:t>
            </w:r>
          </w:p>
        </w:tc>
        <w:tc>
          <w:tcPr>
            <w:tcW w:w="14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AC73037" w14:textId="77777777" w:rsidR="008A5109" w:rsidRDefault="00000000">
            <w:pPr>
              <w:keepNext/>
              <w:spacing w:before="60" w:after="60" w:line="252" w:lineRule="auto"/>
              <w:jc w:val="center"/>
            </w:pPr>
            <w:r>
              <w:rPr>
                <w:sz w:val="20"/>
              </w:rPr>
              <w:t>0.644</w:t>
            </w:r>
          </w:p>
        </w:tc>
        <w:tc>
          <w:tcPr>
            <w:tcW w:w="14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6916DF8" w14:textId="77777777" w:rsidR="008A5109" w:rsidRDefault="00000000">
            <w:pPr>
              <w:keepNext/>
              <w:spacing w:before="60" w:after="60" w:line="252" w:lineRule="auto"/>
              <w:jc w:val="center"/>
            </w:pPr>
            <w:r>
              <w:rPr>
                <w:sz w:val="20"/>
              </w:rPr>
              <w:t>0.843</w:t>
            </w:r>
          </w:p>
        </w:tc>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434A193" w14:textId="77777777" w:rsidR="008A5109" w:rsidRDefault="00000000">
            <w:pPr>
              <w:keepNext/>
              <w:spacing w:before="60" w:after="60" w:line="252" w:lineRule="auto"/>
              <w:jc w:val="center"/>
            </w:pPr>
            <w:r>
              <w:rPr>
                <w:sz w:val="20"/>
              </w:rPr>
              <w:t>-0.060</w:t>
            </w:r>
          </w:p>
        </w:tc>
        <w:tc>
          <w:tcPr>
            <w:tcW w:w="158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227867B" w14:textId="77777777" w:rsidR="008A5109" w:rsidRDefault="00000000">
            <w:pPr>
              <w:keepNext/>
              <w:spacing w:before="60" w:after="60" w:line="252" w:lineRule="auto"/>
              <w:jc w:val="center"/>
            </w:pPr>
            <w:r>
              <w:rPr>
                <w:sz w:val="20"/>
              </w:rPr>
              <w:t>0.949</w:t>
            </w:r>
          </w:p>
        </w:tc>
      </w:tr>
      <w:tr w:rsidR="008A5109" w14:paraId="6F03CCBD"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F4770D8" w14:textId="77777777" w:rsidR="008A5109" w:rsidRDefault="00000000">
            <w:pPr>
              <w:keepNext/>
              <w:spacing w:before="60" w:after="60" w:line="252" w:lineRule="auto"/>
            </w:pPr>
            <w:r>
              <w:rPr>
                <w:sz w:val="20"/>
              </w:rPr>
              <w:t>CYP2C9</w:t>
            </w:r>
          </w:p>
        </w:tc>
        <w:tc>
          <w:tcPr>
            <w:tcW w:w="11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2C0BFB2" w14:textId="77777777" w:rsidR="008A5109" w:rsidRDefault="00000000">
            <w:pPr>
              <w:keepNext/>
              <w:spacing w:before="60" w:after="60" w:line="252" w:lineRule="auto"/>
              <w:jc w:val="center"/>
            </w:pPr>
            <w:r>
              <w:rPr>
                <w:sz w:val="20"/>
              </w:rPr>
              <w:t>347</w:t>
            </w:r>
          </w:p>
        </w:tc>
        <w:tc>
          <w:tcPr>
            <w:tcW w:w="14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786F676" w14:textId="77777777" w:rsidR="008A5109" w:rsidRDefault="00000000">
            <w:pPr>
              <w:keepNext/>
              <w:spacing w:before="60" w:after="60" w:line="252" w:lineRule="auto"/>
              <w:jc w:val="center"/>
            </w:pPr>
            <w:r>
              <w:rPr>
                <w:sz w:val="20"/>
              </w:rPr>
              <w:t>0.514</w:t>
            </w:r>
          </w:p>
        </w:tc>
        <w:tc>
          <w:tcPr>
            <w:tcW w:w="14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FAA152A" w14:textId="77777777" w:rsidR="008A5109" w:rsidRDefault="00000000">
            <w:pPr>
              <w:keepNext/>
              <w:spacing w:before="60" w:after="60" w:line="252" w:lineRule="auto"/>
              <w:jc w:val="center"/>
            </w:pPr>
            <w:r>
              <w:rPr>
                <w:sz w:val="20"/>
              </w:rPr>
              <w:t>0.720</w:t>
            </w:r>
          </w:p>
        </w:tc>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AFAAF52" w14:textId="77777777" w:rsidR="008A5109" w:rsidRDefault="00000000">
            <w:pPr>
              <w:keepNext/>
              <w:spacing w:before="60" w:after="60" w:line="252" w:lineRule="auto"/>
              <w:jc w:val="center"/>
            </w:pPr>
            <w:r>
              <w:rPr>
                <w:sz w:val="20"/>
              </w:rPr>
              <w:t>-0.026</w:t>
            </w:r>
          </w:p>
        </w:tc>
        <w:tc>
          <w:tcPr>
            <w:tcW w:w="158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E24A612" w14:textId="77777777" w:rsidR="008A5109" w:rsidRDefault="00000000">
            <w:pPr>
              <w:keepNext/>
              <w:spacing w:before="60" w:after="60" w:line="252" w:lineRule="auto"/>
              <w:jc w:val="center"/>
            </w:pPr>
            <w:r>
              <w:rPr>
                <w:sz w:val="20"/>
              </w:rPr>
              <w:t>0.939</w:t>
            </w:r>
          </w:p>
        </w:tc>
      </w:tr>
      <w:tr w:rsidR="008A5109" w14:paraId="08A0EDBB"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FD26472" w14:textId="77777777" w:rsidR="008A5109" w:rsidRDefault="00000000">
            <w:pPr>
              <w:keepNext/>
              <w:spacing w:before="60" w:after="60" w:line="252" w:lineRule="auto"/>
            </w:pPr>
            <w:r>
              <w:rPr>
                <w:sz w:val="20"/>
              </w:rPr>
              <w:t>CYP2D6</w:t>
            </w:r>
          </w:p>
        </w:tc>
        <w:tc>
          <w:tcPr>
            <w:tcW w:w="11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56457EF" w14:textId="77777777" w:rsidR="008A5109" w:rsidRDefault="00000000">
            <w:pPr>
              <w:keepNext/>
              <w:spacing w:before="60" w:after="60" w:line="252" w:lineRule="auto"/>
              <w:jc w:val="center"/>
            </w:pPr>
            <w:r>
              <w:rPr>
                <w:sz w:val="20"/>
              </w:rPr>
              <w:t>378</w:t>
            </w:r>
          </w:p>
        </w:tc>
        <w:tc>
          <w:tcPr>
            <w:tcW w:w="14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58E42AB" w14:textId="77777777" w:rsidR="008A5109" w:rsidRDefault="00000000">
            <w:pPr>
              <w:keepNext/>
              <w:spacing w:before="60" w:after="60" w:line="252" w:lineRule="auto"/>
              <w:jc w:val="center"/>
            </w:pPr>
            <w:r>
              <w:rPr>
                <w:sz w:val="20"/>
              </w:rPr>
              <w:t>0.637</w:t>
            </w:r>
          </w:p>
        </w:tc>
        <w:tc>
          <w:tcPr>
            <w:tcW w:w="14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DA0619B" w14:textId="77777777" w:rsidR="008A5109" w:rsidRDefault="00000000">
            <w:pPr>
              <w:keepNext/>
              <w:spacing w:before="60" w:after="60" w:line="252" w:lineRule="auto"/>
              <w:jc w:val="center"/>
            </w:pPr>
            <w:r>
              <w:rPr>
                <w:sz w:val="20"/>
              </w:rPr>
              <w:t>0.841</w:t>
            </w:r>
          </w:p>
        </w:tc>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CCD35B8" w14:textId="77777777" w:rsidR="008A5109" w:rsidRDefault="00000000">
            <w:pPr>
              <w:keepNext/>
              <w:spacing w:before="60" w:after="60" w:line="252" w:lineRule="auto"/>
              <w:jc w:val="center"/>
            </w:pPr>
            <w:r>
              <w:rPr>
                <w:sz w:val="20"/>
              </w:rPr>
              <w:t>0.124</w:t>
            </w:r>
          </w:p>
        </w:tc>
        <w:tc>
          <w:tcPr>
            <w:tcW w:w="158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792DFCF" w14:textId="77777777" w:rsidR="008A5109" w:rsidRDefault="00000000">
            <w:pPr>
              <w:keepNext/>
              <w:spacing w:before="60" w:after="60" w:line="252" w:lineRule="auto"/>
              <w:jc w:val="center"/>
            </w:pPr>
            <w:r>
              <w:rPr>
                <w:sz w:val="20"/>
              </w:rPr>
              <w:t>0.926</w:t>
            </w:r>
          </w:p>
        </w:tc>
      </w:tr>
      <w:tr w:rsidR="008A5109" w14:paraId="7FB7981E"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0CCD722" w14:textId="77777777" w:rsidR="008A5109" w:rsidRDefault="00000000">
            <w:pPr>
              <w:spacing w:before="60" w:after="60" w:line="252" w:lineRule="auto"/>
            </w:pPr>
            <w:r>
              <w:rPr>
                <w:sz w:val="20"/>
              </w:rPr>
              <w:t>CYP3A4</w:t>
            </w:r>
          </w:p>
        </w:tc>
        <w:tc>
          <w:tcPr>
            <w:tcW w:w="11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D65EFAB" w14:textId="77777777" w:rsidR="008A5109" w:rsidRDefault="00000000">
            <w:pPr>
              <w:spacing w:before="60" w:after="60" w:line="252" w:lineRule="auto"/>
              <w:jc w:val="center"/>
            </w:pPr>
            <w:r>
              <w:rPr>
                <w:sz w:val="20"/>
              </w:rPr>
              <w:t>847</w:t>
            </w:r>
          </w:p>
        </w:tc>
        <w:tc>
          <w:tcPr>
            <w:tcW w:w="14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AA8556C" w14:textId="77777777" w:rsidR="008A5109" w:rsidRDefault="00000000">
            <w:pPr>
              <w:spacing w:before="60" w:after="60" w:line="252" w:lineRule="auto"/>
              <w:jc w:val="center"/>
            </w:pPr>
            <w:r>
              <w:rPr>
                <w:sz w:val="20"/>
              </w:rPr>
              <w:t>0.731</w:t>
            </w:r>
          </w:p>
        </w:tc>
        <w:tc>
          <w:tcPr>
            <w:tcW w:w="14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6E21C6D" w14:textId="77777777" w:rsidR="008A5109" w:rsidRDefault="00000000">
            <w:pPr>
              <w:spacing w:before="60" w:after="60" w:line="252" w:lineRule="auto"/>
              <w:jc w:val="center"/>
            </w:pPr>
            <w:r>
              <w:rPr>
                <w:sz w:val="20"/>
              </w:rPr>
              <w:t>1.044</w:t>
            </w:r>
          </w:p>
        </w:tc>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B6955BE" w14:textId="77777777" w:rsidR="008A5109" w:rsidRDefault="00000000">
            <w:pPr>
              <w:spacing w:before="60" w:after="60" w:line="252" w:lineRule="auto"/>
              <w:jc w:val="center"/>
            </w:pPr>
            <w:r>
              <w:rPr>
                <w:sz w:val="20"/>
              </w:rPr>
              <w:t>-0.222</w:t>
            </w:r>
          </w:p>
        </w:tc>
        <w:tc>
          <w:tcPr>
            <w:tcW w:w="158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30B3331" w14:textId="77777777" w:rsidR="008A5109" w:rsidRDefault="00000000">
            <w:pPr>
              <w:spacing w:before="60" w:after="60" w:line="252" w:lineRule="auto"/>
              <w:jc w:val="center"/>
            </w:pPr>
            <w:r>
              <w:rPr>
                <w:sz w:val="20"/>
              </w:rPr>
              <w:t>0.839</w:t>
            </w:r>
          </w:p>
        </w:tc>
      </w:tr>
    </w:tbl>
    <w:p w14:paraId="4153B561" w14:textId="77777777" w:rsidR="008A5109" w:rsidRDefault="00000000">
      <w:pPr>
        <w:jc w:val="both"/>
      </w:pPr>
      <w:r>
        <w:t>The target-specific MAE comparisons for both holdout regimes are shown in Figure 4.</w:t>
      </w:r>
    </w:p>
    <w:p w14:paraId="43621517" w14:textId="77777777" w:rsidR="008A5109" w:rsidRDefault="00000000">
      <w:pPr>
        <w:keepNext/>
        <w:spacing w:before="160" w:after="60"/>
        <w:jc w:val="center"/>
      </w:pPr>
      <w:r>
        <w:rPr>
          <w:noProof/>
        </w:rPr>
        <w:lastRenderedPageBreak/>
        <w:drawing>
          <wp:inline distT="0" distB="0" distL="0" distR="0" wp14:anchorId="02EE75F4" wp14:editId="112FC6D8">
            <wp:extent cx="5303520" cy="201040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2"/>
                    <a:stretch>
                      <a:fillRect/>
                    </a:stretch>
                  </pic:blipFill>
                  <pic:spPr>
                    <a:xfrm>
                      <a:off x="0" y="0"/>
                      <a:ext cx="5303520" cy="2010404"/>
                    </a:xfrm>
                    <a:prstGeom prst="rect">
                      <a:avLst/>
                    </a:prstGeom>
                  </pic:spPr>
                </pic:pic>
              </a:graphicData>
            </a:graphic>
          </wp:inline>
        </w:drawing>
      </w:r>
    </w:p>
    <w:p w14:paraId="24CFFECE" w14:textId="77777777" w:rsidR="008A5109" w:rsidRDefault="00000000">
      <w:pPr>
        <w:pStyle w:val="Caption"/>
        <w:keepLines/>
        <w:spacing w:before="100" w:after="160"/>
        <w:jc w:val="center"/>
      </w:pPr>
      <w:bookmarkStart w:id="37" w:name="hdi_ref_43"/>
      <w:r>
        <w:rPr>
          <w:b w:val="0"/>
        </w:rPr>
        <w:t>Figure 4 Selected model test MAE by target and evaluation regime</w:t>
      </w:r>
      <w:bookmarkEnd w:id="37"/>
    </w:p>
    <w:p w14:paraId="5A6EEA71" w14:textId="77777777" w:rsidR="008A5109" w:rsidRDefault="00000000">
      <w:pPr>
        <w:jc w:val="both"/>
      </w:pPr>
      <w:r>
        <w:t>The selected scaffold models have pooled test MAE 0.4974 pIC</w:t>
      </w:r>
      <w:r>
        <w:rPr>
          <w:vertAlign w:val="subscript"/>
        </w:rPr>
        <w:t>50</w:t>
      </w:r>
      <w:r>
        <w:t>, RMSE 0.6521 and R</w:t>
      </w:r>
      <w:r>
        <w:rPr>
          <w:vertAlign w:val="superscript"/>
        </w:rPr>
        <w:t>2</w:t>
      </w:r>
      <w:r>
        <w:t xml:space="preserve"> 0.3440 over 2,116 structure-target samples. The conditional bootstrap MAE interval is 0.4754-0.5183. A log error of about 0.497 corresponds to an approximately 3.1-fold concentration scale, not a guaranteed per-sample bound or proof that errors are acceptable for a clinical use. The publication regime has MAE 0.6613, RMSE 0.9208 and pooled R</w:t>
      </w:r>
      <w:r>
        <w:rPr>
          <w:vertAlign w:val="superscript"/>
        </w:rPr>
        <w:t>2</w:t>
      </w:r>
      <w:r>
        <w:t xml:space="preserve"> -0.0243 over 2,076 samples; its MAE interval is 0.6355-0.6933 [18].</w:t>
      </w:r>
    </w:p>
    <w:p w14:paraId="6C24E76F" w14:textId="77777777" w:rsidR="008A5109" w:rsidRDefault="00000000">
      <w:pPr>
        <w:jc w:val="both"/>
      </w:pPr>
      <w:r>
        <w:t>The observed split-conformal test coverage is compared with the nominal level in Figure 5.</w:t>
      </w:r>
    </w:p>
    <w:p w14:paraId="5ECF8D3A" w14:textId="77777777" w:rsidR="008A5109" w:rsidRDefault="00000000">
      <w:pPr>
        <w:keepNext/>
        <w:spacing w:before="160" w:after="60"/>
        <w:jc w:val="center"/>
      </w:pPr>
      <w:r>
        <w:rPr>
          <w:noProof/>
        </w:rPr>
        <w:drawing>
          <wp:inline distT="0" distB="0" distL="0" distR="0" wp14:anchorId="70EBFE98" wp14:editId="289311EB">
            <wp:extent cx="5303520" cy="202723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3"/>
                    <a:stretch>
                      <a:fillRect/>
                    </a:stretch>
                  </pic:blipFill>
                  <pic:spPr>
                    <a:xfrm>
                      <a:off x="0" y="0"/>
                      <a:ext cx="5303520" cy="2027233"/>
                    </a:xfrm>
                    <a:prstGeom prst="rect">
                      <a:avLst/>
                    </a:prstGeom>
                  </pic:spPr>
                </pic:pic>
              </a:graphicData>
            </a:graphic>
          </wp:inline>
        </w:drawing>
      </w:r>
    </w:p>
    <w:p w14:paraId="5B69C64E" w14:textId="77777777" w:rsidR="008A5109" w:rsidRDefault="00000000">
      <w:pPr>
        <w:pStyle w:val="Caption"/>
        <w:keepLines/>
        <w:spacing w:before="100" w:after="160"/>
        <w:jc w:val="center"/>
      </w:pPr>
      <w:bookmarkStart w:id="38" w:name="hdi_ref_44"/>
      <w:r>
        <w:rPr>
          <w:b w:val="0"/>
        </w:rPr>
        <w:t>Figure 5 Observed assay interval coverage against nominal coverage</w:t>
      </w:r>
      <w:bookmarkEnd w:id="38"/>
    </w:p>
    <w:p w14:paraId="03E98F2F" w14:textId="77777777" w:rsidR="008A5109" w:rsidRDefault="00000000">
      <w:pPr>
        <w:jc w:val="both"/>
      </w:pPr>
      <w:r>
        <w:t>Scaffold target coverage ranges from 87.4% to 95.5%; publication-held-out coverage ranges from 79.4% to 95.8%. Source-held-out CYP1A2 and CYP3A4 coverages are approximately 79.4% and 83.9%, below the nominal 90% level. Coverage is an observed held-out proportion, not a guaranteed clinical bound. The intervals' usefulness must be assessed together with their width and the population being predicted.</w:t>
      </w:r>
    </w:p>
    <w:p w14:paraId="3226A051" w14:textId="77777777" w:rsidR="008A5109" w:rsidRDefault="00000000">
      <w:pPr>
        <w:pStyle w:val="Heading2"/>
      </w:pPr>
      <w:bookmarkStart w:id="39" w:name="hdi_ref_28"/>
      <w:r>
        <w:rPr>
          <w:rFonts w:ascii="Times New Roman" w:hAnsi="Times New Roman"/>
        </w:rPr>
        <w:lastRenderedPageBreak/>
        <w:t>5.2 Comparison with baselines</w:t>
      </w:r>
      <w:bookmarkEnd w:id="39"/>
    </w:p>
    <w:p w14:paraId="0EE11DA5" w14:textId="77777777" w:rsidR="008A5109" w:rsidRDefault="00000000">
      <w:pPr>
        <w:jc w:val="both"/>
      </w:pPr>
      <w:r>
        <w:t>To rigorously benchmark the regression architectures, Table 7 provides a comprehensive comparison of pooled test MAE across the four evaluated model families.</w:t>
      </w:r>
    </w:p>
    <w:p w14:paraId="6D3AEABA" w14:textId="77777777" w:rsidR="008A5109" w:rsidRDefault="00000000">
      <w:pPr>
        <w:pStyle w:val="Caption"/>
        <w:keepNext/>
        <w:keepLines/>
        <w:spacing w:before="100" w:after="160"/>
        <w:jc w:val="center"/>
      </w:pPr>
      <w:bookmarkStart w:id="40" w:name="hdi_ref_51"/>
      <w:r>
        <w:rPr>
          <w:b w:val="0"/>
        </w:rPr>
        <w:t>Table 7: Fixed model pooled test MAE</w:t>
      </w:r>
      <w:bookmarkEnd w:id="40"/>
    </w:p>
    <w:tbl>
      <w:tblPr>
        <w:tblW w:w="0" w:type="auto"/>
        <w:jc w:val="center"/>
        <w:tblBorders>
          <w:top w:val="single" w:sz="6" w:space="0" w:color="0F2A4A"/>
          <w:bottom w:val="single" w:sz="6" w:space="0" w:color="0F2A4A"/>
          <w:insideH w:val="single" w:sz="4" w:space="0" w:color="E2E8F0"/>
        </w:tblBorders>
        <w:tblLayout w:type="fixed"/>
        <w:tblLook w:val="04A0" w:firstRow="1" w:lastRow="0" w:firstColumn="1" w:lastColumn="0" w:noHBand="0" w:noVBand="1"/>
      </w:tblPr>
      <w:tblGrid>
        <w:gridCol w:w="4752"/>
        <w:gridCol w:w="2232"/>
        <w:gridCol w:w="2232"/>
      </w:tblGrid>
      <w:tr w:rsidR="008A5109" w14:paraId="07794B7E" w14:textId="77777777">
        <w:trPr>
          <w:cantSplit/>
          <w:tblHeader/>
          <w:jc w:val="center"/>
        </w:trPr>
        <w:tc>
          <w:tcPr>
            <w:tcW w:w="4752" w:type="dxa"/>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vAlign w:val="center"/>
          </w:tcPr>
          <w:p w14:paraId="084BCCB9" w14:textId="77777777" w:rsidR="008A5109" w:rsidRDefault="00000000">
            <w:pPr>
              <w:keepNext/>
              <w:spacing w:before="60" w:after="60" w:line="252" w:lineRule="auto"/>
            </w:pPr>
            <w:r>
              <w:rPr>
                <w:b/>
                <w:sz w:val="20"/>
              </w:rPr>
              <w:t>Model family</w:t>
            </w:r>
          </w:p>
        </w:tc>
        <w:tc>
          <w:tcPr>
            <w:tcW w:w="2232" w:type="dxa"/>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vAlign w:val="center"/>
          </w:tcPr>
          <w:p w14:paraId="5EF97EF1" w14:textId="77777777" w:rsidR="008A5109" w:rsidRDefault="00000000">
            <w:pPr>
              <w:keepNext/>
              <w:spacing w:before="60" w:after="60" w:line="252" w:lineRule="auto"/>
              <w:jc w:val="center"/>
            </w:pPr>
            <w:r>
              <w:rPr>
                <w:b/>
                <w:sz w:val="20"/>
              </w:rPr>
              <w:t>Scaffold MAE</w:t>
            </w:r>
          </w:p>
        </w:tc>
        <w:tc>
          <w:tcPr>
            <w:tcW w:w="2232" w:type="dxa"/>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vAlign w:val="center"/>
          </w:tcPr>
          <w:p w14:paraId="2487C40F" w14:textId="77777777" w:rsidR="008A5109" w:rsidRDefault="00000000">
            <w:pPr>
              <w:keepNext/>
              <w:spacing w:before="60" w:after="60" w:line="252" w:lineRule="auto"/>
              <w:jc w:val="center"/>
            </w:pPr>
            <w:r>
              <w:rPr>
                <w:b/>
                <w:sz w:val="20"/>
              </w:rPr>
              <w:t>Publication MAE</w:t>
            </w:r>
          </w:p>
        </w:tc>
      </w:tr>
      <w:tr w:rsidR="008A5109" w14:paraId="27A0FD42" w14:textId="77777777">
        <w:trPr>
          <w:cantSplit/>
          <w:jc w:val="center"/>
        </w:trPr>
        <w:tc>
          <w:tcPr>
            <w:tcW w:w="47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351E4A8" w14:textId="77777777" w:rsidR="008A5109" w:rsidRDefault="00000000">
            <w:pPr>
              <w:keepNext/>
              <w:spacing w:before="60" w:after="60" w:line="252" w:lineRule="auto"/>
            </w:pPr>
            <w:r>
              <w:rPr>
                <w:sz w:val="20"/>
              </w:rPr>
              <w:t>Training median baseline</w:t>
            </w:r>
          </w:p>
        </w:tc>
        <w:tc>
          <w:tcPr>
            <w:tcW w:w="223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7BDF09A" w14:textId="77777777" w:rsidR="008A5109" w:rsidRDefault="00000000">
            <w:pPr>
              <w:keepNext/>
              <w:spacing w:before="60" w:after="60" w:line="252" w:lineRule="auto"/>
              <w:jc w:val="center"/>
            </w:pPr>
            <w:r>
              <w:rPr>
                <w:sz w:val="20"/>
              </w:rPr>
              <w:t>0.6212</w:t>
            </w:r>
          </w:p>
        </w:tc>
        <w:tc>
          <w:tcPr>
            <w:tcW w:w="223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CC4092E" w14:textId="77777777" w:rsidR="008A5109" w:rsidRDefault="00000000">
            <w:pPr>
              <w:keepNext/>
              <w:spacing w:before="60" w:after="60" w:line="252" w:lineRule="auto"/>
              <w:jc w:val="center"/>
            </w:pPr>
            <w:r>
              <w:rPr>
                <w:sz w:val="20"/>
              </w:rPr>
              <w:t>0.6875</w:t>
            </w:r>
          </w:p>
        </w:tc>
      </w:tr>
      <w:tr w:rsidR="008A5109" w14:paraId="068F44D2" w14:textId="77777777">
        <w:trPr>
          <w:cantSplit/>
          <w:jc w:val="center"/>
        </w:trPr>
        <w:tc>
          <w:tcPr>
            <w:tcW w:w="47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62094C2" w14:textId="77777777" w:rsidR="008A5109" w:rsidRDefault="00000000">
            <w:pPr>
              <w:keepNext/>
              <w:spacing w:before="60" w:after="60" w:line="252" w:lineRule="auto"/>
            </w:pPr>
            <w:r>
              <w:rPr>
                <w:sz w:val="20"/>
              </w:rPr>
              <w:t>Ridge linear regression</w:t>
            </w:r>
          </w:p>
        </w:tc>
        <w:tc>
          <w:tcPr>
            <w:tcW w:w="223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AF7B0C5" w14:textId="77777777" w:rsidR="008A5109" w:rsidRDefault="00000000">
            <w:pPr>
              <w:keepNext/>
              <w:spacing w:before="60" w:after="60" w:line="252" w:lineRule="auto"/>
              <w:jc w:val="center"/>
            </w:pPr>
            <w:r>
              <w:rPr>
                <w:sz w:val="20"/>
              </w:rPr>
              <w:t>0.5235</w:t>
            </w:r>
          </w:p>
        </w:tc>
        <w:tc>
          <w:tcPr>
            <w:tcW w:w="223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B452452" w14:textId="77777777" w:rsidR="008A5109" w:rsidRDefault="00000000">
            <w:pPr>
              <w:keepNext/>
              <w:spacing w:before="60" w:after="60" w:line="252" w:lineRule="auto"/>
              <w:jc w:val="center"/>
            </w:pPr>
            <w:r>
              <w:rPr>
                <w:sz w:val="20"/>
              </w:rPr>
              <w:t>0.6398</w:t>
            </w:r>
          </w:p>
        </w:tc>
      </w:tr>
      <w:tr w:rsidR="008A5109" w14:paraId="05D69116" w14:textId="77777777">
        <w:trPr>
          <w:cantSplit/>
          <w:jc w:val="center"/>
        </w:trPr>
        <w:tc>
          <w:tcPr>
            <w:tcW w:w="47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14FD666" w14:textId="77777777" w:rsidR="008A5109" w:rsidRDefault="00000000">
            <w:pPr>
              <w:keepNext/>
              <w:spacing w:before="60" w:after="60" w:line="252" w:lineRule="auto"/>
            </w:pPr>
            <w:r>
              <w:rPr>
                <w:sz w:val="20"/>
              </w:rPr>
              <w:t>ExtraTrees ensembles</w:t>
            </w:r>
          </w:p>
        </w:tc>
        <w:tc>
          <w:tcPr>
            <w:tcW w:w="223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EE0E40B" w14:textId="77777777" w:rsidR="008A5109" w:rsidRDefault="00000000">
            <w:pPr>
              <w:keepNext/>
              <w:spacing w:before="60" w:after="60" w:line="252" w:lineRule="auto"/>
              <w:jc w:val="center"/>
            </w:pPr>
            <w:r>
              <w:rPr>
                <w:sz w:val="20"/>
              </w:rPr>
              <w:t>0.4981</w:t>
            </w:r>
          </w:p>
        </w:tc>
        <w:tc>
          <w:tcPr>
            <w:tcW w:w="223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4993D6F" w14:textId="77777777" w:rsidR="008A5109" w:rsidRDefault="00000000">
            <w:pPr>
              <w:keepNext/>
              <w:spacing w:before="60" w:after="60" w:line="252" w:lineRule="auto"/>
              <w:jc w:val="center"/>
            </w:pPr>
            <w:r>
              <w:rPr>
                <w:sz w:val="20"/>
              </w:rPr>
              <w:t>0.6595</w:t>
            </w:r>
          </w:p>
        </w:tc>
      </w:tr>
      <w:tr w:rsidR="008A5109" w14:paraId="7AE39518" w14:textId="77777777">
        <w:trPr>
          <w:cantSplit/>
          <w:jc w:val="center"/>
        </w:trPr>
        <w:tc>
          <w:tcPr>
            <w:tcW w:w="47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388B098" w14:textId="77777777" w:rsidR="008A5109" w:rsidRDefault="00000000">
            <w:pPr>
              <w:spacing w:before="60" w:after="60" w:line="252" w:lineRule="auto"/>
            </w:pPr>
            <w:r>
              <w:rPr>
                <w:sz w:val="20"/>
              </w:rPr>
              <w:t>Consistency weighted trees</w:t>
            </w:r>
          </w:p>
        </w:tc>
        <w:tc>
          <w:tcPr>
            <w:tcW w:w="223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DEB6226" w14:textId="77777777" w:rsidR="008A5109" w:rsidRDefault="00000000">
            <w:pPr>
              <w:spacing w:before="60" w:after="60" w:line="252" w:lineRule="auto"/>
              <w:jc w:val="center"/>
            </w:pPr>
            <w:r>
              <w:rPr>
                <w:sz w:val="20"/>
              </w:rPr>
              <w:t>0.4995</w:t>
            </w:r>
          </w:p>
        </w:tc>
        <w:tc>
          <w:tcPr>
            <w:tcW w:w="223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A214F14" w14:textId="77777777" w:rsidR="008A5109" w:rsidRDefault="00000000">
            <w:pPr>
              <w:spacing w:before="60" w:after="60" w:line="252" w:lineRule="auto"/>
              <w:jc w:val="center"/>
            </w:pPr>
            <w:r>
              <w:rPr>
                <w:sz w:val="20"/>
              </w:rPr>
              <w:t>0.6611</w:t>
            </w:r>
          </w:p>
        </w:tc>
      </w:tr>
    </w:tbl>
    <w:p w14:paraId="07DBA9F7" w14:textId="77777777" w:rsidR="008A5109" w:rsidRDefault="00000000">
      <w:pPr>
        <w:jc w:val="both"/>
      </w:pPr>
      <w:r>
        <w:t>On the scaffold test cohort, unweighted ExtraTrees has pooled MAE 0.4981 compared with 0.6212 for the median baseline and 0.5235 for ridge. On the publication cohort, ridge has lower pooled MAE than either tree family. Consistency weighting yields 0.4995 on scaffolds and 0.6611 on publication holdouts, without an established overall improvement. These descriptive differences do not constitute a significance test. Per-target selection uses validation MAE, so the selected combination can differ from the lowest test-error family.</w:t>
      </w:r>
    </w:p>
    <w:p w14:paraId="11141FF5" w14:textId="77777777" w:rsidR="008A5109" w:rsidRDefault="00000000">
      <w:pPr>
        <w:pStyle w:val="Heading2"/>
      </w:pPr>
      <w:bookmarkStart w:id="41" w:name="hdi_ref_29"/>
      <w:r>
        <w:rPr>
          <w:rFonts w:ascii="Times New Roman" w:hAnsi="Times New Roman"/>
        </w:rPr>
        <w:t>5.3 Discussion and limitations</w:t>
      </w:r>
      <w:bookmarkEnd w:id="41"/>
    </w:p>
    <w:p w14:paraId="4C1AA876" w14:textId="77777777" w:rsidR="008A5109" w:rsidRDefault="00000000">
      <w:pPr>
        <w:jc w:val="both"/>
      </w:pPr>
      <w:r>
        <w:t>The higher publication-held-out error and negative target-specific R</w:t>
      </w:r>
      <w:r>
        <w:rPr>
          <w:vertAlign w:val="superscript"/>
        </w:rPr>
        <w:t>2</w:t>
      </w:r>
      <w:r>
        <w:t xml:space="preserve"> values indicate limited generalization in that regime. Assay protocol differences are plausible contributors but were not isolated causally. The scaffold run also shares source documents between roles. The two tests contain different samples after purging, so their metric difference is a sensitivity finding, not a paired estimate of laboratory effects.</w:t>
      </w:r>
    </w:p>
    <w:p w14:paraId="35BD8205" w14:textId="77777777" w:rsidR="008A5109" w:rsidRDefault="00000000">
      <w:pPr>
        <w:jc w:val="both"/>
      </w:pPr>
      <w:r>
        <w:t>The human evidence illustrates an additional mechanism limit. In the cyclosporine study, the reported dose-corrected baseline/coadministration AUC ratio was 1.83; the displayed coadministration/baseline ratio is its reciprocal, about 0.55 [9]. This is an observed study result, not an output of the inhibition model or a forecast of transplant rejection. Hyperforin-associated induction [7] is flagged as outside the model's inhibitory endpoint. The source-checked human catalog still needs independent review.</w:t>
      </w:r>
    </w:p>
    <w:p w14:paraId="4231DAC6" w14:textId="77777777" w:rsidR="008A5109" w:rsidRDefault="00000000">
      <w:pPr>
        <w:pStyle w:val="Heading1"/>
        <w:pageBreakBefore/>
      </w:pPr>
      <w:bookmarkStart w:id="42" w:name="hdi_ref_30"/>
      <w:r>
        <w:rPr>
          <w:rFonts w:ascii="Times New Roman" w:hAnsi="Times New Roman"/>
        </w:rPr>
        <w:lastRenderedPageBreak/>
        <w:t>CHAPTER 6: CONCLUSION AND FUTURE WORK</w:t>
      </w:r>
      <w:bookmarkEnd w:id="42"/>
    </w:p>
    <w:p w14:paraId="0DA2B96C" w14:textId="77777777" w:rsidR="008A5109" w:rsidRDefault="00000000">
      <w:pPr>
        <w:pStyle w:val="Heading2"/>
      </w:pPr>
      <w:bookmarkStart w:id="43" w:name="hdi_ref_31"/>
      <w:r>
        <w:rPr>
          <w:rFonts w:ascii="Times New Roman" w:hAnsi="Times New Roman"/>
        </w:rPr>
        <w:t>6.1 Conclusions and achievements</w:t>
      </w:r>
      <w:bookmarkEnd w:id="43"/>
    </w:p>
    <w:p w14:paraId="36B00F65" w14:textId="77777777" w:rsidR="008A5109" w:rsidRDefault="00000000">
      <w:pPr>
        <w:jc w:val="both"/>
      </w:pPr>
      <w:r>
        <w:t>This capstone research project has successfully designed, implemented, and empirically verified an auditable, evidence-linked herb-drug interaction research screening system. The key achievements include:</w:t>
      </w:r>
    </w:p>
    <w:p w14:paraId="1B4B6126" w14:textId="77777777" w:rsidR="008A5109" w:rsidRDefault="00000000">
      <w:pPr>
        <w:jc w:val="both"/>
      </w:pPr>
      <w:r>
        <w:t>1. Three-tier reliability formulation: Separate data roles connect molecular measurements, retrieved human findings and independent clinical adjudication. The design preserves endpoint provenance and makes clinical prediction abstention an explicit safety guardrail.</w:t>
      </w:r>
    </w:p>
    <w:p w14:paraId="35DA9EE9" w14:textId="77777777" w:rsidR="008A5109" w:rsidRDefault="00000000">
      <w:pPr>
        <w:jc w:val="both"/>
      </w:pPr>
      <w:r>
        <w:t>2. Reproducible assay experiment: The screened ChEMBL dataset supports six target-specific comparisons and held-out pIC</w:t>
      </w:r>
      <w:r>
        <w:rPr>
          <w:vertAlign w:val="subscript"/>
        </w:rPr>
        <w:t>50</w:t>
      </w:r>
      <w:r>
        <w:t xml:space="preserve"> metrics. Selected scaffold models have MAE 0.4974; selected publication-held-out models have MAE 0.6613. These are assay results rather than validated clinical interaction predictions.</w:t>
      </w:r>
    </w:p>
    <w:p w14:paraId="1F0F1BA6" w14:textId="77777777" w:rsidR="008A5109" w:rsidRDefault="00000000">
      <w:pPr>
        <w:jc w:val="both"/>
      </w:pPr>
      <w:r>
        <w:t>3. Calibrated assay uncertainty: Inductive split-conformal intervals provide finite-sample marginal coverage under exchangeability. Held-out coverage across scaffold and publication regimes measures the practical limits under chemical and source shift.</w:t>
      </w:r>
    </w:p>
    <w:p w14:paraId="21A48254" w14:textId="77777777" w:rsidR="008A5109" w:rsidRDefault="00000000">
      <w:pPr>
        <w:jc w:val="both"/>
      </w:pPr>
      <w:r>
        <w:t>4. Traceable literature records: The active demonstration deduplicates publication/endpoint keys and retains source URLs, extraction level and review status. It does not infer full citation lineage or authenticate independent clinical cohorts.</w:t>
      </w:r>
    </w:p>
    <w:p w14:paraId="3F288DE2" w14:textId="77777777" w:rsidR="008A5109" w:rsidRDefault="00000000">
      <w:pPr>
        <w:jc w:val="both"/>
      </w:pPr>
      <w:r>
        <w:t>5. Mechanism/context explanations: A preparation selector and an explicit induction guard expose unsupported extrapolations. Fixed clinical abstention remains in place, and the dashboard exports the explanation alongside assay estimates.</w:t>
      </w:r>
    </w:p>
    <w:p w14:paraId="11D7E7E1" w14:textId="77777777" w:rsidR="008A5109" w:rsidRDefault="00000000">
      <w:pPr>
        <w:pStyle w:val="Heading2"/>
      </w:pPr>
      <w:bookmarkStart w:id="44" w:name="hdi_ref_32"/>
      <w:r>
        <w:rPr>
          <w:rFonts w:ascii="Times New Roman" w:hAnsi="Times New Roman"/>
        </w:rPr>
        <w:t>6.2 Limitations</w:t>
      </w:r>
      <w:bookmarkEnd w:id="44"/>
    </w:p>
    <w:p w14:paraId="22E74EE0" w14:textId="77777777" w:rsidR="008A5109" w:rsidRDefault="00000000">
      <w:pPr>
        <w:jc w:val="both"/>
      </w:pPr>
      <w:r>
        <w:t>Despite its significant engineering and methodological advancements, several scientific limitations remain:</w:t>
      </w:r>
    </w:p>
    <w:p w14:paraId="1EC99A54" w14:textId="77777777" w:rsidR="008A5109" w:rsidRDefault="00000000">
      <w:pPr>
        <w:jc w:val="both"/>
      </w:pPr>
      <w:r>
        <w:t xml:space="preserve">1. Compound vs. Whole-Herb Disconnect: In-vitro models evaluate isolated chemical structures (e.g., Curcumin, Hyperforin). They do not account for raw botanical matrix variability, </w:t>
      </w:r>
      <w:r>
        <w:lastRenderedPageBreak/>
        <w:t>agricultural chemotypes, extraction solvents, or oral bioavailability fractions in human gastrointestinal tracts.</w:t>
      </w:r>
    </w:p>
    <w:p w14:paraId="37324FC6" w14:textId="77777777" w:rsidR="008A5109" w:rsidRDefault="00000000">
      <w:pPr>
        <w:jc w:val="both"/>
      </w:pPr>
      <w:r>
        <w:t>2. Limited evaluation replication: One seeded split was executed per regime. Repeated grouped experiments, external validation and sensitivity to source release or chemical normalization remain necessary. Computational limitations were not measured as a justification for omitting those studies.</w:t>
      </w:r>
    </w:p>
    <w:p w14:paraId="202B2ECE" w14:textId="77777777" w:rsidR="008A5109" w:rsidRDefault="00000000">
      <w:pPr>
        <w:jc w:val="both"/>
      </w:pPr>
      <w:r>
        <w:t>3. Limited clinical evidence: Four pair-specific records from three publications provide a demonstration, not an independently reviewed clinical benchmark. Verified exposure/composition data, clinical outcomes and a defensible statistical protocol are still required before the original clinical task can be validated.</w:t>
      </w:r>
    </w:p>
    <w:p w14:paraId="33AF6071" w14:textId="77777777" w:rsidR="008A5109" w:rsidRDefault="00000000">
      <w:pPr>
        <w:pStyle w:val="Heading2"/>
      </w:pPr>
      <w:bookmarkStart w:id="45" w:name="hdi_ref_33"/>
      <w:r>
        <w:rPr>
          <w:rFonts w:ascii="Times New Roman" w:hAnsi="Times New Roman"/>
        </w:rPr>
        <w:t>6.3 Future scope</w:t>
      </w:r>
      <w:bookmarkEnd w:id="45"/>
    </w:p>
    <w:p w14:paraId="6A138D17" w14:textId="77777777" w:rsidR="008A5109" w:rsidRDefault="00000000">
      <w:pPr>
        <w:jc w:val="both"/>
      </w:pPr>
      <w:r>
        <w:t>The research provides a solid foundation for several advanced research extensions:</w:t>
      </w:r>
    </w:p>
    <w:p w14:paraId="0B18947C" w14:textId="77777777" w:rsidR="008A5109" w:rsidRDefault="00000000">
      <w:pPr>
        <w:jc w:val="both"/>
      </w:pPr>
      <w:r>
        <w:t>1. Physiologically Based Pharmacokinetic (PBPK) Integration: Coupling the in-vitro molecular potency estimates with dynamic multi-compartment PBPK differential equations to simulate time-dependent plasma concentration profiles in virtual patient populations.</w:t>
      </w:r>
    </w:p>
    <w:p w14:paraId="49050674" w14:textId="77777777" w:rsidR="008A5109" w:rsidRDefault="00000000">
      <w:pPr>
        <w:jc w:val="both"/>
      </w:pPr>
      <w:r>
        <w:t>2. Expansion to Phase II Metabolism and Transporters: Extending the target suite beyond CYP enzymes to encompass Phase II conjugation enzymes (UGTs, SULTs) and uptake transporters (OATs, OCTs, OATPs).</w:t>
      </w:r>
    </w:p>
    <w:p w14:paraId="60D56CD3" w14:textId="77777777" w:rsidR="008A5109" w:rsidRDefault="00000000">
      <w:pPr>
        <w:jc w:val="both"/>
      </w:pPr>
      <w:r>
        <w:t>3. Clinical endpoint development: With qualified reviewers, define a preparation-specific clinical or human-PK target, audit source independence and populate an appropriate reference dataset. Feasible independent groups and sample adequacy should be established before training; prospective clinical validity cannot be inferred from current assay errors.</w:t>
      </w:r>
    </w:p>
    <w:p w14:paraId="76BCCEF0" w14:textId="77777777" w:rsidR="008A5109" w:rsidRDefault="00000000">
      <w:pPr>
        <w:pStyle w:val="Heading1"/>
        <w:pageBreakBefore/>
      </w:pPr>
      <w:bookmarkStart w:id="46" w:name="hdi_ref_34"/>
      <w:r>
        <w:rPr>
          <w:rFonts w:ascii="Times New Roman" w:hAnsi="Times New Roman"/>
        </w:rPr>
        <w:lastRenderedPageBreak/>
        <w:t>REFERENCES</w:t>
      </w:r>
      <w:bookmarkEnd w:id="46"/>
    </w:p>
    <w:p w14:paraId="445BC9CB" w14:textId="77777777" w:rsidR="008A5109" w:rsidRDefault="00000000">
      <w:pPr>
        <w:keepLines/>
      </w:pPr>
      <w:r>
        <w:t>[1] B. Zdrazil et al., 'The ChEMBL Database in 2023: a drug discovery platform spanning multiple bioactivity data types and time periods,' Nucleic Acids Research, vol. 52, no. D1, pp. D1180-D1192, 2024. doi: 10.1093/nar/gkad1004.</w:t>
      </w:r>
    </w:p>
    <w:p w14:paraId="10594D49" w14:textId="77777777" w:rsidR="008A5109" w:rsidRDefault="00000000">
      <w:pPr>
        <w:keepLines/>
      </w:pPr>
      <w:r>
        <w:t>[2] D. Rogers and M. Hahn, 'Extended-connectivity fingerprints,' Journal of Chemical Information and Modeling, vol. 50, no. 5, pp. 742-754, 2010. doi: 10.1021/ci100050t.</w:t>
      </w:r>
    </w:p>
    <w:p w14:paraId="4CF6A982" w14:textId="77777777" w:rsidR="008A5109" w:rsidRDefault="00000000">
      <w:pPr>
        <w:keepLines/>
      </w:pPr>
      <w:r>
        <w:t>[3] RDKit developers, 'Getting Started with the RDKit in Python,' online documentation. https://www.rdkit.org/docs/GettingStartedInPython.html. Accessed 30 October 2026. Recorded experiment version: 2026.03.5.</w:t>
      </w:r>
    </w:p>
    <w:p w14:paraId="2DD1BEB6" w14:textId="77777777" w:rsidR="008A5109" w:rsidRDefault="00000000">
      <w:pPr>
        <w:keepLines/>
      </w:pPr>
      <w:r>
        <w:t>[4] F. Pedregosa et al., 'Scikit-learn: Machine Learning in Python,' Journal of Machine Learning Research, vol. 12, pp. 2825-2830, 2011.</w:t>
      </w:r>
    </w:p>
    <w:p w14:paraId="628E27D4" w14:textId="77777777" w:rsidR="008A5109" w:rsidRDefault="00000000">
      <w:pPr>
        <w:keepLines/>
      </w:pPr>
      <w:r>
        <w:t>[5] U.S. Food and Drug Administration, 'M12 Drug Interaction Studies: Guidance for Industry,' Center for Drug Evaluation and Research (CDER), August 2024. https://www.fda.gov/regulatory-information/search-fda-guidance-documents/m12-drug-interaction-studies</w:t>
      </w:r>
    </w:p>
    <w:p w14:paraId="029AD672" w14:textId="77777777" w:rsidR="008A5109" w:rsidRDefault="00000000">
      <w:pPr>
        <w:keepLines/>
      </w:pPr>
      <w:r>
        <w:t>[6] A. N. Angelopoulos and S. Bates, 'A Gentle Introduction to Conformal Prediction and Distribution-Free Uncertainty Quantification,' arXiv preprint arXiv:2107.07511, 2021.</w:t>
      </w:r>
    </w:p>
    <w:p w14:paraId="09219282" w14:textId="77777777" w:rsidR="008A5109" w:rsidRDefault="00000000">
      <w:pPr>
        <w:keepLines/>
      </w:pPr>
      <w:r>
        <w:t>[7] L. B. Moore et al., 'St. John's wort induces hepatic drug metabolism through activation of the pregnane X receptor,' Proceedings of the National Academy of Sciences, vol. 97, no. 13, pp. 7500-7502, 2000. doi: 10.1073/pnas.130155097.</w:t>
      </w:r>
    </w:p>
    <w:p w14:paraId="67FE3674" w14:textId="77777777" w:rsidR="008A5109" w:rsidRDefault="00000000">
      <w:pPr>
        <w:keepLines/>
      </w:pPr>
      <w:r>
        <w:t>[8] A. Johne et al., 'Pharmacokinetic interaction of digoxin with an herbal extract from St John's wort (Hypericum perforatum),' Clinical Pharmacology and Therapeutics, vol. 66, no. 4, pp. 338-345, 1999. doi: 10.1053/cp.1999.v66.a101944.</w:t>
      </w:r>
    </w:p>
    <w:p w14:paraId="1E7BFDF0" w14:textId="77777777" w:rsidR="008A5109" w:rsidRDefault="00000000">
      <w:pPr>
        <w:keepLines/>
      </w:pPr>
      <w:r>
        <w:t>[9] S. Bauer et al., 'Alterations in cyclosporin A pharmacokinetics and metabolism during treatment with St John's wort in renal transplant patients,' British Journal of Clinical Pharmacology, vol. 55, no. 2, pp. 203-211, 2003. doi: 10.1046/j.1365-2125.2003.01759.x.</w:t>
      </w:r>
    </w:p>
    <w:p w14:paraId="15C9A9C5" w14:textId="77777777" w:rsidR="008A5109" w:rsidRDefault="00000000">
      <w:pPr>
        <w:keepLines/>
      </w:pPr>
      <w:r>
        <w:lastRenderedPageBreak/>
        <w:t>[10] B. J. Gurley et al., 'Gauging the clinical significance of P-glycoprotein-mediated herb-drug interactions: comparative effects of St. John's wort, Echinacea, clarithromycin, and rifampin on digoxin pharmacokinetics,' Molecular Nutrition &amp; Food Research, vol. 52, no. 7, pp. 772-779, 2008. doi: 10.1002/mnfr.200700081.</w:t>
      </w:r>
    </w:p>
    <w:p w14:paraId="7482AC47" w14:textId="77777777" w:rsidR="008A5109" w:rsidRDefault="00000000">
      <w:pPr>
        <w:keepLines/>
      </w:pPr>
      <w:r>
        <w:t>[11] National Center for Complementary and Integrative Health, 'Herb-Drug Interactions: What the Science Says,' NIH Clinical Digest, online resource. https://www.nccih.nih.gov/health/providers/digest/herb-drug-interactions-science. Accessed 30 October 2026.</w:t>
      </w:r>
    </w:p>
    <w:p w14:paraId="54180518" w14:textId="77777777" w:rsidR="008A5109" w:rsidRDefault="00000000">
      <w:pPr>
        <w:keepLines/>
      </w:pPr>
      <w:r>
        <w:t>[12] National Cancer Institute, 'Cancer Therapy Interactions With Foods and Dietary Supplements (PDQ), Health Professional Version,' online resource. https://www.cancer.gov/about-cancer/treatment/cam/hp/dietary-interactions-pdq. Accessed 30 October 2026.</w:t>
      </w:r>
    </w:p>
    <w:p w14:paraId="388859BD" w14:textId="77777777" w:rsidR="008A5109" w:rsidRDefault="00000000">
      <w:pPr>
        <w:keepLines/>
      </w:pPr>
      <w:r>
        <w:t>[13] J. Y. Ryu, H. U. Kim and S. Y. Lee, 'Deep learning improves prediction of drug-drug and drug-food interactions,' Proceedings of the National Academy of Sciences, vol. 115, no. 18, pp. E4304-E4311, 2018. doi: 10.1073/pnas.1803294115.</w:t>
      </w:r>
    </w:p>
    <w:p w14:paraId="61E77057" w14:textId="77777777" w:rsidR="008A5109" w:rsidRDefault="00000000">
      <w:pPr>
        <w:keepLines/>
      </w:pPr>
      <w:r>
        <w:t>[14] M. Zitnik et al., 'Modeling polypharmacy side effects with graph convolutional networks,' Bioinformatics, vol. 34, no. 13, pp. i457-i466, 2018. doi: 10.1093/bioinformatics/bty294.</w:t>
      </w:r>
    </w:p>
    <w:p w14:paraId="06CD9ACB" w14:textId="77777777" w:rsidR="008A5109" w:rsidRDefault="00000000">
      <w:pPr>
        <w:keepLines/>
      </w:pPr>
      <w:r>
        <w:t>[15] K. Huang et al., 'CASTER: Predicting Drug Interactions with Chemical Substructure Representation,' Proceedings of the AAAI Conference on Artificial Intelligence, vol. 34, no. 1, pp. 702-709, 2020. doi: 10.1609/aaai.v34i01.5412.</w:t>
      </w:r>
    </w:p>
    <w:p w14:paraId="18B8016A" w14:textId="77777777" w:rsidR="008A5109" w:rsidRDefault="00000000">
      <w:pPr>
        <w:keepLines/>
      </w:pPr>
      <w:r>
        <w:t>[16] J. Lee et al., 'BioBERT: a pre-trained biomedical language representation model for biomedical text mining,' Bioinformatics, vol. 36, no. 4, pp. 1234-1240, 2020. doi: 10.1093/bioinformatics/btz682.</w:t>
      </w:r>
    </w:p>
    <w:p w14:paraId="661B04AA" w14:textId="77777777" w:rsidR="008A5109" w:rsidRDefault="00000000">
      <w:pPr>
        <w:keepLines/>
      </w:pPr>
      <w:r>
        <w:t>[17] Y. Gu et al., 'Domain-Specific Language Model Pretraining for Biomedical Natural Language Processing,' ACM Transactions on Computing for Healthcare, vol. 3, no. 1, article 2, 23 pages, 2021. doi: 10.1145/3458754.</w:t>
      </w:r>
    </w:p>
    <w:p w14:paraId="358EE0B3" w14:textId="77777777" w:rsidR="008A5109" w:rsidRDefault="00000000">
      <w:pPr>
        <w:keepLines/>
      </w:pPr>
      <w:r>
        <w:t>[18] Project repository, Reliability-Conditioned-Herb-Drug-Interaction-Prediction, commit 4dcbf89, 2026. https://github.com/jiya2000/Reliability-Conditioned-Herb-Drug-Interaction-Prediction. Empirical records: results/assay_scaffold.json; results/assay_source.json; matching prediction tables and split audits.</w:t>
      </w:r>
    </w:p>
    <w:p w14:paraId="454EFEEE" w14:textId="77777777" w:rsidR="008A5109" w:rsidRDefault="00000000">
      <w:pPr>
        <w:pStyle w:val="Heading1"/>
        <w:pageBreakBefore/>
      </w:pPr>
      <w:bookmarkStart w:id="47" w:name="hdi_ref_35"/>
      <w:r>
        <w:rPr>
          <w:rFonts w:ascii="Times New Roman" w:hAnsi="Times New Roman"/>
        </w:rPr>
        <w:lastRenderedPageBreak/>
        <w:t>APPENDIX A: SUPPORTING MATERIAL</w:t>
      </w:r>
      <w:bookmarkEnd w:id="47"/>
    </w:p>
    <w:p w14:paraId="0296CA61" w14:textId="77777777" w:rsidR="008A5109" w:rsidRDefault="00000000">
      <w:pPr>
        <w:pStyle w:val="Heading2"/>
      </w:pPr>
      <w:bookmarkStart w:id="48" w:name="hdi_ref_36"/>
      <w:r>
        <w:rPr>
          <w:rFonts w:ascii="Times New Roman" w:hAnsi="Times New Roman"/>
        </w:rPr>
        <w:t>A.1 Reproduction commands</w:t>
      </w:r>
      <w:bookmarkEnd w:id="48"/>
    </w:p>
    <w:p w14:paraId="6DDE9D83" w14:textId="77777777" w:rsidR="008A5109" w:rsidRDefault="00000000">
      <w:pPr>
        <w:jc w:val="both"/>
      </w:pPr>
      <w:r>
        <w:t>Run the commands below from the repository root. Use a new output directory when reproducing an experiment; the existing local model folders are deliberately protected from overwrite.</w:t>
      </w:r>
    </w:p>
    <w:p w14:paraId="104DA63A" w14:textId="77777777" w:rsidR="008A5109" w:rsidRDefault="00000000">
      <w:pPr>
        <w:jc w:val="both"/>
      </w:pPr>
      <w:r>
        <w:t>1. Create the assay environment and install dependencies:</w:t>
      </w:r>
    </w:p>
    <w:p w14:paraId="0DEEBE3D" w14:textId="77777777" w:rsidR="008A5109" w:rsidRDefault="00000000">
      <w:pPr>
        <w:keepLines/>
        <w:spacing w:line="240" w:lineRule="auto"/>
      </w:pPr>
      <w:r>
        <w:rPr>
          <w:rFonts w:ascii="Courier New" w:hAnsi="Courier New"/>
          <w:sz w:val="18"/>
        </w:rPr>
        <w:t>python3 -m venv venv</w:t>
      </w:r>
      <w:r>
        <w:rPr>
          <w:rFonts w:ascii="Courier New" w:hAnsi="Courier New"/>
          <w:sz w:val="18"/>
        </w:rPr>
        <w:br/>
        <w:t>venv/bin/python -m pip install -r requirements_assay.txt</w:t>
      </w:r>
      <w:r>
        <w:rPr>
          <w:rFonts w:ascii="Courier New" w:hAnsi="Courier New"/>
          <w:sz w:val="18"/>
        </w:rPr>
        <w:br/>
        <w:t>venv/bin/python -m pip install pytest</w:t>
      </w:r>
    </w:p>
    <w:p w14:paraId="1B04E25C" w14:textId="77777777" w:rsidR="008A5109" w:rsidRDefault="00000000">
      <w:pPr>
        <w:jc w:val="both"/>
      </w:pPr>
      <w:r>
        <w:t>2. Train the molecular assay regressors across scaffold holdout:</w:t>
      </w:r>
    </w:p>
    <w:p w14:paraId="256C9FBE" w14:textId="77777777" w:rsidR="008A5109" w:rsidRDefault="00000000">
      <w:pPr>
        <w:keepLines/>
        <w:spacing w:line="240" w:lineRule="auto"/>
      </w:pPr>
      <w:r>
        <w:rPr>
          <w:rFonts w:ascii="Courier New" w:hAnsi="Courier New"/>
          <w:sz w:val="18"/>
        </w:rPr>
        <w:t>venv/bin/python -m src.assay.experiment \</w:t>
      </w:r>
      <w:r>
        <w:rPr>
          <w:rFonts w:ascii="Courier New" w:hAnsi="Courier New"/>
          <w:sz w:val="18"/>
        </w:rPr>
        <w:br/>
        <w:t xml:space="preserve">  --output artifacts/assay/scaffold_reproduction \</w:t>
      </w:r>
      <w:r>
        <w:rPr>
          <w:rFonts w:ascii="Courier New" w:hAnsi="Courier New"/>
          <w:sz w:val="18"/>
        </w:rPr>
        <w:br/>
        <w:t xml:space="preserve">  --split scaffold</w:t>
      </w:r>
    </w:p>
    <w:p w14:paraId="5338F7F7" w14:textId="77777777" w:rsidR="008A5109" w:rsidRDefault="00000000">
      <w:pPr>
        <w:jc w:val="both"/>
      </w:pPr>
      <w:r>
        <w:t>3. Train the molecular assay regressors across publication holdout:</w:t>
      </w:r>
    </w:p>
    <w:p w14:paraId="4B8DA48F" w14:textId="77777777" w:rsidR="008A5109" w:rsidRDefault="00000000">
      <w:pPr>
        <w:keepLines/>
        <w:spacing w:line="240" w:lineRule="auto"/>
      </w:pPr>
      <w:r>
        <w:rPr>
          <w:rFonts w:ascii="Courier New" w:hAnsi="Courier New"/>
          <w:sz w:val="18"/>
        </w:rPr>
        <w:t>venv/bin/python -m src.assay.experiment \</w:t>
      </w:r>
      <w:r>
        <w:rPr>
          <w:rFonts w:ascii="Courier New" w:hAnsi="Courier New"/>
          <w:sz w:val="18"/>
        </w:rPr>
        <w:br/>
        <w:t xml:space="preserve">  --output artifacts/assay/source_reproduction \</w:t>
      </w:r>
      <w:r>
        <w:rPr>
          <w:rFonts w:ascii="Courier New" w:hAnsi="Courier New"/>
          <w:sz w:val="18"/>
        </w:rPr>
        <w:br/>
        <w:t xml:space="preserve">  --split source</w:t>
      </w:r>
    </w:p>
    <w:p w14:paraId="13EED606" w14:textId="77777777" w:rsidR="008A5109" w:rsidRDefault="00000000">
      <w:pPr>
        <w:jc w:val="both"/>
      </w:pPr>
      <w:r>
        <w:t>4. Execute independent metric verification and split audit:</w:t>
      </w:r>
    </w:p>
    <w:p w14:paraId="4C955003" w14:textId="77777777" w:rsidR="008A5109" w:rsidRDefault="00000000">
      <w:pPr>
        <w:keepLines/>
        <w:spacing w:line="240" w:lineRule="auto"/>
      </w:pPr>
      <w:r>
        <w:rPr>
          <w:rFonts w:ascii="Courier New" w:hAnsi="Courier New"/>
          <w:sz w:val="18"/>
        </w:rPr>
        <w:t>venv/bin/python -m src.assay.verify \</w:t>
      </w:r>
      <w:r>
        <w:rPr>
          <w:rFonts w:ascii="Courier New" w:hAnsi="Courier New"/>
          <w:sz w:val="18"/>
        </w:rPr>
        <w:br/>
        <w:t xml:space="preserve">  --experiment artifacts/assay/scaffold_reproduction</w:t>
      </w:r>
      <w:r>
        <w:rPr>
          <w:rFonts w:ascii="Courier New" w:hAnsi="Courier New"/>
          <w:sz w:val="18"/>
        </w:rPr>
        <w:br/>
        <w:t>venv/bin/python -m src.assay.verify \</w:t>
      </w:r>
      <w:r>
        <w:rPr>
          <w:rFonts w:ascii="Courier New" w:hAnsi="Courier New"/>
          <w:sz w:val="18"/>
        </w:rPr>
        <w:br/>
        <w:t xml:space="preserve">  --experiment artifacts/assay/source_reproduction</w:t>
      </w:r>
    </w:p>
    <w:p w14:paraId="172B66E6" w14:textId="77777777" w:rsidR="008A5109" w:rsidRDefault="00000000">
      <w:pPr>
        <w:jc w:val="both"/>
      </w:pPr>
      <w:r>
        <w:t>5. Run the focused assay and screening tests:</w:t>
      </w:r>
    </w:p>
    <w:p w14:paraId="771736EE" w14:textId="77777777" w:rsidR="008A5109" w:rsidRDefault="00000000">
      <w:pPr>
        <w:keepLines/>
        <w:spacing w:line="240" w:lineRule="auto"/>
      </w:pPr>
      <w:r>
        <w:rPr>
          <w:rFonts w:ascii="Courier New" w:hAnsi="Courier New"/>
          <w:sz w:val="18"/>
        </w:rPr>
        <w:t>venv/bin/python -m pytest \</w:t>
      </w:r>
      <w:r>
        <w:rPr>
          <w:rFonts w:ascii="Courier New" w:hAnsi="Courier New"/>
          <w:sz w:val="18"/>
        </w:rPr>
        <w:br/>
        <w:t xml:space="preserve">  tests/test_assay_workflow.py \</w:t>
      </w:r>
      <w:r>
        <w:rPr>
          <w:rFonts w:ascii="Courier New" w:hAnsi="Courier New"/>
          <w:sz w:val="18"/>
        </w:rPr>
        <w:br/>
        <w:t xml:space="preserve">  tests/test_screening_demo.py -q -p no:cacheprovider</w:t>
      </w:r>
    </w:p>
    <w:p w14:paraId="50A33D33" w14:textId="77777777" w:rsidR="008A5109" w:rsidRDefault="00000000">
      <w:pPr>
        <w:jc w:val="both"/>
      </w:pPr>
      <w:r>
        <w:t>6. Launch the interactive Streamlit research screening dashboard:</w:t>
      </w:r>
    </w:p>
    <w:p w14:paraId="216FA738" w14:textId="77777777" w:rsidR="008A5109" w:rsidRDefault="00000000">
      <w:pPr>
        <w:keepLines/>
        <w:spacing w:line="240" w:lineRule="auto"/>
      </w:pPr>
      <w:r>
        <w:rPr>
          <w:rFonts w:ascii="Courier New" w:hAnsi="Courier New"/>
          <w:sz w:val="18"/>
        </w:rPr>
        <w:t>venv/bin/python -m streamlit run app/demo.py \</w:t>
      </w:r>
      <w:r>
        <w:rPr>
          <w:rFonts w:ascii="Courier New" w:hAnsi="Courier New"/>
          <w:sz w:val="18"/>
        </w:rPr>
        <w:br/>
        <w:t xml:space="preserve">  --server.address 127.0.0.1 \</w:t>
      </w:r>
      <w:r>
        <w:rPr>
          <w:rFonts w:ascii="Courier New" w:hAnsi="Courier New"/>
          <w:sz w:val="18"/>
        </w:rPr>
        <w:br/>
        <w:t xml:space="preserve">  --server.port 8501</w:t>
      </w:r>
    </w:p>
    <w:p w14:paraId="536ED314" w14:textId="77777777" w:rsidR="008A5109" w:rsidRDefault="00000000">
      <w:pPr>
        <w:pStyle w:val="Heading2"/>
      </w:pPr>
      <w:bookmarkStart w:id="49" w:name="hdi_ref_37"/>
      <w:r>
        <w:rPr>
          <w:rFonts w:ascii="Times New Roman" w:hAnsi="Times New Roman"/>
        </w:rPr>
        <w:t>A.2 Demonstration walkthrough sequence</w:t>
      </w:r>
      <w:bookmarkEnd w:id="49"/>
    </w:p>
    <w:p w14:paraId="5DA487E5" w14:textId="77777777" w:rsidR="008A5109" w:rsidRDefault="00000000">
      <w:pPr>
        <w:jc w:val="both"/>
      </w:pPr>
      <w:r>
        <w:t>To demonstrate the full interactive capabilities of the research prototype during evaluation, the following operational sequence is recommended:</w:t>
      </w:r>
    </w:p>
    <w:p w14:paraId="0BFE5009" w14:textId="77777777" w:rsidR="008A5109" w:rsidRDefault="00000000">
      <w:pPr>
        <w:jc w:val="both"/>
      </w:pPr>
      <w:r>
        <w:t xml:space="preserve">1. St. John's Wort + Digoxin (The Classic Interaction): Select St. John's Wort and Digoxin. Observe the retrieved human clinical finding showing a 25% reduction in Digoxin AUC in </w:t>
      </w:r>
      <w:r>
        <w:lastRenderedPageBreak/>
        <w:t>healthy volunteers. Expand the Live Molecular Model panel to inspect Hyperforin's predicted pIC</w:t>
      </w:r>
      <w:r>
        <w:rPr>
          <w:vertAlign w:val="subscript"/>
        </w:rPr>
        <w:t>50</w:t>
      </w:r>
      <w:r>
        <w:t xml:space="preserve"> potencies across all six targets. Note the automated Mechanism Check alert, which warns that St. John's Wort's clinical exposure drop is driven by PXR transcriptional induction rather than in-vitro competitive inhibition.</w:t>
      </w:r>
    </w:p>
    <w:p w14:paraId="365115B4" w14:textId="77777777" w:rsidR="008A5109" w:rsidRDefault="00000000">
      <w:pPr>
        <w:jc w:val="both"/>
      </w:pPr>
      <w:r>
        <w:t>2. Publication deduplication: Enable 'Demonstrate duplicate-citation handling'. The interface deliberately repeats an existing catalog record; the unique-publication count and retained findings do not increase. This demonstrates duplicate handling, not full review-echo detection or clinical independence.</w:t>
      </w:r>
    </w:p>
    <w:p w14:paraId="5FBA6937" w14:textId="77777777" w:rsidR="008A5109" w:rsidRDefault="00000000">
      <w:pPr>
        <w:jc w:val="both"/>
      </w:pPr>
      <w:r>
        <w:t>3. Echinacea + Digoxin (The Negative Finding): Select Echinacea with Digoxin. Observe the documented human trial reporting no statistically significant change in drug exposure, alongside an explicit note that this represents a study-specific observation rather than a blanket clinical safety guarantee.</w:t>
      </w:r>
    </w:p>
    <w:p w14:paraId="0D63401F" w14:textId="77777777" w:rsidR="008A5109" w:rsidRDefault="00000000">
      <w:pPr>
        <w:jc w:val="both"/>
      </w:pPr>
      <w:r>
        <w:t>4. Turmeric and digoxin: Inspect live curcumin assay estimates and the explicit absence of matching human evidence in this small catalog. Catalog absence does not establish that no trial exists elsewhere or that the combination is safe.</w:t>
      </w:r>
    </w:p>
    <w:p w14:paraId="339F9046" w14:textId="77777777" w:rsidR="008A5109" w:rsidRDefault="00000000">
      <w:pPr>
        <w:jc w:val="both"/>
      </w:pPr>
      <w:r>
        <w:t>5. Audit export: Open the 'Explanation &amp; audit' tab and use 'Download this screening report'. The JSON records sources, the catalog hash, estimates and missing requirements; it is not a cryptographically authenticated clinical approval.</w:t>
      </w:r>
    </w:p>
    <w:p w14:paraId="0B6E8AF3" w14:textId="77777777" w:rsidR="008A5109" w:rsidRDefault="00000000">
      <w:pPr>
        <w:pStyle w:val="Heading2"/>
      </w:pPr>
      <w:bookmarkStart w:id="50" w:name="hdi_ref_38"/>
      <w:r>
        <w:rPr>
          <w:rFonts w:ascii="Times New Roman" w:hAnsi="Times New Roman"/>
        </w:rPr>
        <w:t>A.3 Artifact and evidence trace</w:t>
      </w:r>
      <w:bookmarkEnd w:id="50"/>
    </w:p>
    <w:p w14:paraId="2AD544A0" w14:textId="77777777" w:rsidR="008A5109" w:rsidRDefault="00000000">
      <w:pPr>
        <w:jc w:val="both"/>
      </w:pPr>
      <w:r>
        <w:t>Completed experiments store the following artifacts locally under artifacts/assay. A new training run requires a new output directory; existing model directories are not overwritten.</w:t>
      </w:r>
    </w:p>
    <w:p w14:paraId="52B67861" w14:textId="77777777" w:rsidR="008A5109" w:rsidRDefault="00000000">
      <w:pPr>
        <w:jc w:val="both"/>
      </w:pPr>
      <w:r>
        <w:t>• model.joblib: The serialized scikit-learn model bundles containing the fitted target regressors and conformal calibration quantiles.</w:t>
      </w:r>
    </w:p>
    <w:p w14:paraId="3D34FB4D" w14:textId="77777777" w:rsidR="008A5109" w:rsidRDefault="00000000">
      <w:pPr>
        <w:jc w:val="both"/>
      </w:pPr>
      <w:r>
        <w:t>• config.json: Complete hyperparameter specifications, random seeds, and split regimes.</w:t>
      </w:r>
    </w:p>
    <w:p w14:paraId="34999F8D" w14:textId="77777777" w:rsidR="008A5109" w:rsidRDefault="00000000">
      <w:pPr>
        <w:jc w:val="both"/>
      </w:pPr>
      <w:r>
        <w:t>• samples.csv and record_roles.csv: Explicit mappings binding each ChEMBL activity ID and standardized structure to its assigned role (train, validation, calibration, or test).</w:t>
      </w:r>
    </w:p>
    <w:p w14:paraId="048AB141" w14:textId="77777777" w:rsidR="008A5109" w:rsidRDefault="00000000">
      <w:pPr>
        <w:jc w:val="both"/>
      </w:pPr>
      <w:r>
        <w:t>• excluded_records.csv and purged_records.csv: Records rejected by the declared screening rules and measurements removed during cross-role structure purging. Repeated measurements are aggregated, not automatically discarded as duplicate evidence.</w:t>
      </w:r>
    </w:p>
    <w:p w14:paraId="57BEB399" w14:textId="77777777" w:rsidR="008A5109" w:rsidRDefault="00000000">
      <w:pPr>
        <w:jc w:val="both"/>
      </w:pPr>
      <w:r>
        <w:lastRenderedPageBreak/>
        <w:t>• test_predictions.csv: Observed assay endpoints and predictions for all declared models; interval endpoints are populated for the selected model.</w:t>
      </w:r>
    </w:p>
    <w:p w14:paraId="49FCDC22" w14:textId="77777777" w:rsidR="008A5109" w:rsidRDefault="00000000">
      <w:pPr>
        <w:jc w:val="both"/>
      </w:pPr>
      <w:r>
        <w:t>• report.json and report.md: Full machine-readable and human-readable evaluation summaries, including R</w:t>
      </w:r>
      <w:r>
        <w:rPr>
          <w:vertAlign w:val="superscript"/>
        </w:rPr>
        <w:t>2</w:t>
      </w:r>
      <w:r>
        <w:t>, MAE, RMSE, and empirical interval coverage.</w:t>
      </w:r>
    </w:p>
    <w:p w14:paraId="0495DF3E" w14:textId="77777777" w:rsidR="008A5109" w:rsidRDefault="00000000">
      <w:pPr>
        <w:pStyle w:val="Heading2"/>
      </w:pPr>
      <w:bookmarkStart w:id="51" w:name="hdi_ref_39"/>
      <w:r>
        <w:rPr>
          <w:rFonts w:ascii="Times New Roman" w:hAnsi="Times New Roman"/>
        </w:rPr>
        <w:t>A.4 Interpretation of the exposure sensitivity control</w:t>
      </w:r>
      <w:bookmarkEnd w:id="51"/>
    </w:p>
    <w:p w14:paraId="04A20DAA" w14:textId="77777777" w:rsidR="008A5109" w:rsidRDefault="00000000">
      <w:pPr>
        <w:jc w:val="both"/>
      </w:pPr>
      <w:r>
        <w:t>The turmeric interface has an optional numeric input for an assumed unbound constituent concentration in micromolar units. The descriptive exposure-to-potency ratio below divides this assumption by model-implied IC</w:t>
      </w:r>
      <w:r>
        <w:rPr>
          <w:vertAlign w:val="subscript"/>
        </w:rPr>
        <w:t>50</w:t>
      </w:r>
      <w:r>
        <w:t>. Its range follows the assay interval. This is not a measured patient concentration, receptor occupancy, an AUC prediction, a regulatory decision threshold or a complete M12 calculation. The control is disabled for the induction-marked St John's wort branch.</w:t>
      </w:r>
    </w:p>
    <w:p w14:paraId="57F2F8D1" w14:textId="77777777" w:rsidR="008A5109" w:rsidRDefault="00000000">
      <w:pPr>
        <w:keepLines/>
        <w:tabs>
          <w:tab w:val="center" w:pos="4493"/>
          <w:tab w:val="center" w:pos="4493"/>
          <w:tab w:val="center" w:pos="4493"/>
          <w:tab w:val="right" w:pos="9000"/>
          <w:tab w:val="right" w:pos="9000"/>
          <w:tab w:val="right" w:pos="9000"/>
        </w:tabs>
        <w:spacing w:before="60" w:after="80" w:line="276" w:lineRule="auto"/>
      </w:pPr>
      <w:r>
        <w:rPr>
          <w:sz w:val="22"/>
        </w:rPr>
        <w:tab/>
      </w:r>
      <m:oMath>
        <m:r>
          <m:rPr>
            <m:sty m:val="p"/>
          </m:rPr>
          <w:rPr>
            <w:rFonts w:ascii="DejaVu Math TeX Gyre" w:hAnsi="DejaVu Math TeX Gyre"/>
          </w:rPr>
          <m:t>r</m:t>
        </m:r>
        <m:r>
          <w:rPr>
            <w:rFonts w:ascii="DejaVu Math TeX Gyre" w:hAnsi="DejaVu Math TeX Gyre"/>
          </w:rPr>
          <m:t xml:space="preserve"> = </m:t>
        </m:r>
        <m:f>
          <m:fPr>
            <m:ctrlPr>
              <w:rPr>
                <w:rFonts w:ascii="DejaVu Math TeX Gyre" w:hAnsi="DejaVu Math TeX Gyre"/>
              </w:rPr>
            </m:ctrlPr>
          </m:fPr>
          <m:num>
            <m:sSub>
              <m:sSubPr>
                <m:ctrlPr>
                  <w:rPr>
                    <w:rFonts w:ascii="DejaVu Math TeX Gyre" w:hAnsi="DejaVu Math TeX Gyre"/>
                  </w:rPr>
                </m:ctrlPr>
              </m:sSubPr>
              <m:e>
                <m:r>
                  <w:rPr>
                    <w:rFonts w:ascii="DejaVu Math TeX Gyre" w:hAnsi="DejaVu Math TeX Gyre"/>
                  </w:rPr>
                  <m:t>I</m:t>
                </m:r>
              </m:e>
              <m:sub>
                <m:r>
                  <m:rPr>
                    <m:sty m:val="p"/>
                  </m:rPr>
                  <w:rPr>
                    <w:rFonts w:ascii="DejaVu Math TeX Gyre" w:hAnsi="DejaVu Math TeX Gyre"/>
                  </w:rPr>
                  <m:t>u</m:t>
                </m:r>
              </m:sub>
            </m:sSub>
          </m:num>
          <m:den>
            <m:sSub>
              <m:sSubPr>
                <m:ctrlPr>
                  <w:rPr>
                    <w:rFonts w:ascii="DejaVu Math TeX Gyre" w:hAnsi="DejaVu Math TeX Gyre"/>
                  </w:rPr>
                </m:ctrlPr>
              </m:sSubPr>
              <m:e>
                <m:acc>
                  <m:accPr>
                    <m:ctrlPr>
                      <w:rPr>
                        <w:rFonts w:ascii="DejaVu Math TeX Gyre" w:hAnsi="DejaVu Math TeX Gyre"/>
                      </w:rPr>
                    </m:ctrlPr>
                  </m:accPr>
                  <m:e>
                    <m:r>
                      <m:rPr>
                        <m:sty m:val="p"/>
                      </m:rPr>
                      <w:rPr>
                        <w:rFonts w:ascii="DejaVu Math TeX Gyre" w:hAnsi="DejaVu Math TeX Gyre"/>
                      </w:rPr>
                      <m:t>IC</m:t>
                    </m:r>
                  </m:e>
                </m:acc>
              </m:e>
              <m:sub>
                <m:r>
                  <w:rPr>
                    <w:rFonts w:ascii="DejaVu Math TeX Gyre" w:hAnsi="DejaVu Math TeX Gyre"/>
                  </w:rPr>
                  <m:t>50</m:t>
                </m:r>
              </m:sub>
            </m:sSub>
          </m:den>
        </m:f>
        <m:r>
          <w:rPr>
            <w:rFonts w:ascii="DejaVu Math TeX Gyre" w:hAnsi="DejaVu Math TeX Gyre"/>
          </w:rPr>
          <m:t xml:space="preserve">,   </m:t>
        </m:r>
        <m:sSub>
          <m:sSubPr>
            <m:ctrlPr>
              <w:rPr>
                <w:rFonts w:ascii="DejaVu Math TeX Gyre" w:hAnsi="DejaVu Math TeX Gyre"/>
              </w:rPr>
            </m:ctrlPr>
          </m:sSubPr>
          <m:e>
            <m:acc>
              <m:accPr>
                <m:ctrlPr>
                  <w:rPr>
                    <w:rFonts w:ascii="DejaVu Math TeX Gyre" w:hAnsi="DejaVu Math TeX Gyre"/>
                  </w:rPr>
                </m:ctrlPr>
              </m:accPr>
              <m:e>
                <m:r>
                  <m:rPr>
                    <m:sty m:val="p"/>
                  </m:rPr>
                  <w:rPr>
                    <w:rFonts w:ascii="DejaVu Math TeX Gyre" w:hAnsi="DejaVu Math TeX Gyre"/>
                  </w:rPr>
                  <m:t>IC</m:t>
                </m:r>
              </m:e>
            </m:acc>
          </m:e>
          <m:sub>
            <m:r>
              <w:rPr>
                <w:rFonts w:ascii="DejaVu Math TeX Gyre" w:hAnsi="DejaVu Math TeX Gyre"/>
              </w:rPr>
              <m:t>50</m:t>
            </m:r>
          </m:sub>
        </m:sSub>
        <m:r>
          <w:rPr>
            <w:rFonts w:ascii="DejaVu Math TeX Gyre" w:hAnsi="DejaVu Math TeX Gyre"/>
          </w:rPr>
          <m:t xml:space="preserve"> = </m:t>
        </m:r>
        <m:sSup>
          <m:sSupPr>
            <m:ctrlPr>
              <w:rPr>
                <w:rFonts w:ascii="DejaVu Math TeX Gyre" w:hAnsi="DejaVu Math TeX Gyre"/>
              </w:rPr>
            </m:ctrlPr>
          </m:sSupPr>
          <m:e>
            <m:r>
              <w:rPr>
                <w:rFonts w:ascii="DejaVu Math TeX Gyre" w:hAnsi="DejaVu Math TeX Gyre"/>
              </w:rPr>
              <m:t>10</m:t>
            </m:r>
          </m:e>
          <m:sup>
            <m:r>
              <w:rPr>
                <w:rFonts w:ascii="DejaVu Math TeX Gyre" w:hAnsi="DejaVu Math TeX Gyre"/>
              </w:rPr>
              <m:t xml:space="preserve">6 - </m:t>
            </m:r>
            <m:acc>
              <m:accPr>
                <m:ctrlPr>
                  <w:rPr>
                    <w:rFonts w:ascii="DejaVu Math TeX Gyre" w:hAnsi="DejaVu Math TeX Gyre"/>
                  </w:rPr>
                </m:ctrlPr>
              </m:accPr>
              <m:e>
                <m:r>
                  <w:rPr>
                    <w:rFonts w:ascii="DejaVu Math TeX Gyre" w:hAnsi="DejaVu Math TeX Gyre"/>
                  </w:rPr>
                  <m:t>y</m:t>
                </m:r>
              </m:e>
            </m:acc>
          </m:sup>
        </m:sSup>
        <m:r>
          <m:rPr>
            <m:sty m:val="p"/>
          </m:rPr>
          <w:rPr>
            <w:rFonts w:ascii="DejaVu Math TeX Gyre" w:hAnsi="DejaVu Math TeX Gyre"/>
          </w:rPr>
          <m:t xml:space="preserve"> µM</m:t>
        </m:r>
      </m:oMath>
      <w:r>
        <w:rPr>
          <w:sz w:val="22"/>
        </w:rPr>
        <w:tab/>
        <w:t>(A.1)</w:t>
      </w:r>
    </w:p>
    <w:sectPr w:rsidR="008A5109" w:rsidSect="00034616">
      <w:type w:val="nextPage"/>
      <w:footerReference w:type="default" r:id="rId14"/>
      <w:pgSz w:w="12240" w:h="15840"/>
      <w:pgMar w:top="1224" w:right="1224" w:bottom="1152" w:left="1728" w:header="720" w:footer="720" w:gutter="0"/>
      <w:cols w:space="720"/>
      <w:docGrid w:linePitch="360"/>
      <w:pgNumType w:fmt="decimal"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40F0280" w14:textId="77777777" w:rsidR="00EC71AB" w:rsidRDefault="00EC71AB">
      <w:pPr>
        <w:spacing w:after="0" w:line="240" w:lineRule="auto"/>
      </w:pPr>
      <w:r>
        <w:separator/>
      </w:r>
    </w:p>
  </w:endnote>
  <w:endnote w:type="continuationSeparator" w:id="0">
    <w:p w14:paraId="71B4EB68" w14:textId="77777777" w:rsidR="00EC71AB" w:rsidRDefault="00EC71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0A3208D" w14:textId="77777777" w:rsidR="008A5109" w:rsidRDefault="00000000">
    <w:pPr>
      <w:pStyle w:val="Footer"/>
      <w:jc w:val="center"/>
    </w:pP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9062B10" w14:textId="77777777" w:rsidR="00EC71AB" w:rsidRDefault="00EC71AB">
      <w:pPr>
        <w:spacing w:after="0" w:line="240" w:lineRule="auto"/>
      </w:pPr>
      <w:r>
        <w:separator/>
      </w:r>
    </w:p>
  </w:footnote>
  <w:footnote w:type="continuationSeparator" w:id="0">
    <w:p w14:paraId="6199B99D" w14:textId="77777777" w:rsidR="00EC71AB" w:rsidRDefault="00EC71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97145447">
    <w:abstractNumId w:val="8"/>
  </w:num>
  <w:num w:numId="2" w16cid:durableId="1752967117">
    <w:abstractNumId w:val="6"/>
  </w:num>
  <w:num w:numId="3" w16cid:durableId="439104592">
    <w:abstractNumId w:val="5"/>
  </w:num>
  <w:num w:numId="4" w16cid:durableId="539249338">
    <w:abstractNumId w:val="4"/>
  </w:num>
  <w:num w:numId="5" w16cid:durableId="2052261583">
    <w:abstractNumId w:val="7"/>
  </w:num>
  <w:num w:numId="6" w16cid:durableId="698898667">
    <w:abstractNumId w:val="3"/>
  </w:num>
  <w:num w:numId="7" w16cid:durableId="32852526">
    <w:abstractNumId w:val="2"/>
  </w:num>
  <w:num w:numId="8" w16cid:durableId="573246876">
    <w:abstractNumId w:val="1"/>
  </w:num>
  <w:num w:numId="9" w16cid:durableId="88907147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440D1"/>
    <w:rsid w:val="006F1CC7"/>
    <w:rsid w:val="007D3512"/>
    <w:rsid w:val="008A5109"/>
    <w:rsid w:val="009020FD"/>
    <w:rsid w:val="00AA1D8D"/>
    <w:rsid w:val="00B47730"/>
    <w:rsid w:val="00CB0664"/>
    <w:rsid w:val="00EC71AB"/>
    <w:rsid w:val="00F9123E"/>
    <w:rsid w:val="00FC693F"/>
  </w:rsids>
  <m:mathPr>
    <m:mathFont m:val="DejaVu Math TeX Gyre"/>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CB21AB"/>
  <w14:defaultImageDpi w14:val="300"/>
  <w15:docId w15:val="{72023F7C-6A4B-ED40-B5A9-D65F657045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360" w:lineRule="auto"/>
    </w:pPr>
    <w:rPr>
      <w:rFonts w:ascii="Times New Roman" w:eastAsia="Times New Roman" w:hAnsi="Times New Roman" w:cs="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 Id="rId17" Type="http://schemas.openxmlformats.org/officeDocument/2006/relationships/image" Target="media/image7.png"/><Relationship Id="rId18" Type="http://schemas.openxmlformats.org/officeDocument/2006/relationships/image" Target="media/image8.jpg"/><Relationship Id="rId19" Type="http://schemas.openxmlformats.org/officeDocument/2006/relationships/image" Target="media/image9.png"/><Relationship Id="rId20" Type="http://schemas.openxmlformats.org/officeDocument/2006/relationships/footer" Target="footer2.xml"/><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32</Pages>
  <Words>7468</Words>
  <Characters>42570</Characters>
  <Application>Microsoft Office Word</Application>
  <DocSecurity>0</DocSecurity>
  <Lines>354</Lines>
  <Paragraphs>99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49939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Aditi Sharma</cp:lastModifiedBy>
  <cp:revision>3</cp:revision>
  <cp:lastPrinted>2026-10-30T13:47:00Z</cp:lastPrinted>
  <dcterms:created xsi:type="dcterms:W3CDTF">2013-12-23T23:15:00Z</dcterms:created>
  <dcterms:modified xsi:type="dcterms:W3CDTF">2026-10-30T13:50:00Z</dcterms:modified>
  <cp:category/>
</cp:coreProperties>
</file>