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F018" w14:textId="057FBF33" w:rsidR="000A3E38" w:rsidRPr="00BE5193" w:rsidRDefault="000A3E38" w:rsidP="000A3E38">
      <w:pPr>
        <w:rPr>
          <w:rFonts w:asciiTheme="majorHAnsi" w:hAnsiTheme="majorHAnsi" w:cstheme="majorHAnsi"/>
          <w:b/>
          <w:bCs/>
          <w:sz w:val="22"/>
          <w:szCs w:val="22"/>
        </w:rPr>
      </w:pPr>
      <w:r w:rsidRPr="00BE5193">
        <w:rPr>
          <w:rFonts w:asciiTheme="majorHAnsi" w:hAnsiTheme="majorHAnsi" w:cstheme="majorHAnsi"/>
          <w:b/>
          <w:bCs/>
          <w:sz w:val="22"/>
          <w:szCs w:val="22"/>
        </w:rPr>
        <w:t xml:space="preserve">CUSTOMER CHURN RESEARCH PAPER </w:t>
      </w:r>
      <w:r w:rsidR="005A4A74" w:rsidRPr="00BE5193">
        <w:rPr>
          <w:rFonts w:asciiTheme="majorHAnsi" w:hAnsiTheme="majorHAnsi" w:cstheme="majorHAnsi"/>
          <w:b/>
          <w:bCs/>
          <w:sz w:val="22"/>
          <w:szCs w:val="22"/>
        </w:rPr>
        <w:t xml:space="preserve">                          </w:t>
      </w:r>
    </w:p>
    <w:p w14:paraId="2F878317" w14:textId="77777777" w:rsidR="000A3E38" w:rsidRPr="009B6E87" w:rsidRDefault="006C3E07" w:rsidP="000A3E38">
      <w:pPr>
        <w:rPr>
          <w:rFonts w:ascii="Arial" w:hAnsi="Arial" w:cs="Arial"/>
        </w:rPr>
      </w:pPr>
      <w:r>
        <w:rPr>
          <w:rFonts w:ascii="Arial" w:hAnsi="Arial" w:cs="Arial"/>
        </w:rPr>
        <w:pict w14:anchorId="26D92C62">
          <v:rect id="_x0000_i1025" style="width:0;height:1.5pt" o:hralign="center" o:hrstd="t" o:hr="t" fillcolor="#a0a0a0" stroked="f"/>
        </w:pict>
      </w:r>
    </w:p>
    <w:p w14:paraId="7CBCCFEF" w14:textId="7C82E67E" w:rsidR="00CE4EFA" w:rsidRDefault="000A3E38" w:rsidP="00CE4EFA">
      <w:pPr>
        <w:rPr>
          <w:rFonts w:ascii="Arial" w:hAnsi="Arial" w:cs="Arial"/>
          <w:b/>
          <w:bCs/>
        </w:rPr>
      </w:pPr>
      <w:r w:rsidRPr="009B6E87">
        <w:rPr>
          <w:rFonts w:ascii="Arial" w:hAnsi="Arial" w:cs="Arial"/>
          <w:b/>
          <w:bCs/>
        </w:rPr>
        <w:t>1.</w:t>
      </w:r>
      <w:r w:rsidR="003A26B7" w:rsidRPr="003A26B7">
        <w:t xml:space="preserve"> </w:t>
      </w:r>
      <w:r w:rsidR="003A26B7">
        <w:t xml:space="preserve"> </w:t>
      </w:r>
      <w:r w:rsidR="003A26B7" w:rsidRPr="003A26B7">
        <w:rPr>
          <w:rFonts w:ascii="Arial" w:hAnsi="Arial" w:cs="Arial"/>
          <w:b/>
          <w:bCs/>
        </w:rPr>
        <w:t>Abstract</w:t>
      </w:r>
    </w:p>
    <w:p w14:paraId="2FCA9220" w14:textId="6812AB55" w:rsidR="003A26B7" w:rsidRDefault="002929F4" w:rsidP="00CE4EFA">
      <w:pPr>
        <w:rPr>
          <w:rFonts w:ascii="Arial" w:hAnsi="Arial" w:cs="Arial"/>
        </w:rPr>
      </w:pPr>
      <w:r>
        <w:rPr>
          <w:rFonts w:ascii="Arial" w:hAnsi="Arial" w:cs="Arial"/>
        </w:rPr>
        <w:t xml:space="preserve">   </w:t>
      </w:r>
      <w:r w:rsidRPr="002929F4">
        <w:rPr>
          <w:rFonts w:ascii="Arial" w:hAnsi="Arial" w:cs="Arial"/>
        </w:rPr>
        <w:t>Customer churn is a major challenge in the banking industry, directly affecting profitability and long-term growth. This study analy</w:t>
      </w:r>
      <w:r>
        <w:rPr>
          <w:rFonts w:ascii="Arial" w:hAnsi="Arial" w:cs="Arial"/>
        </w:rPr>
        <w:t>s</w:t>
      </w:r>
      <w:r w:rsidRPr="002929F4">
        <w:rPr>
          <w:rFonts w:ascii="Arial" w:hAnsi="Arial" w:cs="Arial"/>
        </w:rPr>
        <w:t>es customer behavio</w:t>
      </w:r>
      <w:r>
        <w:rPr>
          <w:rFonts w:ascii="Arial" w:hAnsi="Arial" w:cs="Arial"/>
        </w:rPr>
        <w:t>u</w:t>
      </w:r>
      <w:r w:rsidRPr="002929F4">
        <w:rPr>
          <w:rFonts w:ascii="Arial" w:hAnsi="Arial" w:cs="Arial"/>
        </w:rPr>
        <w:t>r using a structured banking dataset to identify patterns associated with churn. The research focuses on demographic, financial, and engagement-related attributes such as age, balance, credit score, geography, and customer activity.</w:t>
      </w:r>
    </w:p>
    <w:p w14:paraId="6FF89CEE" w14:textId="398A3A7E" w:rsidR="000A3E38" w:rsidRPr="009B6E87" w:rsidRDefault="007F18CD" w:rsidP="007F18CD">
      <w:pPr>
        <w:rPr>
          <w:rFonts w:ascii="Arial" w:hAnsi="Arial" w:cs="Arial"/>
        </w:rPr>
      </w:pPr>
      <w:r w:rsidRPr="007F18CD">
        <w:rPr>
          <w:rFonts w:ascii="Arial" w:hAnsi="Arial" w:cs="Arial"/>
        </w:rPr>
        <w:t>The study reveals that churn is strongly influenced by customer inactivity, geographical differences, and financial risk indicators. High-balance customers and inactive users show significantly higher churn probability. The findings provide actionable insights for building retention strategies, improving customer engagement, and reducing revenue loss.</w:t>
      </w:r>
    </w:p>
    <w:p w14:paraId="2FA95444" w14:textId="77777777" w:rsidR="000A3E38" w:rsidRPr="009B6E87" w:rsidRDefault="006C3E07" w:rsidP="000A3E38">
      <w:pPr>
        <w:rPr>
          <w:rFonts w:ascii="Arial" w:hAnsi="Arial" w:cs="Arial"/>
        </w:rPr>
      </w:pPr>
      <w:r>
        <w:rPr>
          <w:rFonts w:ascii="Arial" w:hAnsi="Arial" w:cs="Arial"/>
        </w:rPr>
        <w:pict w14:anchorId="32210C7F">
          <v:rect id="_x0000_i1026" style="width:0;height:1.5pt" o:hralign="center" o:hrstd="t" o:hr="t" fillcolor="#a0a0a0" stroked="f"/>
        </w:pict>
      </w:r>
    </w:p>
    <w:p w14:paraId="0E128DA5" w14:textId="2C39CC89" w:rsidR="000A3E38" w:rsidRPr="009B6E87" w:rsidRDefault="007F18CD" w:rsidP="000A3E38">
      <w:pPr>
        <w:rPr>
          <w:rFonts w:ascii="Arial" w:hAnsi="Arial" w:cs="Arial"/>
          <w:b/>
          <w:bCs/>
        </w:rPr>
      </w:pPr>
      <w:r>
        <w:rPr>
          <w:rFonts w:ascii="Arial" w:hAnsi="Arial" w:cs="Arial"/>
          <w:b/>
          <w:bCs/>
        </w:rPr>
        <w:t>2</w:t>
      </w:r>
      <w:r w:rsidR="000A3E38" w:rsidRPr="009B6E87">
        <w:rPr>
          <w:rFonts w:ascii="Arial" w:hAnsi="Arial" w:cs="Arial"/>
          <w:b/>
          <w:bCs/>
        </w:rPr>
        <w:t>. Introduction</w:t>
      </w:r>
    </w:p>
    <w:p w14:paraId="3C509FBB" w14:textId="77777777" w:rsidR="00C81524" w:rsidRPr="009B6E87" w:rsidRDefault="00C81524" w:rsidP="00C81524">
      <w:pPr>
        <w:spacing w:after="160" w:line="259" w:lineRule="auto"/>
        <w:rPr>
          <w:rFonts w:ascii="Arial" w:hAnsi="Arial" w:cs="Arial"/>
        </w:rPr>
      </w:pPr>
      <w:r w:rsidRPr="009B6E87">
        <w:rPr>
          <w:rFonts w:ascii="Arial" w:hAnsi="Arial" w:cs="Arial"/>
        </w:rPr>
        <w:t>Customer churn refers to the situation when a customer stops using a company’s services. In the banking sector, churn occurs when customers close their accounts or stop actively using banking services.</w:t>
      </w:r>
    </w:p>
    <w:p w14:paraId="7C0CA34B" w14:textId="77777777" w:rsidR="00C81524" w:rsidRPr="009B6E87" w:rsidRDefault="00C81524" w:rsidP="00C81524">
      <w:pPr>
        <w:spacing w:after="160" w:line="259" w:lineRule="auto"/>
        <w:rPr>
          <w:rFonts w:ascii="Arial" w:hAnsi="Arial" w:cs="Arial"/>
        </w:rPr>
      </w:pPr>
      <w:r w:rsidRPr="009B6E87">
        <w:rPr>
          <w:rFonts w:ascii="Arial" w:hAnsi="Arial" w:cs="Arial"/>
        </w:rPr>
        <w:t>Churn is critically important because acquiring new customers is significantly more expensive than retaining existing ones. Even a small increase in retention can lead to a substantial rise in profitability.</w:t>
      </w:r>
    </w:p>
    <w:p w14:paraId="7AC9E895" w14:textId="77777777" w:rsidR="00C145E2" w:rsidRDefault="00C81524" w:rsidP="00C145E2">
      <w:pPr>
        <w:spacing w:after="160" w:line="259" w:lineRule="auto"/>
        <w:rPr>
          <w:rFonts w:ascii="Arial" w:hAnsi="Arial" w:cs="Arial"/>
        </w:rPr>
      </w:pPr>
      <w:r w:rsidRPr="009B6E87">
        <w:rPr>
          <w:rFonts w:ascii="Arial" w:hAnsi="Arial" w:cs="Arial"/>
        </w:rPr>
        <w:t>In banking, churn leads to:</w:t>
      </w:r>
    </w:p>
    <w:p w14:paraId="63936DA4" w14:textId="4159C7A0" w:rsidR="00C81524" w:rsidRPr="004B7D15" w:rsidRDefault="00C81524" w:rsidP="004B7D15">
      <w:pPr>
        <w:pStyle w:val="ListParagraph"/>
        <w:numPr>
          <w:ilvl w:val="0"/>
          <w:numId w:val="14"/>
        </w:numPr>
        <w:spacing w:after="160" w:line="259" w:lineRule="auto"/>
        <w:rPr>
          <w:rFonts w:ascii="Arial" w:hAnsi="Arial" w:cs="Arial"/>
        </w:rPr>
      </w:pPr>
      <w:r w:rsidRPr="004B7D15">
        <w:rPr>
          <w:rFonts w:ascii="Arial" w:hAnsi="Arial" w:cs="Arial"/>
        </w:rPr>
        <w:t xml:space="preserve">Loss of revenue from inactive accounts </w:t>
      </w:r>
    </w:p>
    <w:p w14:paraId="29E22AC2" w14:textId="77777777" w:rsidR="00C81524" w:rsidRPr="009B6E87" w:rsidRDefault="00C81524" w:rsidP="00C81524">
      <w:pPr>
        <w:numPr>
          <w:ilvl w:val="0"/>
          <w:numId w:val="14"/>
        </w:numPr>
        <w:spacing w:after="160" w:line="259" w:lineRule="auto"/>
        <w:rPr>
          <w:rFonts w:ascii="Arial" w:hAnsi="Arial" w:cs="Arial"/>
        </w:rPr>
      </w:pPr>
      <w:r w:rsidRPr="009B6E87">
        <w:rPr>
          <w:rFonts w:ascii="Arial" w:hAnsi="Arial" w:cs="Arial"/>
        </w:rPr>
        <w:t xml:space="preserve">Reduced customer lifetime value </w:t>
      </w:r>
    </w:p>
    <w:p w14:paraId="648F29D1" w14:textId="77777777" w:rsidR="00C81524" w:rsidRPr="009B6E87" w:rsidRDefault="00C81524" w:rsidP="00C81524">
      <w:pPr>
        <w:numPr>
          <w:ilvl w:val="0"/>
          <w:numId w:val="14"/>
        </w:numPr>
        <w:spacing w:after="160" w:line="259" w:lineRule="auto"/>
        <w:rPr>
          <w:rFonts w:ascii="Arial" w:hAnsi="Arial" w:cs="Arial"/>
        </w:rPr>
      </w:pPr>
      <w:r w:rsidRPr="009B6E87">
        <w:rPr>
          <w:rFonts w:ascii="Arial" w:hAnsi="Arial" w:cs="Arial"/>
        </w:rPr>
        <w:t xml:space="preserve">Increased marketing and acquisition costs </w:t>
      </w:r>
    </w:p>
    <w:p w14:paraId="634432DB" w14:textId="6A26B94F" w:rsidR="00C81524" w:rsidRPr="009B6E87" w:rsidRDefault="00C81524" w:rsidP="00C81524">
      <w:pPr>
        <w:spacing w:after="160" w:line="259" w:lineRule="auto"/>
        <w:rPr>
          <w:rFonts w:ascii="Arial" w:hAnsi="Arial" w:cs="Arial"/>
        </w:rPr>
      </w:pPr>
      <w:r w:rsidRPr="009B6E87">
        <w:rPr>
          <w:rFonts w:ascii="Arial" w:hAnsi="Arial" w:cs="Arial"/>
        </w:rPr>
        <w:t>Understanding churn behavio</w:t>
      </w:r>
      <w:r w:rsidR="00FD015B" w:rsidRPr="009B6E87">
        <w:rPr>
          <w:rFonts w:ascii="Arial" w:hAnsi="Arial" w:cs="Arial"/>
        </w:rPr>
        <w:t>u</w:t>
      </w:r>
      <w:r w:rsidRPr="009B6E87">
        <w:rPr>
          <w:rFonts w:ascii="Arial" w:hAnsi="Arial" w:cs="Arial"/>
        </w:rPr>
        <w:t>r helps banks design better retention strategies and improve customer satisfaction.</w:t>
      </w:r>
    </w:p>
    <w:p w14:paraId="1E477BEF" w14:textId="77777777" w:rsidR="000A3E38" w:rsidRPr="009B6E87" w:rsidRDefault="006C3E07" w:rsidP="000A3E38">
      <w:pPr>
        <w:rPr>
          <w:rFonts w:ascii="Arial" w:hAnsi="Arial" w:cs="Arial"/>
        </w:rPr>
      </w:pPr>
      <w:r>
        <w:rPr>
          <w:rFonts w:ascii="Arial" w:hAnsi="Arial" w:cs="Arial"/>
        </w:rPr>
        <w:pict w14:anchorId="38E9204E">
          <v:rect id="_x0000_i1027" style="width:0;height:1.5pt" o:hralign="center" o:hrstd="t" o:hr="t" fillcolor="#a0a0a0" stroked="f"/>
        </w:pict>
      </w:r>
    </w:p>
    <w:p w14:paraId="376A3A32" w14:textId="641F7496"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w:t>
      </w:r>
      <w:r w:rsidR="004B7D15">
        <w:rPr>
          <w:rFonts w:ascii="Arial" w:hAnsi="Arial" w:cs="Arial"/>
          <w:b/>
          <w:bCs/>
        </w:rPr>
        <w:t>3</w:t>
      </w:r>
      <w:r w:rsidRPr="009B6E87">
        <w:rPr>
          <w:rFonts w:ascii="Arial" w:hAnsi="Arial" w:cs="Arial"/>
          <w:b/>
          <w:bCs/>
        </w:rPr>
        <w:t xml:space="preserve">. Dataset Overview </w:t>
      </w:r>
    </w:p>
    <w:p w14:paraId="7682E5E8" w14:textId="77777777" w:rsidR="00A81046" w:rsidRPr="009B6E87" w:rsidRDefault="00A81046" w:rsidP="00A81046">
      <w:pPr>
        <w:spacing w:after="160" w:line="259" w:lineRule="auto"/>
        <w:rPr>
          <w:rFonts w:ascii="Arial" w:hAnsi="Arial" w:cs="Arial"/>
        </w:rPr>
      </w:pPr>
      <w:r w:rsidRPr="009B6E87">
        <w:rPr>
          <w:rFonts w:ascii="Arial" w:hAnsi="Arial" w:cs="Arial"/>
        </w:rPr>
        <w:t>Dataset Description</w:t>
      </w:r>
    </w:p>
    <w:p w14:paraId="3E9F665A" w14:textId="74991F2D" w:rsidR="00451AB7" w:rsidRPr="009B6E87" w:rsidRDefault="00A81046" w:rsidP="00A81046">
      <w:pPr>
        <w:spacing w:after="160" w:line="259" w:lineRule="auto"/>
        <w:rPr>
          <w:rFonts w:ascii="Arial" w:hAnsi="Arial" w:cs="Arial"/>
        </w:rPr>
      </w:pPr>
      <w:r w:rsidRPr="009B6E87">
        <w:rPr>
          <w:rFonts w:ascii="Arial" w:hAnsi="Arial" w:cs="Arial"/>
        </w:rPr>
        <w:t>The dataset contains customer-level banking information used to predict churn beha</w:t>
      </w:r>
      <w:r w:rsidR="00451AB7">
        <w:rPr>
          <w:rFonts w:ascii="Arial" w:hAnsi="Arial" w:cs="Arial"/>
        </w:rPr>
        <w:t>viour</w:t>
      </w:r>
    </w:p>
    <w:p w14:paraId="1C23967C" w14:textId="77777777" w:rsidR="00A81046" w:rsidRPr="009B6E87" w:rsidRDefault="00A81046" w:rsidP="00A81046">
      <w:pPr>
        <w:spacing w:after="160" w:line="259" w:lineRule="auto"/>
        <w:rPr>
          <w:rFonts w:ascii="Arial" w:hAnsi="Arial" w:cs="Arial"/>
        </w:rPr>
      </w:pPr>
      <w:r w:rsidRPr="009B6E87">
        <w:rPr>
          <w:rFonts w:ascii="Arial" w:hAnsi="Arial" w:cs="Arial"/>
        </w:rPr>
        <w:t>Original Features</w:t>
      </w:r>
    </w:p>
    <w:p w14:paraId="1C50D955" w14:textId="4C068C5E"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Customer</w:t>
      </w:r>
      <w:r w:rsidR="00493A78">
        <w:rPr>
          <w:rFonts w:ascii="Arial" w:hAnsi="Arial" w:cs="Arial"/>
        </w:rPr>
        <w:t xml:space="preserve"> </w:t>
      </w:r>
      <w:r w:rsidRPr="009B6E87">
        <w:rPr>
          <w:rFonts w:ascii="Arial" w:hAnsi="Arial" w:cs="Arial"/>
        </w:rPr>
        <w:t>Id</w:t>
      </w:r>
    </w:p>
    <w:p w14:paraId="64AE53E4"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Surname</w:t>
      </w:r>
    </w:p>
    <w:p w14:paraId="0ED52CA5" w14:textId="3243D3B5"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Credit</w:t>
      </w:r>
      <w:r w:rsidR="00493A78">
        <w:rPr>
          <w:rFonts w:ascii="Arial" w:hAnsi="Arial" w:cs="Arial"/>
        </w:rPr>
        <w:t xml:space="preserve"> </w:t>
      </w:r>
      <w:r w:rsidRPr="009B6E87">
        <w:rPr>
          <w:rFonts w:ascii="Arial" w:hAnsi="Arial" w:cs="Arial"/>
        </w:rPr>
        <w:t>Score</w:t>
      </w:r>
    </w:p>
    <w:p w14:paraId="231E6F1D"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Geography</w:t>
      </w:r>
    </w:p>
    <w:p w14:paraId="619975B6"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Gender</w:t>
      </w:r>
    </w:p>
    <w:p w14:paraId="5745C093"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Age</w:t>
      </w:r>
    </w:p>
    <w:p w14:paraId="29F9B21A"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Tenure</w:t>
      </w:r>
    </w:p>
    <w:p w14:paraId="6B325C18"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Balance</w:t>
      </w:r>
    </w:p>
    <w:p w14:paraId="0603FDF5" w14:textId="5F3BC8F5"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Num</w:t>
      </w:r>
      <w:r w:rsidR="00493A78">
        <w:rPr>
          <w:rFonts w:ascii="Arial" w:hAnsi="Arial" w:cs="Arial"/>
        </w:rPr>
        <w:t xml:space="preserve"> </w:t>
      </w:r>
      <w:r w:rsidRPr="009B6E87">
        <w:rPr>
          <w:rFonts w:ascii="Arial" w:hAnsi="Arial" w:cs="Arial"/>
        </w:rPr>
        <w:t>O</w:t>
      </w:r>
      <w:r w:rsidR="00EB7108">
        <w:rPr>
          <w:rFonts w:ascii="Arial" w:hAnsi="Arial" w:cs="Arial"/>
        </w:rPr>
        <w:t xml:space="preserve">f </w:t>
      </w:r>
      <w:r w:rsidRPr="009B6E87">
        <w:rPr>
          <w:rFonts w:ascii="Arial" w:hAnsi="Arial" w:cs="Arial"/>
        </w:rPr>
        <w:t>Products</w:t>
      </w:r>
    </w:p>
    <w:p w14:paraId="62324F95" w14:textId="7BC9DE3C"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Has</w:t>
      </w:r>
      <w:r w:rsidR="00EB7108">
        <w:rPr>
          <w:rFonts w:ascii="Arial" w:hAnsi="Arial" w:cs="Arial"/>
        </w:rPr>
        <w:t xml:space="preserve"> </w:t>
      </w:r>
      <w:r w:rsidRPr="009B6E87">
        <w:rPr>
          <w:rFonts w:ascii="Arial" w:hAnsi="Arial" w:cs="Arial"/>
        </w:rPr>
        <w:t>Cr</w:t>
      </w:r>
      <w:r w:rsidR="00EB7108">
        <w:rPr>
          <w:rFonts w:ascii="Arial" w:hAnsi="Arial" w:cs="Arial"/>
        </w:rPr>
        <w:t xml:space="preserve"> </w:t>
      </w:r>
      <w:r w:rsidRPr="009B6E87">
        <w:rPr>
          <w:rFonts w:ascii="Arial" w:hAnsi="Arial" w:cs="Arial"/>
        </w:rPr>
        <w:t>Card</w:t>
      </w:r>
    </w:p>
    <w:p w14:paraId="3F23EE15" w14:textId="13319998"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Is</w:t>
      </w:r>
      <w:r w:rsidR="00EB7108">
        <w:rPr>
          <w:rFonts w:ascii="Arial" w:hAnsi="Arial" w:cs="Arial"/>
        </w:rPr>
        <w:t xml:space="preserve"> </w:t>
      </w:r>
      <w:r w:rsidRPr="009B6E87">
        <w:rPr>
          <w:rFonts w:ascii="Arial" w:hAnsi="Arial" w:cs="Arial"/>
        </w:rPr>
        <w:t>Active</w:t>
      </w:r>
      <w:r w:rsidR="00EB7108">
        <w:rPr>
          <w:rFonts w:ascii="Arial" w:hAnsi="Arial" w:cs="Arial"/>
        </w:rPr>
        <w:t xml:space="preserve"> </w:t>
      </w:r>
      <w:r w:rsidRPr="009B6E87">
        <w:rPr>
          <w:rFonts w:ascii="Arial" w:hAnsi="Arial" w:cs="Arial"/>
        </w:rPr>
        <w:t>Member</w:t>
      </w:r>
    </w:p>
    <w:p w14:paraId="60716522" w14:textId="70DE12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Estimated</w:t>
      </w:r>
      <w:r w:rsidR="00EB7108">
        <w:rPr>
          <w:rFonts w:ascii="Arial" w:hAnsi="Arial" w:cs="Arial"/>
        </w:rPr>
        <w:t xml:space="preserve"> </w:t>
      </w:r>
      <w:r w:rsidRPr="009B6E87">
        <w:rPr>
          <w:rFonts w:ascii="Arial" w:hAnsi="Arial" w:cs="Arial"/>
        </w:rPr>
        <w:t>Salary</w:t>
      </w:r>
    </w:p>
    <w:p w14:paraId="7941AA75" w14:textId="77777777" w:rsidR="00A81046" w:rsidRPr="009B6E87" w:rsidRDefault="00A81046" w:rsidP="00A81046">
      <w:pPr>
        <w:numPr>
          <w:ilvl w:val="0"/>
          <w:numId w:val="15"/>
        </w:numPr>
        <w:spacing w:after="160" w:line="259" w:lineRule="auto"/>
        <w:rPr>
          <w:rFonts w:ascii="Arial" w:hAnsi="Arial" w:cs="Arial"/>
        </w:rPr>
      </w:pPr>
      <w:r w:rsidRPr="009B6E87">
        <w:rPr>
          <w:rFonts w:ascii="Arial" w:hAnsi="Arial" w:cs="Arial"/>
        </w:rPr>
        <w:t>Exited</w:t>
      </w:r>
    </w:p>
    <w:p w14:paraId="7B6390AA" w14:textId="77777777" w:rsidR="00A81046" w:rsidRPr="009B6E87" w:rsidRDefault="00A81046" w:rsidP="000A3E38">
      <w:pPr>
        <w:rPr>
          <w:rFonts w:ascii="Arial" w:hAnsi="Arial" w:cs="Arial"/>
          <w:b/>
          <w:bCs/>
        </w:rPr>
      </w:pPr>
    </w:p>
    <w:p w14:paraId="014756C0" w14:textId="42796416"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Dataset Composition</w:t>
      </w:r>
    </w:p>
    <w:p w14:paraId="3FF539CF" w14:textId="180764A3" w:rsidR="005E60D6" w:rsidRPr="00C54A2A" w:rsidRDefault="000A3E38" w:rsidP="00C54A2A">
      <w:pPr>
        <w:spacing w:after="160" w:line="259" w:lineRule="auto"/>
        <w:rPr>
          <w:rFonts w:ascii="Arial" w:eastAsiaTheme="minorHAnsi" w:hAnsi="Arial" w:cs="Arial"/>
          <w:kern w:val="2"/>
          <w:sz w:val="22"/>
          <w:szCs w:val="22"/>
          <w14:ligatures w14:val="standardContextual"/>
        </w:rPr>
      </w:pPr>
      <w:r w:rsidRPr="009B6E87">
        <w:rPr>
          <w:rFonts w:ascii="Segoe UI Emoji" w:hAnsi="Segoe UI Emoji" w:cs="Segoe UI Emoji"/>
        </w:rPr>
        <w:t>👉</w:t>
      </w:r>
      <w:r w:rsidRPr="009B6E87">
        <w:rPr>
          <w:rFonts w:ascii="Arial" w:hAnsi="Arial" w:cs="Arial"/>
        </w:rPr>
        <w:t xml:space="preserve"> </w:t>
      </w:r>
      <w:r w:rsidR="00855BCC">
        <w:rPr>
          <w:rFonts w:ascii="Arial" w:hAnsi="Arial" w:cs="Arial"/>
          <w:b/>
          <w:bCs/>
        </w:rPr>
        <w:t>Customer Churn Distribution</w:t>
      </w:r>
    </w:p>
    <w:p w14:paraId="3C937700" w14:textId="237DF401" w:rsidR="000A3E38" w:rsidRDefault="00A75509" w:rsidP="00451AB7">
      <w:pPr>
        <w:rPr>
          <w:rFonts w:ascii="Arial" w:hAnsi="Arial" w:cs="Arial"/>
        </w:rPr>
      </w:pPr>
      <w:r w:rsidRPr="00A75509">
        <w:rPr>
          <w:rFonts w:ascii="Arial" w:hAnsi="Arial" w:cs="Arial"/>
          <w:noProof/>
        </w:rPr>
        <w:drawing>
          <wp:inline distT="0" distB="0" distL="0" distR="0" wp14:anchorId="16371EFA" wp14:editId="65939986">
            <wp:extent cx="3038548" cy="2929467"/>
            <wp:effectExtent l="0" t="0" r="0" b="4445"/>
            <wp:docPr id="1567992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4645" cy="2954627"/>
                    </a:xfrm>
                    <a:prstGeom prst="rect">
                      <a:avLst/>
                    </a:prstGeom>
                    <a:noFill/>
                    <a:ln>
                      <a:noFill/>
                    </a:ln>
                  </pic:spPr>
                </pic:pic>
              </a:graphicData>
            </a:graphic>
          </wp:inline>
        </w:drawing>
      </w:r>
    </w:p>
    <w:p w14:paraId="57569543" w14:textId="6B461363" w:rsidR="00BE7360" w:rsidRPr="00BD1367" w:rsidRDefault="00BE7360" w:rsidP="005D5233">
      <w:pPr>
        <w:rPr>
          <w:rFonts w:ascii="Arial" w:hAnsi="Arial" w:cs="Arial"/>
        </w:rPr>
      </w:pPr>
      <w:r w:rsidRPr="00BE7360">
        <w:rPr>
          <w:rFonts w:ascii="Arial" w:hAnsi="Arial" w:cs="Arial"/>
        </w:rPr>
        <w:t>Interpretation</w:t>
      </w:r>
    </w:p>
    <w:p w14:paraId="1D220DD1" w14:textId="77777777" w:rsidR="009854D7" w:rsidRDefault="00BE7360" w:rsidP="009854D7">
      <w:pPr>
        <w:numPr>
          <w:ilvl w:val="0"/>
          <w:numId w:val="2"/>
        </w:numPr>
        <w:rPr>
          <w:rFonts w:ascii="Arial" w:hAnsi="Arial" w:cs="Arial"/>
        </w:rPr>
      </w:pPr>
      <w:r w:rsidRPr="00BE7360">
        <w:rPr>
          <w:rFonts w:ascii="Arial" w:hAnsi="Arial" w:cs="Arial"/>
        </w:rPr>
        <w:t xml:space="preserve">The churn distribution chart provides an overview of customer retention performance and highlights the proportion of customers who exited </w:t>
      </w:r>
      <w:r w:rsidRPr="00BE7360">
        <w:rPr>
          <w:rFonts w:ascii="Arial" w:hAnsi="Arial" w:cs="Arial"/>
        </w:rPr>
        <w:lastRenderedPageBreak/>
        <w:t>versus those who remained with the ban</w:t>
      </w:r>
      <w:r w:rsidR="009854D7">
        <w:rPr>
          <w:rFonts w:ascii="Arial" w:hAnsi="Arial" w:cs="Arial"/>
        </w:rPr>
        <w:t>k.</w:t>
      </w:r>
    </w:p>
    <w:p w14:paraId="0BA930B3" w14:textId="037791D3" w:rsidR="000A3E38" w:rsidRPr="009854D7" w:rsidRDefault="006C3E07" w:rsidP="009854D7">
      <w:pPr>
        <w:rPr>
          <w:rFonts w:ascii="Arial" w:hAnsi="Arial" w:cs="Arial"/>
        </w:rPr>
      </w:pPr>
      <w:r>
        <w:rPr>
          <w:rFonts w:ascii="Arial" w:hAnsi="Arial" w:cs="Arial"/>
        </w:rPr>
        <w:pict w14:anchorId="628924B4">
          <v:rect id="_x0000_i1028" style="width:0;height:1.5pt" o:hralign="center" o:hrstd="t" o:hr="t" fillcolor="#a0a0a0" stroked="f"/>
        </w:pict>
      </w:r>
    </w:p>
    <w:p w14:paraId="74BDF634" w14:textId="1CE4E29B"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5. Data Cleaning &amp; Preparation</w:t>
      </w:r>
    </w:p>
    <w:p w14:paraId="54E21E5E" w14:textId="77777777" w:rsidR="00E016BD" w:rsidRPr="005177BE" w:rsidRDefault="00E016BD" w:rsidP="00E016BD">
      <w:pPr>
        <w:rPr>
          <w:rFonts w:ascii="Arial" w:hAnsi="Arial" w:cs="Arial"/>
        </w:rPr>
      </w:pPr>
      <w:r w:rsidRPr="005177BE">
        <w:rPr>
          <w:rFonts w:ascii="Arial" w:hAnsi="Arial" w:cs="Arial"/>
        </w:rPr>
        <w:t>The dataset underwent multiple preprocessing steps to ensure accuracy and consistency:</w:t>
      </w:r>
    </w:p>
    <w:p w14:paraId="01B3E966" w14:textId="77777777" w:rsidR="00E016BD" w:rsidRPr="005177BE" w:rsidRDefault="00E016BD" w:rsidP="00E016BD">
      <w:pPr>
        <w:numPr>
          <w:ilvl w:val="0"/>
          <w:numId w:val="19"/>
        </w:numPr>
        <w:rPr>
          <w:rFonts w:ascii="Arial" w:hAnsi="Arial" w:cs="Arial"/>
        </w:rPr>
      </w:pPr>
      <w:r w:rsidRPr="005177BE">
        <w:rPr>
          <w:rFonts w:ascii="Arial" w:hAnsi="Arial" w:cs="Arial"/>
        </w:rPr>
        <w:t xml:space="preserve">Removed irrelevant columns such as Surname </w:t>
      </w:r>
    </w:p>
    <w:p w14:paraId="6E0DA68C" w14:textId="77777777" w:rsidR="00E016BD" w:rsidRPr="005177BE" w:rsidRDefault="00E016BD" w:rsidP="00E016BD">
      <w:pPr>
        <w:numPr>
          <w:ilvl w:val="0"/>
          <w:numId w:val="19"/>
        </w:numPr>
        <w:rPr>
          <w:rFonts w:ascii="Arial" w:hAnsi="Arial" w:cs="Arial"/>
        </w:rPr>
      </w:pPr>
      <w:r w:rsidRPr="005177BE">
        <w:rPr>
          <w:rFonts w:ascii="Arial" w:hAnsi="Arial" w:cs="Arial"/>
        </w:rPr>
        <w:t xml:space="preserve">Handled categorical variables using encoding techniques </w:t>
      </w:r>
    </w:p>
    <w:p w14:paraId="1CBB476B" w14:textId="77777777" w:rsidR="00E016BD" w:rsidRPr="005177BE" w:rsidRDefault="00E016BD" w:rsidP="00E016BD">
      <w:pPr>
        <w:numPr>
          <w:ilvl w:val="0"/>
          <w:numId w:val="19"/>
        </w:numPr>
        <w:rPr>
          <w:rFonts w:ascii="Arial" w:hAnsi="Arial" w:cs="Arial"/>
        </w:rPr>
      </w:pPr>
      <w:r w:rsidRPr="005177BE">
        <w:rPr>
          <w:rFonts w:ascii="Arial" w:hAnsi="Arial" w:cs="Arial"/>
        </w:rPr>
        <w:t xml:space="preserve">Converted categorical features into numerical format </w:t>
      </w:r>
    </w:p>
    <w:p w14:paraId="57AF9655" w14:textId="77777777" w:rsidR="00E016BD" w:rsidRPr="005177BE" w:rsidRDefault="00E016BD" w:rsidP="00E016BD">
      <w:pPr>
        <w:numPr>
          <w:ilvl w:val="0"/>
          <w:numId w:val="19"/>
        </w:numPr>
        <w:rPr>
          <w:rFonts w:ascii="Arial" w:hAnsi="Arial" w:cs="Arial"/>
        </w:rPr>
      </w:pPr>
      <w:r w:rsidRPr="005177BE">
        <w:rPr>
          <w:rFonts w:ascii="Arial" w:hAnsi="Arial" w:cs="Arial"/>
        </w:rPr>
        <w:t xml:space="preserve">Created feature bands for better interpretation: </w:t>
      </w:r>
    </w:p>
    <w:p w14:paraId="06271924" w14:textId="77777777" w:rsidR="00E016BD" w:rsidRPr="005177BE" w:rsidRDefault="00E016BD" w:rsidP="00E016BD">
      <w:pPr>
        <w:numPr>
          <w:ilvl w:val="1"/>
          <w:numId w:val="19"/>
        </w:numPr>
        <w:rPr>
          <w:rFonts w:ascii="Arial" w:hAnsi="Arial" w:cs="Arial"/>
        </w:rPr>
      </w:pPr>
      <w:r w:rsidRPr="005177BE">
        <w:rPr>
          <w:rFonts w:ascii="Arial" w:hAnsi="Arial" w:cs="Arial"/>
        </w:rPr>
        <w:t xml:space="preserve">Age groups </w:t>
      </w:r>
    </w:p>
    <w:p w14:paraId="24FC40E3" w14:textId="77777777" w:rsidR="00E016BD" w:rsidRPr="005177BE" w:rsidRDefault="00E016BD" w:rsidP="00E016BD">
      <w:pPr>
        <w:numPr>
          <w:ilvl w:val="1"/>
          <w:numId w:val="19"/>
        </w:numPr>
        <w:rPr>
          <w:rFonts w:ascii="Arial" w:hAnsi="Arial" w:cs="Arial"/>
        </w:rPr>
      </w:pPr>
      <w:r w:rsidRPr="005177BE">
        <w:rPr>
          <w:rFonts w:ascii="Arial" w:hAnsi="Arial" w:cs="Arial"/>
        </w:rPr>
        <w:t xml:space="preserve">Credit score categories </w:t>
      </w:r>
    </w:p>
    <w:p w14:paraId="7C5210E3" w14:textId="77777777" w:rsidR="00E016BD" w:rsidRPr="005177BE" w:rsidRDefault="00E016BD" w:rsidP="00E016BD">
      <w:pPr>
        <w:numPr>
          <w:ilvl w:val="1"/>
          <w:numId w:val="19"/>
        </w:numPr>
        <w:rPr>
          <w:rFonts w:ascii="Arial" w:hAnsi="Arial" w:cs="Arial"/>
        </w:rPr>
      </w:pPr>
      <w:r w:rsidRPr="005177BE">
        <w:rPr>
          <w:rFonts w:ascii="Arial" w:hAnsi="Arial" w:cs="Arial"/>
        </w:rPr>
        <w:t xml:space="preserve">Balance segments </w:t>
      </w:r>
    </w:p>
    <w:p w14:paraId="735EDF28" w14:textId="77777777" w:rsidR="00E016BD" w:rsidRPr="005177BE" w:rsidRDefault="00E016BD" w:rsidP="00E016BD">
      <w:pPr>
        <w:numPr>
          <w:ilvl w:val="0"/>
          <w:numId w:val="19"/>
        </w:numPr>
        <w:rPr>
          <w:rFonts w:ascii="Arial" w:hAnsi="Arial" w:cs="Arial"/>
        </w:rPr>
      </w:pPr>
      <w:r w:rsidRPr="005177BE">
        <w:rPr>
          <w:rFonts w:ascii="Arial" w:hAnsi="Arial" w:cs="Arial"/>
        </w:rPr>
        <w:t xml:space="preserve">Checked for missing values and data inconsistencies </w:t>
      </w:r>
    </w:p>
    <w:p w14:paraId="4C5E16AA" w14:textId="40685EF6" w:rsidR="00C12CA8" w:rsidRDefault="00E016BD" w:rsidP="00E016BD">
      <w:pPr>
        <w:rPr>
          <w:rFonts w:ascii="Arial" w:hAnsi="Arial" w:cs="Arial"/>
          <w:b/>
          <w:bCs/>
        </w:rPr>
      </w:pPr>
      <w:r w:rsidRPr="005177BE">
        <w:rPr>
          <w:rFonts w:ascii="Arial" w:hAnsi="Arial" w:cs="Arial"/>
        </w:rPr>
        <w:t>These steps ensured the dataset was ready for machine learning and visualization</w:t>
      </w:r>
      <w:r w:rsidRPr="00E016BD">
        <w:rPr>
          <w:rFonts w:ascii="Arial" w:hAnsi="Arial" w:cs="Arial"/>
          <w:b/>
          <w:bCs/>
        </w:rPr>
        <w:t>.</w:t>
      </w:r>
    </w:p>
    <w:p w14:paraId="5E54F390" w14:textId="61679AB8" w:rsidR="009D239D" w:rsidRDefault="006C3E07" w:rsidP="00E016BD">
      <w:pPr>
        <w:rPr>
          <w:rFonts w:ascii="Arial" w:hAnsi="Arial" w:cs="Arial"/>
          <w:b/>
          <w:bCs/>
        </w:rPr>
      </w:pPr>
      <w:r>
        <w:rPr>
          <w:rFonts w:ascii="Arial" w:hAnsi="Arial" w:cs="Arial"/>
        </w:rPr>
        <w:pict w14:anchorId="10B09598">
          <v:rect id="_x0000_i1029" style="width:0;height:1.5pt" o:hralign="center" o:hrstd="t" o:hr="t" fillcolor="#a0a0a0" stroked="f"/>
        </w:pict>
      </w:r>
    </w:p>
    <w:p w14:paraId="57DA4BCD" w14:textId="6509EFE9" w:rsidR="009D239D" w:rsidRDefault="009D239D" w:rsidP="00E016BD">
      <w:pPr>
        <w:rPr>
          <w:rFonts w:ascii="Arial" w:hAnsi="Arial" w:cs="Arial"/>
          <w:b/>
          <w:bCs/>
        </w:rPr>
      </w:pPr>
      <w:r w:rsidRPr="009D239D">
        <w:rPr>
          <w:rFonts w:ascii="Arial" w:hAnsi="Arial" w:cs="Arial"/>
          <w:b/>
          <w:bCs/>
        </w:rPr>
        <w:t>Correlation Analysis</w:t>
      </w:r>
    </w:p>
    <w:p w14:paraId="51E700C0" w14:textId="4A5D44B0" w:rsidR="00150159" w:rsidRDefault="00150159" w:rsidP="00E016BD">
      <w:pPr>
        <w:rPr>
          <w:rFonts w:ascii="Arial" w:hAnsi="Arial" w:cs="Arial"/>
          <w:b/>
          <w:bCs/>
        </w:rPr>
      </w:pPr>
      <w:r w:rsidRPr="00150159">
        <w:rPr>
          <w:rFonts w:ascii="Arial" w:hAnsi="Arial" w:cs="Arial"/>
          <w:b/>
          <w:bCs/>
          <w:noProof/>
        </w:rPr>
        <w:drawing>
          <wp:inline distT="0" distB="0" distL="0" distR="0" wp14:anchorId="049B4059" wp14:editId="2D7A8E11">
            <wp:extent cx="2782281" cy="2155190"/>
            <wp:effectExtent l="0" t="0" r="0" b="0"/>
            <wp:docPr id="766096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2802" cy="2155594"/>
                    </a:xfrm>
                    <a:prstGeom prst="rect">
                      <a:avLst/>
                    </a:prstGeom>
                    <a:noFill/>
                    <a:ln>
                      <a:noFill/>
                    </a:ln>
                  </pic:spPr>
                </pic:pic>
              </a:graphicData>
            </a:graphic>
          </wp:inline>
        </w:drawing>
      </w:r>
    </w:p>
    <w:p w14:paraId="3A69E668" w14:textId="1EE78F1F" w:rsidR="005938E3" w:rsidRDefault="001A2899" w:rsidP="00E016BD">
      <w:pPr>
        <w:rPr>
          <w:rFonts w:ascii="Arial" w:hAnsi="Arial" w:cs="Arial"/>
        </w:rPr>
      </w:pPr>
      <w:r w:rsidRPr="001A2899">
        <w:rPr>
          <w:rFonts w:ascii="Arial" w:hAnsi="Arial" w:cs="Arial"/>
        </w:rPr>
        <w:t>The correlation matrix was generated to examine relationships among numerical variables. Most variables showed weak to moderate correlations, indicating limited multicollinearity. Age, Balance, Credit Score, and the engineered features demonstrated meaningful relationships with customer churn and were therefore retained for predictive mode</w:t>
      </w:r>
      <w:r>
        <w:rPr>
          <w:rFonts w:ascii="Arial" w:hAnsi="Arial" w:cs="Arial"/>
        </w:rPr>
        <w:t>l</w:t>
      </w:r>
      <w:r w:rsidRPr="001A2899">
        <w:rPr>
          <w:rFonts w:ascii="Arial" w:hAnsi="Arial" w:cs="Arial"/>
        </w:rPr>
        <w:t>ling</w:t>
      </w:r>
      <w:r>
        <w:rPr>
          <w:rFonts w:ascii="Arial" w:hAnsi="Arial" w:cs="Arial"/>
        </w:rPr>
        <w:t>.</w:t>
      </w:r>
    </w:p>
    <w:p w14:paraId="6C8F4757" w14:textId="77777777" w:rsidR="001A2899" w:rsidRDefault="001A2899" w:rsidP="00E016BD">
      <w:pPr>
        <w:rPr>
          <w:rFonts w:ascii="Arial" w:hAnsi="Arial" w:cs="Arial"/>
        </w:rPr>
      </w:pPr>
    </w:p>
    <w:p w14:paraId="2E5B0274" w14:textId="77777777" w:rsidR="00EB7CEA" w:rsidRPr="001A2899" w:rsidRDefault="00EB7CEA" w:rsidP="00E016BD">
      <w:pPr>
        <w:rPr>
          <w:rFonts w:ascii="Arial" w:hAnsi="Arial" w:cs="Arial"/>
        </w:rPr>
      </w:pPr>
    </w:p>
    <w:p w14:paraId="0381B565" w14:textId="5FB70105" w:rsidR="00A31AF1" w:rsidRDefault="006C3E07" w:rsidP="00E016BD">
      <w:pPr>
        <w:rPr>
          <w:rFonts w:ascii="Arial" w:hAnsi="Arial" w:cs="Arial"/>
          <w:b/>
          <w:bCs/>
        </w:rPr>
      </w:pPr>
      <w:r>
        <w:rPr>
          <w:rFonts w:ascii="Arial" w:hAnsi="Arial" w:cs="Arial"/>
        </w:rPr>
        <w:pict w14:anchorId="3A0EAAB0">
          <v:rect id="_x0000_i1030" style="width:0;height:1.5pt" o:hralign="center" o:hrstd="t" o:hr="t" fillcolor="#a0a0a0" stroked="f"/>
        </w:pict>
      </w:r>
    </w:p>
    <w:p w14:paraId="1DB496CB" w14:textId="08F9EEC7" w:rsidR="00C12CA8" w:rsidRDefault="00C12CA8" w:rsidP="00E016BD">
      <w:pPr>
        <w:rPr>
          <w:rFonts w:ascii="Arial" w:hAnsi="Arial" w:cs="Arial"/>
          <w:b/>
          <w:bCs/>
        </w:rPr>
      </w:pPr>
      <w:r w:rsidRPr="00C12CA8">
        <w:rPr>
          <w:rFonts w:ascii="Arial" w:hAnsi="Arial" w:cs="Arial"/>
          <w:b/>
          <w:bCs/>
        </w:rPr>
        <w:t>6. Geography Analysis</w:t>
      </w:r>
    </w:p>
    <w:p w14:paraId="7BCFA972" w14:textId="2A5EA5F2" w:rsidR="00E016BD" w:rsidRPr="009B6E87" w:rsidRDefault="00B24D19" w:rsidP="000A3E38">
      <w:pPr>
        <w:rPr>
          <w:rFonts w:ascii="Arial" w:hAnsi="Arial" w:cs="Arial"/>
          <w:b/>
          <w:bCs/>
        </w:rPr>
      </w:pPr>
      <w:r w:rsidRPr="00B24D19">
        <w:rPr>
          <w:rFonts w:ascii="Arial" w:hAnsi="Arial" w:cs="Arial"/>
          <w:b/>
          <w:bCs/>
          <w:noProof/>
        </w:rPr>
        <w:drawing>
          <wp:inline distT="0" distB="0" distL="0" distR="0" wp14:anchorId="78E28EF1" wp14:editId="229B419A">
            <wp:extent cx="2839720" cy="1956021"/>
            <wp:effectExtent l="0" t="0" r="0" b="6350"/>
            <wp:docPr id="1024605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3348" cy="1965408"/>
                    </a:xfrm>
                    <a:prstGeom prst="rect">
                      <a:avLst/>
                    </a:prstGeom>
                    <a:noFill/>
                    <a:ln>
                      <a:noFill/>
                    </a:ln>
                  </pic:spPr>
                </pic:pic>
              </a:graphicData>
            </a:graphic>
          </wp:inline>
        </w:drawing>
      </w:r>
    </w:p>
    <w:p w14:paraId="1EF853AB" w14:textId="4F46ECDA" w:rsidR="00A31AF1" w:rsidRPr="00A31AF1" w:rsidRDefault="00A31AF1" w:rsidP="00A31AF1">
      <w:pPr>
        <w:spacing w:after="160" w:line="259" w:lineRule="auto"/>
        <w:rPr>
          <w:rFonts w:ascii="Arial" w:hAnsi="Arial" w:cs="Arial"/>
        </w:rPr>
      </w:pPr>
      <w:r w:rsidRPr="00A31AF1">
        <w:rPr>
          <w:rFonts w:ascii="Arial" w:hAnsi="Arial" w:cs="Arial"/>
        </w:rPr>
        <w:t>Geography plays an important role in customer churn behavio</w:t>
      </w:r>
      <w:r>
        <w:rPr>
          <w:rFonts w:ascii="Arial" w:hAnsi="Arial" w:cs="Arial"/>
        </w:rPr>
        <w:t>u</w:t>
      </w:r>
      <w:r w:rsidRPr="00A31AF1">
        <w:rPr>
          <w:rFonts w:ascii="Arial" w:hAnsi="Arial" w:cs="Arial"/>
        </w:rPr>
        <w:t>r. The dataset shows variation in churn rates across different countries.</w:t>
      </w:r>
    </w:p>
    <w:p w14:paraId="37AE9619" w14:textId="77777777" w:rsidR="00A31AF1" w:rsidRPr="00A31AF1" w:rsidRDefault="00A31AF1" w:rsidP="00A31AF1">
      <w:pPr>
        <w:spacing w:after="160" w:line="259" w:lineRule="auto"/>
        <w:rPr>
          <w:rFonts w:ascii="Arial" w:hAnsi="Arial" w:cs="Arial"/>
        </w:rPr>
      </w:pPr>
      <w:r w:rsidRPr="00A31AF1">
        <w:rPr>
          <w:rFonts w:ascii="Arial" w:hAnsi="Arial" w:cs="Arial"/>
        </w:rPr>
        <w:t>Key observation:</w:t>
      </w:r>
    </w:p>
    <w:p w14:paraId="3FC101CB" w14:textId="77777777" w:rsidR="00A31AF1" w:rsidRPr="00A31AF1" w:rsidRDefault="00A31AF1" w:rsidP="00A31AF1">
      <w:pPr>
        <w:numPr>
          <w:ilvl w:val="0"/>
          <w:numId w:val="20"/>
        </w:numPr>
        <w:spacing w:after="160" w:line="259" w:lineRule="auto"/>
        <w:rPr>
          <w:rFonts w:ascii="Arial" w:hAnsi="Arial" w:cs="Arial"/>
        </w:rPr>
      </w:pPr>
      <w:r w:rsidRPr="00A31AF1">
        <w:rPr>
          <w:rFonts w:ascii="Arial" w:hAnsi="Arial" w:cs="Arial"/>
        </w:rPr>
        <w:t xml:space="preserve">Some regions show significantly higher churn compared to others </w:t>
      </w:r>
    </w:p>
    <w:p w14:paraId="6A6E91E0" w14:textId="6EF94321" w:rsidR="00A31AF1" w:rsidRPr="00A31AF1" w:rsidRDefault="00A31AF1" w:rsidP="00A31AF1">
      <w:pPr>
        <w:numPr>
          <w:ilvl w:val="0"/>
          <w:numId w:val="20"/>
        </w:numPr>
        <w:spacing w:after="160" w:line="259" w:lineRule="auto"/>
        <w:rPr>
          <w:rFonts w:ascii="Arial" w:hAnsi="Arial" w:cs="Arial"/>
        </w:rPr>
      </w:pPr>
      <w:r w:rsidRPr="00A31AF1">
        <w:rPr>
          <w:rFonts w:ascii="Arial" w:hAnsi="Arial" w:cs="Arial"/>
        </w:rPr>
        <w:t>Regional economic conditions and banking preferences may influence this behavio</w:t>
      </w:r>
      <w:r>
        <w:rPr>
          <w:rFonts w:ascii="Arial" w:hAnsi="Arial" w:cs="Arial"/>
        </w:rPr>
        <w:t>u</w:t>
      </w:r>
      <w:r w:rsidRPr="00A31AF1">
        <w:rPr>
          <w:rFonts w:ascii="Arial" w:hAnsi="Arial" w:cs="Arial"/>
        </w:rPr>
        <w:t xml:space="preserve">r </w:t>
      </w:r>
    </w:p>
    <w:p w14:paraId="2EDF2301" w14:textId="77777777" w:rsidR="00A31AF1" w:rsidRPr="00A31AF1" w:rsidRDefault="00A31AF1" w:rsidP="00A31AF1">
      <w:pPr>
        <w:spacing w:after="160" w:line="259" w:lineRule="auto"/>
        <w:rPr>
          <w:rFonts w:ascii="Arial" w:hAnsi="Arial" w:cs="Arial"/>
        </w:rPr>
      </w:pPr>
      <w:r w:rsidRPr="00A31AF1">
        <w:rPr>
          <w:rFonts w:ascii="Arial" w:hAnsi="Arial" w:cs="Arial"/>
        </w:rPr>
        <w:t>This analysis helps banks focus on region-specific retention strategies.</w:t>
      </w:r>
    </w:p>
    <w:p w14:paraId="465281A8" w14:textId="77777777" w:rsidR="000A3E38" w:rsidRPr="009B6E87" w:rsidRDefault="006C3E07" w:rsidP="000A3E38">
      <w:pPr>
        <w:rPr>
          <w:rFonts w:ascii="Arial" w:hAnsi="Arial" w:cs="Arial"/>
        </w:rPr>
      </w:pPr>
      <w:r>
        <w:rPr>
          <w:rFonts w:ascii="Arial" w:hAnsi="Arial" w:cs="Arial"/>
        </w:rPr>
        <w:pict w14:anchorId="4251FB76">
          <v:rect id="_x0000_i1031" style="width:0;height:1.5pt" o:hralign="center" o:hrstd="t" o:hr="t" fillcolor="#a0a0a0" stroked="f"/>
        </w:pict>
      </w:r>
    </w:p>
    <w:p w14:paraId="53533CD9" w14:textId="57433AD9" w:rsidR="000A3E38" w:rsidRPr="00A31AF1" w:rsidRDefault="000A3E38" w:rsidP="000A3E38">
      <w:pPr>
        <w:rPr>
          <w:rFonts w:ascii="Segoe UI Emoji" w:hAnsi="Segoe UI Emoji" w:cs="Segoe UI Emoji"/>
          <w:b/>
          <w:bCs/>
        </w:rPr>
      </w:pPr>
      <w:r w:rsidRPr="009B6E87">
        <w:rPr>
          <w:rFonts w:ascii="Segoe UI Emoji" w:hAnsi="Segoe UI Emoji" w:cs="Segoe UI Emoji"/>
          <w:b/>
          <w:bCs/>
        </w:rPr>
        <w:t>👥</w:t>
      </w:r>
      <w:r w:rsidRPr="009B6E87">
        <w:rPr>
          <w:rFonts w:ascii="Arial" w:hAnsi="Arial" w:cs="Arial"/>
          <w:b/>
          <w:bCs/>
        </w:rPr>
        <w:t xml:space="preserve"> 7. Demographic Analysis</w:t>
      </w:r>
    </w:p>
    <w:p w14:paraId="3B5222BB" w14:textId="14F8F692"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Age vs Churn</w:t>
      </w:r>
    </w:p>
    <w:p w14:paraId="590B27DD" w14:textId="71B59B82" w:rsidR="000A3E38" w:rsidRDefault="0030538B" w:rsidP="000A3E38">
      <w:pPr>
        <w:rPr>
          <w:rFonts w:ascii="Arial" w:hAnsi="Arial" w:cs="Arial"/>
          <w:b/>
          <w:bCs/>
        </w:rPr>
      </w:pPr>
      <w:r w:rsidRPr="0030538B">
        <w:rPr>
          <w:rFonts w:ascii="Arial" w:hAnsi="Arial" w:cs="Arial"/>
          <w:b/>
          <w:bCs/>
          <w:noProof/>
        </w:rPr>
        <w:drawing>
          <wp:inline distT="0" distB="0" distL="0" distR="0" wp14:anchorId="7C9EB360" wp14:editId="0A8ADF36">
            <wp:extent cx="2973788" cy="1732915"/>
            <wp:effectExtent l="0" t="0" r="0" b="635"/>
            <wp:docPr id="1537657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9044" cy="1765114"/>
                    </a:xfrm>
                    <a:prstGeom prst="rect">
                      <a:avLst/>
                    </a:prstGeom>
                    <a:noFill/>
                    <a:ln>
                      <a:noFill/>
                    </a:ln>
                  </pic:spPr>
                </pic:pic>
              </a:graphicData>
            </a:graphic>
          </wp:inline>
        </w:drawing>
      </w:r>
    </w:p>
    <w:p w14:paraId="0654D5C5" w14:textId="09E3EC26" w:rsidR="0058723E" w:rsidRPr="00FA0DE2" w:rsidRDefault="0058723E" w:rsidP="0058723E">
      <w:pPr>
        <w:spacing w:after="160" w:line="259" w:lineRule="auto"/>
        <w:rPr>
          <w:rFonts w:ascii="Arial" w:hAnsi="Arial" w:cs="Arial"/>
        </w:rPr>
      </w:pPr>
      <w:r w:rsidRPr="00FA0DE2">
        <w:rPr>
          <w:rFonts w:ascii="Arial" w:hAnsi="Arial" w:cs="Arial"/>
        </w:rPr>
        <w:t>Age emerged as one of the strongest churn predictors.</w:t>
      </w:r>
    </w:p>
    <w:p w14:paraId="7F99A50E" w14:textId="77777777" w:rsidR="0058723E" w:rsidRPr="00FA0DE2" w:rsidRDefault="0058723E" w:rsidP="0058723E">
      <w:pPr>
        <w:spacing w:after="160" w:line="259" w:lineRule="auto"/>
        <w:rPr>
          <w:rFonts w:ascii="Arial" w:hAnsi="Arial" w:cs="Arial"/>
        </w:rPr>
      </w:pPr>
      <w:r w:rsidRPr="00FA0DE2">
        <w:rPr>
          <w:rFonts w:ascii="Arial" w:hAnsi="Arial" w:cs="Arial"/>
        </w:rPr>
        <w:t>Model interpretation indicates:</w:t>
      </w:r>
    </w:p>
    <w:p w14:paraId="445DF6A8" w14:textId="77777777" w:rsidR="0058723E" w:rsidRPr="00FA0DE2" w:rsidRDefault="0058723E" w:rsidP="0058723E">
      <w:pPr>
        <w:numPr>
          <w:ilvl w:val="0"/>
          <w:numId w:val="18"/>
        </w:numPr>
        <w:spacing w:after="160" w:line="259" w:lineRule="auto"/>
        <w:rPr>
          <w:rFonts w:ascii="Arial" w:hAnsi="Arial" w:cs="Arial"/>
        </w:rPr>
      </w:pPr>
      <w:r w:rsidRPr="00FA0DE2">
        <w:rPr>
          <w:rFonts w:ascii="Arial" w:hAnsi="Arial" w:cs="Arial"/>
        </w:rPr>
        <w:t>Churn probability remains relatively stable among younger customers.</w:t>
      </w:r>
    </w:p>
    <w:p w14:paraId="63CC6C83" w14:textId="77777777" w:rsidR="0058723E" w:rsidRPr="00FA0DE2" w:rsidRDefault="0058723E" w:rsidP="0058723E">
      <w:pPr>
        <w:numPr>
          <w:ilvl w:val="0"/>
          <w:numId w:val="18"/>
        </w:numPr>
        <w:spacing w:after="160" w:line="259" w:lineRule="auto"/>
        <w:rPr>
          <w:rFonts w:ascii="Arial" w:hAnsi="Arial" w:cs="Arial"/>
        </w:rPr>
      </w:pPr>
      <w:r w:rsidRPr="00FA0DE2">
        <w:rPr>
          <w:rFonts w:ascii="Arial" w:hAnsi="Arial" w:cs="Arial"/>
        </w:rPr>
        <w:lastRenderedPageBreak/>
        <w:t>Churn risk rises significantly after age 45.</w:t>
      </w:r>
    </w:p>
    <w:p w14:paraId="346BC37E" w14:textId="77777777" w:rsidR="0058723E" w:rsidRPr="00FA0DE2" w:rsidRDefault="0058723E" w:rsidP="0058723E">
      <w:pPr>
        <w:numPr>
          <w:ilvl w:val="0"/>
          <w:numId w:val="18"/>
        </w:numPr>
        <w:spacing w:after="160" w:line="259" w:lineRule="auto"/>
        <w:rPr>
          <w:rFonts w:ascii="Arial" w:hAnsi="Arial" w:cs="Arial"/>
        </w:rPr>
      </w:pPr>
      <w:r w:rsidRPr="00FA0DE2">
        <w:rPr>
          <w:rFonts w:ascii="Arial" w:hAnsi="Arial" w:cs="Arial"/>
        </w:rPr>
        <w:t>Peak churn probability occurs around ages 55–60.</w:t>
      </w:r>
    </w:p>
    <w:p w14:paraId="253793D0" w14:textId="77777777" w:rsidR="0058723E" w:rsidRPr="00FA0DE2" w:rsidRDefault="0058723E" w:rsidP="0058723E">
      <w:pPr>
        <w:spacing w:after="160" w:line="259" w:lineRule="auto"/>
        <w:rPr>
          <w:rFonts w:ascii="Arial" w:hAnsi="Arial" w:cs="Arial"/>
        </w:rPr>
      </w:pPr>
      <w:r w:rsidRPr="00FA0DE2">
        <w:rPr>
          <w:rFonts w:ascii="Arial" w:hAnsi="Arial" w:cs="Arial"/>
        </w:rPr>
        <w:t>This suggests older customers may require specialized engagement programs.</w:t>
      </w:r>
    </w:p>
    <w:p w14:paraId="1C053183" w14:textId="6E388AB6" w:rsidR="000A3E38" w:rsidRPr="009B6E87" w:rsidRDefault="006C3E07" w:rsidP="000A3E38">
      <w:pPr>
        <w:rPr>
          <w:rFonts w:ascii="Arial" w:hAnsi="Arial" w:cs="Arial"/>
        </w:rPr>
      </w:pPr>
      <w:r>
        <w:rPr>
          <w:rFonts w:ascii="Arial" w:hAnsi="Arial" w:cs="Arial"/>
        </w:rPr>
        <w:pict w14:anchorId="5A2257AD">
          <v:rect id="_x0000_i1032" style="width:0;height:1.5pt" o:hralign="center" o:hrstd="t" o:hr="t" fillcolor="#a0a0a0" stroked="f"/>
        </w:pict>
      </w:r>
    </w:p>
    <w:p w14:paraId="2A7B2C02" w14:textId="7D8F527D"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Gender Analy</w:t>
      </w:r>
      <w:r w:rsidR="00E95109">
        <w:rPr>
          <w:rFonts w:ascii="Arial" w:hAnsi="Arial" w:cs="Arial"/>
          <w:b/>
          <w:bCs/>
        </w:rPr>
        <w:t>sis</w:t>
      </w:r>
    </w:p>
    <w:p w14:paraId="15271C73" w14:textId="4121789A" w:rsidR="00B62B3F" w:rsidRPr="00DC6841" w:rsidRDefault="00B62B3F" w:rsidP="000A3E38">
      <w:pPr>
        <w:rPr>
          <w:rFonts w:ascii="Arial" w:hAnsi="Arial" w:cs="Arial"/>
        </w:rPr>
      </w:pPr>
      <w:r w:rsidRPr="00B62B3F">
        <w:rPr>
          <w:rFonts w:ascii="Arial" w:hAnsi="Arial" w:cs="Arial"/>
        </w:rPr>
        <w:t xml:space="preserve">Male vs Female churn comparison </w:t>
      </w:r>
    </w:p>
    <w:p w14:paraId="67DC030C" w14:textId="378850B0" w:rsidR="00E95109" w:rsidRDefault="00C65202" w:rsidP="000A3E38">
      <w:pPr>
        <w:rPr>
          <w:rFonts w:ascii="Arial" w:hAnsi="Arial" w:cs="Arial"/>
          <w:b/>
          <w:bCs/>
        </w:rPr>
      </w:pPr>
      <w:r w:rsidRPr="00C65202">
        <w:rPr>
          <w:rFonts w:ascii="Arial" w:hAnsi="Arial" w:cs="Arial"/>
          <w:b/>
          <w:bCs/>
          <w:noProof/>
        </w:rPr>
        <w:drawing>
          <wp:inline distT="0" distB="0" distL="0" distR="0" wp14:anchorId="214BD866" wp14:editId="39223DD6">
            <wp:extent cx="2926080" cy="2186608"/>
            <wp:effectExtent l="0" t="0" r="7620" b="4445"/>
            <wp:docPr id="772328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1036" cy="2190312"/>
                    </a:xfrm>
                    <a:prstGeom prst="rect">
                      <a:avLst/>
                    </a:prstGeom>
                    <a:noFill/>
                    <a:ln>
                      <a:noFill/>
                    </a:ln>
                  </pic:spPr>
                </pic:pic>
              </a:graphicData>
            </a:graphic>
          </wp:inline>
        </w:drawing>
      </w:r>
    </w:p>
    <w:p w14:paraId="6397A03F" w14:textId="1EA670E6" w:rsidR="00F74CE8" w:rsidRPr="00F74CE8" w:rsidRDefault="00F74CE8" w:rsidP="00F74CE8">
      <w:pPr>
        <w:rPr>
          <w:rFonts w:ascii="Arial" w:hAnsi="Arial" w:cs="Arial"/>
        </w:rPr>
      </w:pPr>
      <w:r w:rsidRPr="00F74CE8">
        <w:rPr>
          <w:rFonts w:ascii="Arial" w:hAnsi="Arial" w:cs="Arial"/>
        </w:rPr>
        <w:t>Gender-based analysis shows differences in churn behavio</w:t>
      </w:r>
      <w:r w:rsidR="00031B37">
        <w:rPr>
          <w:rFonts w:ascii="Arial" w:hAnsi="Arial" w:cs="Arial"/>
        </w:rPr>
        <w:t>u</w:t>
      </w:r>
      <w:r w:rsidRPr="00F74CE8">
        <w:rPr>
          <w:rFonts w:ascii="Arial" w:hAnsi="Arial" w:cs="Arial"/>
        </w:rPr>
        <w:t>r between male and female customers.</w:t>
      </w:r>
    </w:p>
    <w:p w14:paraId="4AEB7CB5" w14:textId="3FEAB070" w:rsidR="00F74CE8" w:rsidRPr="00F74CE8" w:rsidRDefault="00F74CE8" w:rsidP="00F74CE8">
      <w:pPr>
        <w:numPr>
          <w:ilvl w:val="0"/>
          <w:numId w:val="21"/>
        </w:numPr>
        <w:rPr>
          <w:rFonts w:ascii="Arial" w:hAnsi="Arial" w:cs="Arial"/>
        </w:rPr>
      </w:pPr>
      <w:r w:rsidRPr="00F74CE8">
        <w:rPr>
          <w:rFonts w:ascii="Arial" w:hAnsi="Arial" w:cs="Arial"/>
        </w:rPr>
        <w:t xml:space="preserve">Slight variations exist in churn distribution </w:t>
      </w:r>
    </w:p>
    <w:p w14:paraId="471C1434" w14:textId="7245E0F2" w:rsidR="00F74CE8" w:rsidRPr="00F74CE8" w:rsidRDefault="00F74CE8" w:rsidP="00F74CE8">
      <w:pPr>
        <w:numPr>
          <w:ilvl w:val="0"/>
          <w:numId w:val="21"/>
        </w:numPr>
        <w:rPr>
          <w:rFonts w:ascii="Arial" w:hAnsi="Arial" w:cs="Arial"/>
        </w:rPr>
      </w:pPr>
      <w:r w:rsidRPr="00F74CE8">
        <w:rPr>
          <w:rFonts w:ascii="Arial" w:hAnsi="Arial" w:cs="Arial"/>
        </w:rPr>
        <w:t>Behavio</w:t>
      </w:r>
      <w:r w:rsidR="00031B37">
        <w:rPr>
          <w:rFonts w:ascii="Arial" w:hAnsi="Arial" w:cs="Arial"/>
        </w:rPr>
        <w:t>u</w:t>
      </w:r>
      <w:r w:rsidRPr="00F74CE8">
        <w:rPr>
          <w:rFonts w:ascii="Arial" w:hAnsi="Arial" w:cs="Arial"/>
        </w:rPr>
        <w:t>r is influenced more by financial activity than gender alone</w:t>
      </w:r>
    </w:p>
    <w:p w14:paraId="7E4962AB" w14:textId="77777777" w:rsidR="000A3E38" w:rsidRPr="009B6E87" w:rsidRDefault="006C3E07" w:rsidP="000A3E38">
      <w:pPr>
        <w:rPr>
          <w:rFonts w:ascii="Arial" w:hAnsi="Arial" w:cs="Arial"/>
        </w:rPr>
      </w:pPr>
      <w:r>
        <w:rPr>
          <w:rFonts w:ascii="Arial" w:hAnsi="Arial" w:cs="Arial"/>
        </w:rPr>
        <w:pict w14:anchorId="728A6E7F">
          <v:rect id="_x0000_i1033" style="width:0;height:1.5pt" o:hralign="center" o:hrstd="t" o:hr="t" fillcolor="#a0a0a0" stroked="f"/>
        </w:pict>
      </w:r>
    </w:p>
    <w:p w14:paraId="605B27AA" w14:textId="7F20503E"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8. Financial Behavio</w:t>
      </w:r>
      <w:r w:rsidR="001E0A44">
        <w:rPr>
          <w:rFonts w:ascii="Arial" w:hAnsi="Arial" w:cs="Arial"/>
          <w:b/>
          <w:bCs/>
        </w:rPr>
        <w:t>u</w:t>
      </w:r>
      <w:r w:rsidRPr="009B6E87">
        <w:rPr>
          <w:rFonts w:ascii="Arial" w:hAnsi="Arial" w:cs="Arial"/>
          <w:b/>
          <w:bCs/>
        </w:rPr>
        <w:t>r Analysis</w:t>
      </w:r>
    </w:p>
    <w:p w14:paraId="240D942E" w14:textId="6F15987D"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Balance vs Churn</w:t>
      </w:r>
    </w:p>
    <w:p w14:paraId="37E535E5" w14:textId="2A503CDB" w:rsidR="001E0A44" w:rsidRPr="009B6E87" w:rsidRDefault="00D607AD" w:rsidP="000A3E38">
      <w:pPr>
        <w:rPr>
          <w:rFonts w:ascii="Arial" w:hAnsi="Arial" w:cs="Arial"/>
          <w:b/>
          <w:bCs/>
        </w:rPr>
      </w:pPr>
      <w:r w:rsidRPr="00D607AD">
        <w:rPr>
          <w:rFonts w:ascii="Arial" w:hAnsi="Arial" w:cs="Arial"/>
          <w:b/>
          <w:bCs/>
          <w:noProof/>
        </w:rPr>
        <w:drawing>
          <wp:inline distT="0" distB="0" distL="0" distR="0" wp14:anchorId="1D9695D9" wp14:editId="4A39B32A">
            <wp:extent cx="2640965" cy="1877695"/>
            <wp:effectExtent l="0" t="0" r="6985" b="8255"/>
            <wp:docPr id="1103826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965" cy="1877695"/>
                    </a:xfrm>
                    <a:prstGeom prst="rect">
                      <a:avLst/>
                    </a:prstGeom>
                    <a:noFill/>
                    <a:ln>
                      <a:noFill/>
                    </a:ln>
                  </pic:spPr>
                </pic:pic>
              </a:graphicData>
            </a:graphic>
          </wp:inline>
        </w:drawing>
      </w:r>
    </w:p>
    <w:p w14:paraId="3E7590DE" w14:textId="77777777" w:rsidR="00DC6841" w:rsidRPr="00DC6841" w:rsidRDefault="00DC6841" w:rsidP="00DC6841">
      <w:pPr>
        <w:rPr>
          <w:rFonts w:ascii="Arial" w:hAnsi="Arial" w:cs="Arial"/>
        </w:rPr>
      </w:pPr>
      <w:r w:rsidRPr="00DC6841">
        <w:rPr>
          <w:rFonts w:ascii="Arial" w:hAnsi="Arial" w:cs="Arial"/>
        </w:rPr>
        <w:t>Customers with different account balances show varying churn tendencies:</w:t>
      </w:r>
    </w:p>
    <w:p w14:paraId="3F43724F" w14:textId="77777777" w:rsidR="00DC6841" w:rsidRPr="00DC6841" w:rsidRDefault="00DC6841" w:rsidP="00DC6841">
      <w:pPr>
        <w:numPr>
          <w:ilvl w:val="0"/>
          <w:numId w:val="22"/>
        </w:numPr>
        <w:rPr>
          <w:rFonts w:ascii="Arial" w:hAnsi="Arial" w:cs="Arial"/>
        </w:rPr>
      </w:pPr>
      <w:r w:rsidRPr="00DC6841">
        <w:rPr>
          <w:rFonts w:ascii="Arial" w:hAnsi="Arial" w:cs="Arial"/>
        </w:rPr>
        <w:t xml:space="preserve">Zero balance customers show higher churn likelihood </w:t>
      </w:r>
    </w:p>
    <w:p w14:paraId="19851C7D" w14:textId="77777777" w:rsidR="00DC6841" w:rsidRPr="00DC6841" w:rsidRDefault="00DC6841" w:rsidP="00DC6841">
      <w:pPr>
        <w:numPr>
          <w:ilvl w:val="0"/>
          <w:numId w:val="22"/>
        </w:numPr>
        <w:rPr>
          <w:rFonts w:ascii="Arial" w:hAnsi="Arial" w:cs="Arial"/>
        </w:rPr>
      </w:pPr>
      <w:r w:rsidRPr="00DC6841">
        <w:rPr>
          <w:rFonts w:ascii="Arial" w:hAnsi="Arial" w:cs="Arial"/>
        </w:rPr>
        <w:t xml:space="preserve">High balance customers are more valuable but still at risk </w:t>
      </w:r>
    </w:p>
    <w:p w14:paraId="22A2AE72" w14:textId="5875B02B" w:rsidR="00DC6841" w:rsidRPr="00DC6841" w:rsidRDefault="00DC6841" w:rsidP="00DC6841">
      <w:pPr>
        <w:numPr>
          <w:ilvl w:val="0"/>
          <w:numId w:val="22"/>
        </w:numPr>
        <w:rPr>
          <w:rFonts w:ascii="Arial" w:hAnsi="Arial" w:cs="Arial"/>
        </w:rPr>
      </w:pPr>
      <w:r w:rsidRPr="00DC6841">
        <w:rPr>
          <w:rFonts w:ascii="Arial" w:hAnsi="Arial" w:cs="Arial"/>
        </w:rPr>
        <w:t>Low balance customers show moderate churn behavio</w:t>
      </w:r>
      <w:r>
        <w:rPr>
          <w:rFonts w:ascii="Arial" w:hAnsi="Arial" w:cs="Arial"/>
        </w:rPr>
        <w:t>u</w:t>
      </w:r>
      <w:r w:rsidRPr="00DC6841">
        <w:rPr>
          <w:rFonts w:ascii="Arial" w:hAnsi="Arial" w:cs="Arial"/>
        </w:rPr>
        <w:t>r</w:t>
      </w:r>
    </w:p>
    <w:p w14:paraId="7EDBC9B3" w14:textId="77777777" w:rsidR="000A3E38" w:rsidRPr="009B6E87" w:rsidRDefault="006C3E07" w:rsidP="000A3E38">
      <w:pPr>
        <w:rPr>
          <w:rFonts w:ascii="Arial" w:hAnsi="Arial" w:cs="Arial"/>
        </w:rPr>
      </w:pPr>
      <w:r>
        <w:rPr>
          <w:rFonts w:ascii="Arial" w:hAnsi="Arial" w:cs="Arial"/>
        </w:rPr>
        <w:pict w14:anchorId="43BDF87F">
          <v:rect id="_x0000_i1034" style="width:0;height:1.5pt" o:hralign="center" o:hrstd="t" o:hr="t" fillcolor="#a0a0a0" stroked="f"/>
        </w:pict>
      </w:r>
    </w:p>
    <w:p w14:paraId="50D5E1AB" w14:textId="04E59938"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Credit Score vs Churn</w:t>
      </w:r>
    </w:p>
    <w:p w14:paraId="7D7348AF" w14:textId="77777777" w:rsidR="00FD482A" w:rsidRPr="00FD482A" w:rsidRDefault="00FD482A" w:rsidP="00FD482A">
      <w:pPr>
        <w:rPr>
          <w:rFonts w:ascii="Arial" w:hAnsi="Arial" w:cs="Arial"/>
        </w:rPr>
      </w:pPr>
      <w:r w:rsidRPr="00FD482A">
        <w:rPr>
          <w:rFonts w:ascii="Arial" w:hAnsi="Arial" w:cs="Arial"/>
        </w:rPr>
        <w:t>Customers with different account balances show varying churn tendencies:</w:t>
      </w:r>
    </w:p>
    <w:p w14:paraId="4AB8629A" w14:textId="77777777" w:rsidR="00FD482A" w:rsidRPr="00FD482A" w:rsidRDefault="00FD482A" w:rsidP="00FD482A">
      <w:pPr>
        <w:numPr>
          <w:ilvl w:val="0"/>
          <w:numId w:val="23"/>
        </w:numPr>
        <w:rPr>
          <w:rFonts w:ascii="Arial" w:hAnsi="Arial" w:cs="Arial"/>
        </w:rPr>
      </w:pPr>
      <w:r w:rsidRPr="00FD482A">
        <w:rPr>
          <w:rFonts w:ascii="Arial" w:hAnsi="Arial" w:cs="Arial"/>
        </w:rPr>
        <w:t xml:space="preserve">Zero balance customers show higher churn likelihood </w:t>
      </w:r>
    </w:p>
    <w:p w14:paraId="1EAB7FB2" w14:textId="77777777" w:rsidR="00FD482A" w:rsidRPr="00FD482A" w:rsidRDefault="00FD482A" w:rsidP="00FD482A">
      <w:pPr>
        <w:numPr>
          <w:ilvl w:val="0"/>
          <w:numId w:val="23"/>
        </w:numPr>
        <w:rPr>
          <w:rFonts w:ascii="Arial" w:hAnsi="Arial" w:cs="Arial"/>
        </w:rPr>
      </w:pPr>
      <w:r w:rsidRPr="00FD482A">
        <w:rPr>
          <w:rFonts w:ascii="Arial" w:hAnsi="Arial" w:cs="Arial"/>
        </w:rPr>
        <w:t xml:space="preserve">High balance customers are more valuable but still at risk </w:t>
      </w:r>
    </w:p>
    <w:p w14:paraId="344E89A9" w14:textId="14F8A07B" w:rsidR="00FD482A" w:rsidRPr="00FD482A" w:rsidRDefault="00FD482A" w:rsidP="00FD482A">
      <w:pPr>
        <w:numPr>
          <w:ilvl w:val="0"/>
          <w:numId w:val="23"/>
        </w:numPr>
        <w:rPr>
          <w:rFonts w:ascii="Arial" w:hAnsi="Arial" w:cs="Arial"/>
        </w:rPr>
      </w:pPr>
      <w:r w:rsidRPr="00FD482A">
        <w:rPr>
          <w:rFonts w:ascii="Arial" w:hAnsi="Arial" w:cs="Arial"/>
        </w:rPr>
        <w:t>Low balance customers show moderate churn behavio</w:t>
      </w:r>
      <w:r>
        <w:rPr>
          <w:rFonts w:ascii="Arial" w:hAnsi="Arial" w:cs="Arial"/>
        </w:rPr>
        <w:t>u</w:t>
      </w:r>
      <w:r w:rsidRPr="00FD482A">
        <w:rPr>
          <w:rFonts w:ascii="Arial" w:hAnsi="Arial" w:cs="Arial"/>
        </w:rPr>
        <w:t>r</w:t>
      </w:r>
    </w:p>
    <w:p w14:paraId="05BF7032" w14:textId="77777777" w:rsidR="000A3E38" w:rsidRPr="009B6E87" w:rsidRDefault="006C3E07" w:rsidP="000A3E38">
      <w:pPr>
        <w:rPr>
          <w:rFonts w:ascii="Arial" w:hAnsi="Arial" w:cs="Arial"/>
        </w:rPr>
      </w:pPr>
      <w:r>
        <w:rPr>
          <w:rFonts w:ascii="Arial" w:hAnsi="Arial" w:cs="Arial"/>
        </w:rPr>
        <w:pict w14:anchorId="69F2EB70">
          <v:rect id="_x0000_i1035" style="width:0;height:1.5pt" o:hralign="center" o:hrstd="t" o:hr="t" fillcolor="#a0a0a0" stroked="f"/>
        </w:pict>
      </w:r>
    </w:p>
    <w:p w14:paraId="1C3FE4A4" w14:textId="77777777"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9. Tenure Analysis</w:t>
      </w:r>
    </w:p>
    <w:p w14:paraId="3FA6BE2A" w14:textId="13D76ACE" w:rsidR="000A3E38" w:rsidRDefault="000A3E38" w:rsidP="00DD0C0B">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Tenure vs Churn</w:t>
      </w:r>
    </w:p>
    <w:p w14:paraId="064289A5" w14:textId="77777777" w:rsidR="000152CB" w:rsidRPr="000152CB" w:rsidRDefault="000152CB" w:rsidP="000152CB">
      <w:pPr>
        <w:rPr>
          <w:rFonts w:ascii="Arial" w:hAnsi="Arial" w:cs="Arial"/>
        </w:rPr>
      </w:pPr>
      <w:r w:rsidRPr="000152CB">
        <w:rPr>
          <w:rFonts w:ascii="Arial" w:hAnsi="Arial" w:cs="Arial"/>
        </w:rPr>
        <w:t>Customer tenure directly affects retention:</w:t>
      </w:r>
    </w:p>
    <w:p w14:paraId="41A7333E" w14:textId="77777777" w:rsidR="000152CB" w:rsidRPr="000152CB" w:rsidRDefault="000152CB" w:rsidP="000152CB">
      <w:pPr>
        <w:numPr>
          <w:ilvl w:val="0"/>
          <w:numId w:val="24"/>
        </w:numPr>
        <w:rPr>
          <w:rFonts w:ascii="Arial" w:hAnsi="Arial" w:cs="Arial"/>
        </w:rPr>
      </w:pPr>
      <w:r w:rsidRPr="000152CB">
        <w:rPr>
          <w:rFonts w:ascii="Arial" w:hAnsi="Arial" w:cs="Arial"/>
        </w:rPr>
        <w:t xml:space="preserve">New customers (0–2 years) show highest churn </w:t>
      </w:r>
    </w:p>
    <w:p w14:paraId="4665A31F" w14:textId="77777777" w:rsidR="000152CB" w:rsidRPr="000152CB" w:rsidRDefault="000152CB" w:rsidP="000152CB">
      <w:pPr>
        <w:numPr>
          <w:ilvl w:val="0"/>
          <w:numId w:val="24"/>
        </w:numPr>
        <w:rPr>
          <w:rFonts w:ascii="Arial" w:hAnsi="Arial" w:cs="Arial"/>
        </w:rPr>
      </w:pPr>
      <w:r w:rsidRPr="000152CB">
        <w:rPr>
          <w:rFonts w:ascii="Arial" w:hAnsi="Arial" w:cs="Arial"/>
        </w:rPr>
        <w:t xml:space="preserve">Mid-tenure customers are relatively stable </w:t>
      </w:r>
    </w:p>
    <w:p w14:paraId="442FAEAF" w14:textId="77777777" w:rsidR="000152CB" w:rsidRPr="000152CB" w:rsidRDefault="000152CB" w:rsidP="000152CB">
      <w:pPr>
        <w:numPr>
          <w:ilvl w:val="0"/>
          <w:numId w:val="24"/>
        </w:numPr>
        <w:rPr>
          <w:rFonts w:ascii="Arial" w:hAnsi="Arial" w:cs="Arial"/>
        </w:rPr>
      </w:pPr>
      <w:r w:rsidRPr="000152CB">
        <w:rPr>
          <w:rFonts w:ascii="Arial" w:hAnsi="Arial" w:cs="Arial"/>
        </w:rPr>
        <w:t xml:space="preserve">Long-term customers are most loyal </w:t>
      </w:r>
    </w:p>
    <w:p w14:paraId="744D41EB" w14:textId="77777777" w:rsidR="000152CB" w:rsidRPr="000152CB" w:rsidRDefault="000152CB" w:rsidP="000152CB">
      <w:pPr>
        <w:rPr>
          <w:rFonts w:ascii="Arial" w:hAnsi="Arial" w:cs="Arial"/>
        </w:rPr>
      </w:pPr>
      <w:r w:rsidRPr="000152CB">
        <w:rPr>
          <w:rFonts w:ascii="Arial" w:hAnsi="Arial" w:cs="Arial"/>
        </w:rPr>
        <w:t>This highlights the importance of early engagement strategies.</w:t>
      </w:r>
    </w:p>
    <w:p w14:paraId="7ADA374F" w14:textId="77777777" w:rsidR="000A3E38" w:rsidRPr="009B6E87" w:rsidRDefault="006C3E07" w:rsidP="000A3E38">
      <w:pPr>
        <w:rPr>
          <w:rFonts w:ascii="Arial" w:hAnsi="Arial" w:cs="Arial"/>
        </w:rPr>
      </w:pPr>
      <w:r>
        <w:rPr>
          <w:rFonts w:ascii="Arial" w:hAnsi="Arial" w:cs="Arial"/>
        </w:rPr>
        <w:pict w14:anchorId="273F1695">
          <v:rect id="_x0000_i1036" style="width:0;height:1.5pt" o:hralign="center" o:hrstd="t" o:hr="t" fillcolor="#a0a0a0" stroked="f"/>
        </w:pict>
      </w:r>
    </w:p>
    <w:p w14:paraId="2088BAAD" w14:textId="70BA460C"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10. High-Value Customer Analysis </w:t>
      </w:r>
    </w:p>
    <w:p w14:paraId="6390A478" w14:textId="12A451BF" w:rsidR="00E52B3A" w:rsidRDefault="000A3E38" w:rsidP="00E52B3A">
      <w:pPr>
        <w:rPr>
          <w:rFonts w:ascii="Times New Roman" w:eastAsia="Times New Roman" w:hAnsi="Times New Roman" w:cs="Times New Roman"/>
          <w:sz w:val="24"/>
          <w:szCs w:val="24"/>
          <w:lang w:eastAsia="en-IN"/>
        </w:rPr>
      </w:pPr>
      <w:r w:rsidRPr="009B6E87">
        <w:rPr>
          <w:rFonts w:ascii="Segoe UI Emoji" w:hAnsi="Segoe UI Emoji" w:cs="Segoe UI Emoji"/>
          <w:b/>
          <w:bCs/>
        </w:rPr>
        <w:t>🔹</w:t>
      </w:r>
      <w:r w:rsidR="00953BCC" w:rsidRPr="00953BCC">
        <w:t xml:space="preserve"> </w:t>
      </w:r>
      <w:r w:rsidR="00953BCC" w:rsidRPr="00953BCC">
        <w:rPr>
          <w:rFonts w:ascii="Segoe UI Emoji" w:hAnsi="Segoe UI Emoji" w:cs="Segoe UI Emoji"/>
          <w:b/>
          <w:bCs/>
        </w:rPr>
        <w:t>High Value Churn</w:t>
      </w:r>
    </w:p>
    <w:p w14:paraId="01D62BB5" w14:textId="6C6E6E76" w:rsidR="00E52B3A" w:rsidRPr="00E52B3A" w:rsidRDefault="00E52B3A" w:rsidP="00E52B3A">
      <w:pPr>
        <w:rPr>
          <w:rFonts w:ascii="Arial" w:hAnsi="Arial" w:cs="Arial"/>
        </w:rPr>
      </w:pPr>
      <w:r w:rsidRPr="00E52B3A">
        <w:rPr>
          <w:rFonts w:ascii="Arial" w:hAnsi="Arial" w:cs="Arial"/>
        </w:rPr>
        <w:t>High-value customers are those with significant account balances or financial activity.</w:t>
      </w:r>
    </w:p>
    <w:p w14:paraId="1057687E" w14:textId="77777777" w:rsidR="00E52B3A" w:rsidRPr="00E52B3A" w:rsidRDefault="00E52B3A" w:rsidP="00E52B3A">
      <w:pPr>
        <w:numPr>
          <w:ilvl w:val="0"/>
          <w:numId w:val="25"/>
        </w:numPr>
        <w:rPr>
          <w:rFonts w:ascii="Arial" w:hAnsi="Arial" w:cs="Arial"/>
        </w:rPr>
      </w:pPr>
      <w:r w:rsidRPr="00E52B3A">
        <w:rPr>
          <w:rFonts w:ascii="Arial" w:hAnsi="Arial" w:cs="Arial"/>
        </w:rPr>
        <w:t xml:space="preserve">Churning high-value customers causes major revenue loss </w:t>
      </w:r>
    </w:p>
    <w:p w14:paraId="386E44C2" w14:textId="00B0F87B" w:rsidR="000A3E38" w:rsidRPr="00953BCC" w:rsidRDefault="00E52B3A" w:rsidP="000A3E38">
      <w:pPr>
        <w:numPr>
          <w:ilvl w:val="0"/>
          <w:numId w:val="25"/>
        </w:numPr>
        <w:rPr>
          <w:rFonts w:ascii="Arial" w:hAnsi="Arial" w:cs="Arial"/>
        </w:rPr>
      </w:pPr>
      <w:r w:rsidRPr="00E52B3A">
        <w:rPr>
          <w:rFonts w:ascii="Arial" w:hAnsi="Arial" w:cs="Arial"/>
        </w:rPr>
        <w:t>Even small churn rates in this segment are critical</w:t>
      </w:r>
      <w:r w:rsidR="00953BCC">
        <w:rPr>
          <w:rFonts w:ascii="Arial" w:hAnsi="Arial" w:cs="Arial"/>
        </w:rPr>
        <w:t>.</w:t>
      </w:r>
    </w:p>
    <w:p w14:paraId="22FC9E1B" w14:textId="291DCF47" w:rsidR="000A3E38" w:rsidRPr="00953BCC" w:rsidRDefault="006C3E07" w:rsidP="00953BCC">
      <w:pPr>
        <w:rPr>
          <w:rFonts w:ascii="Arial" w:hAnsi="Arial" w:cs="Arial"/>
        </w:rPr>
      </w:pPr>
      <w:r>
        <w:rPr>
          <w:rFonts w:ascii="Arial" w:hAnsi="Arial" w:cs="Arial"/>
        </w:rPr>
        <w:pict w14:anchorId="3A522560">
          <v:rect id="_x0000_i1037" style="width:0;height:1.5pt" o:hralign="center" o:hrstd="t" o:hr="t" fillcolor="#a0a0a0" stroked="f"/>
        </w:pict>
      </w:r>
    </w:p>
    <w:p w14:paraId="06A7A6CE" w14:textId="77777777" w:rsidR="00EB7CEA" w:rsidRDefault="00EB7CEA" w:rsidP="000A3E38">
      <w:pPr>
        <w:rPr>
          <w:rFonts w:ascii="Segoe UI Emoji" w:hAnsi="Segoe UI Emoji" w:cs="Segoe UI Emoji"/>
          <w:b/>
          <w:bCs/>
        </w:rPr>
      </w:pPr>
    </w:p>
    <w:p w14:paraId="4D7A0FB2" w14:textId="77777777" w:rsidR="00EB7CEA" w:rsidRDefault="00EB7CEA" w:rsidP="000A3E38">
      <w:pPr>
        <w:rPr>
          <w:rFonts w:ascii="Segoe UI Emoji" w:hAnsi="Segoe UI Emoji" w:cs="Segoe UI Emoji"/>
          <w:b/>
          <w:bCs/>
        </w:rPr>
      </w:pPr>
    </w:p>
    <w:p w14:paraId="7A794DD3" w14:textId="77777777" w:rsidR="00EB7CEA" w:rsidRDefault="00EB7CEA" w:rsidP="000A3E38">
      <w:pPr>
        <w:rPr>
          <w:rFonts w:ascii="Segoe UI Emoji" w:hAnsi="Segoe UI Emoji" w:cs="Segoe UI Emoji"/>
          <w:b/>
          <w:bCs/>
        </w:rPr>
      </w:pPr>
    </w:p>
    <w:p w14:paraId="41A318B0" w14:textId="77777777" w:rsidR="00EB7CEA" w:rsidRDefault="00EB7CEA" w:rsidP="000A3E38">
      <w:pPr>
        <w:rPr>
          <w:rFonts w:ascii="Segoe UI Emoji" w:hAnsi="Segoe UI Emoji" w:cs="Segoe UI Emoji"/>
          <w:b/>
          <w:bCs/>
        </w:rPr>
      </w:pPr>
    </w:p>
    <w:p w14:paraId="504A34B8" w14:textId="1AAB8892"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Salary vs Balance Relationship</w:t>
      </w:r>
    </w:p>
    <w:p w14:paraId="5365C104" w14:textId="0FD4BB30" w:rsidR="00EA7FD3" w:rsidRPr="009B6E87" w:rsidRDefault="00EA7FD3" w:rsidP="000A3E38">
      <w:pPr>
        <w:rPr>
          <w:rFonts w:ascii="Arial" w:hAnsi="Arial" w:cs="Arial"/>
          <w:b/>
          <w:bCs/>
        </w:rPr>
      </w:pPr>
      <w:r w:rsidRPr="00EA7FD3">
        <w:rPr>
          <w:rFonts w:ascii="Arial" w:hAnsi="Arial" w:cs="Arial"/>
          <w:b/>
          <w:bCs/>
          <w:noProof/>
        </w:rPr>
        <w:drawing>
          <wp:inline distT="0" distB="0" distL="0" distR="0" wp14:anchorId="0C95EEBF" wp14:editId="2D5C551B">
            <wp:extent cx="2965319" cy="2178050"/>
            <wp:effectExtent l="0" t="0" r="6985" b="0"/>
            <wp:docPr id="1862436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614" cy="2182674"/>
                    </a:xfrm>
                    <a:prstGeom prst="rect">
                      <a:avLst/>
                    </a:prstGeom>
                    <a:noFill/>
                    <a:ln>
                      <a:noFill/>
                    </a:ln>
                  </pic:spPr>
                </pic:pic>
              </a:graphicData>
            </a:graphic>
          </wp:inline>
        </w:drawing>
      </w:r>
    </w:p>
    <w:p w14:paraId="43CBC743" w14:textId="5E6955FF" w:rsidR="002070DF" w:rsidRPr="002070DF" w:rsidRDefault="002070DF" w:rsidP="002070DF">
      <w:pPr>
        <w:rPr>
          <w:rFonts w:ascii="Arial" w:hAnsi="Arial" w:cs="Arial"/>
        </w:rPr>
      </w:pPr>
      <w:r w:rsidRPr="002070DF">
        <w:rPr>
          <w:rFonts w:ascii="Arial" w:hAnsi="Arial" w:cs="Arial"/>
        </w:rPr>
        <w:t>This relationship shows financial behavio</w:t>
      </w:r>
      <w:r>
        <w:rPr>
          <w:rFonts w:ascii="Arial" w:hAnsi="Arial" w:cs="Arial"/>
        </w:rPr>
        <w:t>ur</w:t>
      </w:r>
      <w:r w:rsidRPr="002070DF">
        <w:rPr>
          <w:rFonts w:ascii="Arial" w:hAnsi="Arial" w:cs="Arial"/>
        </w:rPr>
        <w:t xml:space="preserve"> patterns:</w:t>
      </w:r>
    </w:p>
    <w:p w14:paraId="7BA8376B" w14:textId="77777777" w:rsidR="002070DF" w:rsidRPr="002070DF" w:rsidRDefault="002070DF" w:rsidP="002070DF">
      <w:pPr>
        <w:numPr>
          <w:ilvl w:val="0"/>
          <w:numId w:val="26"/>
        </w:numPr>
        <w:rPr>
          <w:rFonts w:ascii="Arial" w:hAnsi="Arial" w:cs="Arial"/>
        </w:rPr>
      </w:pPr>
      <w:r w:rsidRPr="002070DF">
        <w:rPr>
          <w:rFonts w:ascii="Arial" w:hAnsi="Arial" w:cs="Arial"/>
        </w:rPr>
        <w:t xml:space="preserve">No strong direct correlation between salary and balance </w:t>
      </w:r>
    </w:p>
    <w:p w14:paraId="7F62FB27" w14:textId="77777777" w:rsidR="002070DF" w:rsidRPr="002070DF" w:rsidRDefault="002070DF" w:rsidP="002070DF">
      <w:pPr>
        <w:numPr>
          <w:ilvl w:val="0"/>
          <w:numId w:val="26"/>
        </w:numPr>
        <w:rPr>
          <w:rFonts w:ascii="Arial" w:hAnsi="Arial" w:cs="Arial"/>
        </w:rPr>
      </w:pPr>
      <w:r w:rsidRPr="002070DF">
        <w:rPr>
          <w:rFonts w:ascii="Arial" w:hAnsi="Arial" w:cs="Arial"/>
        </w:rPr>
        <w:t xml:space="preserve">Some high-income customers maintain low balances </w:t>
      </w:r>
    </w:p>
    <w:p w14:paraId="134A0DF8" w14:textId="77777777" w:rsidR="002070DF" w:rsidRPr="002070DF" w:rsidRDefault="002070DF" w:rsidP="002070DF">
      <w:pPr>
        <w:numPr>
          <w:ilvl w:val="0"/>
          <w:numId w:val="26"/>
        </w:numPr>
        <w:rPr>
          <w:rFonts w:ascii="Arial" w:hAnsi="Arial" w:cs="Arial"/>
        </w:rPr>
      </w:pPr>
      <w:r w:rsidRPr="002070DF">
        <w:rPr>
          <w:rFonts w:ascii="Arial" w:hAnsi="Arial" w:cs="Arial"/>
        </w:rPr>
        <w:t>Financial habits vary significantly across customers</w:t>
      </w:r>
    </w:p>
    <w:p w14:paraId="235487CC" w14:textId="77777777" w:rsidR="000A3E38" w:rsidRPr="009B6E87" w:rsidRDefault="006C3E07" w:rsidP="000A3E38">
      <w:pPr>
        <w:rPr>
          <w:rFonts w:ascii="Arial" w:hAnsi="Arial" w:cs="Arial"/>
        </w:rPr>
      </w:pPr>
      <w:r>
        <w:rPr>
          <w:rFonts w:ascii="Arial" w:hAnsi="Arial" w:cs="Arial"/>
        </w:rPr>
        <w:pict w14:anchorId="7C70A625">
          <v:rect id="_x0000_i1038" style="width:0;height:1.5pt" o:hralign="center" o:hrstd="t" o:hr="t" fillcolor="#a0a0a0" stroked="f"/>
        </w:pict>
      </w:r>
    </w:p>
    <w:p w14:paraId="7CEA6C4E" w14:textId="77777777"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11. Engagement Analysis</w:t>
      </w:r>
    </w:p>
    <w:p w14:paraId="4849EC50" w14:textId="1EC65CDC"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Active vs Inactive Customers</w:t>
      </w:r>
    </w:p>
    <w:p w14:paraId="037EAF03" w14:textId="77777777" w:rsidR="008619A4" w:rsidRPr="008619A4" w:rsidRDefault="008619A4" w:rsidP="008619A4">
      <w:pPr>
        <w:rPr>
          <w:rFonts w:ascii="Arial" w:hAnsi="Arial" w:cs="Arial"/>
        </w:rPr>
      </w:pPr>
      <w:r w:rsidRPr="008619A4">
        <w:rPr>
          <w:rFonts w:ascii="Arial" w:hAnsi="Arial" w:cs="Arial"/>
        </w:rPr>
        <w:t>Customer engagement is one of the strongest churn indicators:</w:t>
      </w:r>
    </w:p>
    <w:p w14:paraId="2E0CC7F4" w14:textId="77777777" w:rsidR="008619A4" w:rsidRPr="008619A4" w:rsidRDefault="008619A4" w:rsidP="008619A4">
      <w:pPr>
        <w:numPr>
          <w:ilvl w:val="0"/>
          <w:numId w:val="27"/>
        </w:numPr>
        <w:rPr>
          <w:rFonts w:ascii="Arial" w:hAnsi="Arial" w:cs="Arial"/>
        </w:rPr>
      </w:pPr>
      <w:r w:rsidRPr="008619A4">
        <w:rPr>
          <w:rFonts w:ascii="Arial" w:hAnsi="Arial" w:cs="Arial"/>
        </w:rPr>
        <w:t xml:space="preserve">Inactive members show much higher churn rates </w:t>
      </w:r>
    </w:p>
    <w:p w14:paraId="3B5FA885" w14:textId="77777777" w:rsidR="008619A4" w:rsidRPr="008619A4" w:rsidRDefault="008619A4" w:rsidP="008619A4">
      <w:pPr>
        <w:numPr>
          <w:ilvl w:val="0"/>
          <w:numId w:val="27"/>
        </w:numPr>
        <w:rPr>
          <w:rFonts w:ascii="Arial" w:hAnsi="Arial" w:cs="Arial"/>
        </w:rPr>
      </w:pPr>
      <w:r w:rsidRPr="008619A4">
        <w:rPr>
          <w:rFonts w:ascii="Arial" w:hAnsi="Arial" w:cs="Arial"/>
        </w:rPr>
        <w:t xml:space="preserve">Active customers are more likely to stay </w:t>
      </w:r>
    </w:p>
    <w:p w14:paraId="2521CB68" w14:textId="30DD8631" w:rsidR="00EB7CEA" w:rsidRDefault="008619A4" w:rsidP="00DA09C5">
      <w:pPr>
        <w:numPr>
          <w:ilvl w:val="0"/>
          <w:numId w:val="27"/>
        </w:numPr>
        <w:ind w:left="360"/>
        <w:rPr>
          <w:rFonts w:ascii="Arial" w:hAnsi="Arial" w:cs="Arial"/>
        </w:rPr>
      </w:pPr>
      <w:r w:rsidRPr="004503A5">
        <w:rPr>
          <w:rFonts w:ascii="Arial" w:hAnsi="Arial" w:cs="Arial"/>
        </w:rPr>
        <w:t>Engagement is a key retention factor</w:t>
      </w:r>
    </w:p>
    <w:p w14:paraId="6C727C87" w14:textId="2604C59A" w:rsidR="004503A5" w:rsidRDefault="006C3E07" w:rsidP="004503A5">
      <w:pPr>
        <w:rPr>
          <w:rFonts w:ascii="Arial" w:hAnsi="Arial" w:cs="Arial"/>
        </w:rPr>
      </w:pPr>
      <w:r>
        <w:rPr>
          <w:rFonts w:ascii="Arial" w:hAnsi="Arial" w:cs="Arial"/>
        </w:rPr>
        <w:pict w14:anchorId="49CBAEFC">
          <v:rect id="_x0000_i1039" style="width:0;height:1.5pt" o:hralign="center" o:hrstd="t" o:hr="t" fillcolor="#a0a0a0" stroked="f"/>
        </w:pict>
      </w:r>
    </w:p>
    <w:p w14:paraId="3456ED63" w14:textId="1B89BF8D" w:rsidR="00907FFD" w:rsidRPr="00A25F44" w:rsidRDefault="00043BAA" w:rsidP="00A25F44">
      <w:pPr>
        <w:rPr>
          <w:rFonts w:ascii="Arial" w:hAnsi="Arial" w:cs="Arial"/>
          <w:b/>
          <w:bCs/>
        </w:rPr>
      </w:pPr>
      <w:r w:rsidRPr="00043BAA">
        <w:rPr>
          <w:rFonts w:ascii="Segoe UI Emoji" w:hAnsi="Segoe UI Emoji" w:cs="Segoe UI Emoji"/>
          <w:b/>
          <w:bCs/>
        </w:rPr>
        <w:t>📌</w:t>
      </w:r>
      <w:r w:rsidRPr="00043BAA">
        <w:rPr>
          <w:rFonts w:ascii="Arial" w:hAnsi="Arial" w:cs="Arial"/>
          <w:b/>
          <w:bCs/>
        </w:rPr>
        <w:t xml:space="preserve"> </w:t>
      </w:r>
      <w:r w:rsidR="004503A5" w:rsidRPr="004503A5">
        <w:rPr>
          <w:rFonts w:ascii="Arial" w:hAnsi="Arial" w:cs="Arial"/>
          <w:b/>
          <w:bCs/>
        </w:rPr>
        <w:t>12. Machine Learning Model Evaluation</w:t>
      </w:r>
    </w:p>
    <w:tbl>
      <w:tblPr>
        <w:tblStyle w:val="TableGrid"/>
        <w:tblW w:w="0" w:type="auto"/>
        <w:tblLook w:val="04A0" w:firstRow="1" w:lastRow="0" w:firstColumn="1" w:lastColumn="0" w:noHBand="0" w:noVBand="1"/>
      </w:tblPr>
      <w:tblGrid>
        <w:gridCol w:w="1780"/>
        <w:gridCol w:w="1140"/>
        <w:gridCol w:w="1160"/>
      </w:tblGrid>
      <w:tr w:rsidR="00A25F44" w:rsidRPr="00A25F44" w14:paraId="6C0A346C" w14:textId="77777777" w:rsidTr="00A25F44">
        <w:trPr>
          <w:trHeight w:val="288"/>
        </w:trPr>
        <w:tc>
          <w:tcPr>
            <w:tcW w:w="1780" w:type="dxa"/>
            <w:noWrap/>
            <w:hideMark/>
          </w:tcPr>
          <w:p w14:paraId="2FF5EDDA" w14:textId="77777777" w:rsidR="00A25F44" w:rsidRPr="00A25F44" w:rsidRDefault="00A25F44">
            <w:pPr>
              <w:rPr>
                <w:rFonts w:ascii="Arial" w:hAnsi="Arial" w:cs="Arial"/>
                <w:b/>
                <w:bCs/>
              </w:rPr>
            </w:pPr>
            <w:r w:rsidRPr="00A25F44">
              <w:rPr>
                <w:rFonts w:ascii="Arial" w:hAnsi="Arial" w:cs="Arial"/>
                <w:b/>
                <w:bCs/>
              </w:rPr>
              <w:t>Model</w:t>
            </w:r>
          </w:p>
        </w:tc>
        <w:tc>
          <w:tcPr>
            <w:tcW w:w="1140" w:type="dxa"/>
            <w:noWrap/>
            <w:hideMark/>
          </w:tcPr>
          <w:p w14:paraId="08B27EDE" w14:textId="77777777" w:rsidR="00A25F44" w:rsidRPr="00A25F44" w:rsidRDefault="00A25F44">
            <w:pPr>
              <w:rPr>
                <w:rFonts w:ascii="Arial" w:hAnsi="Arial" w:cs="Arial"/>
                <w:b/>
                <w:bCs/>
              </w:rPr>
            </w:pPr>
            <w:r w:rsidRPr="00A25F44">
              <w:rPr>
                <w:rFonts w:ascii="Arial" w:hAnsi="Arial" w:cs="Arial"/>
                <w:b/>
                <w:bCs/>
              </w:rPr>
              <w:t>Accuracy</w:t>
            </w:r>
          </w:p>
        </w:tc>
        <w:tc>
          <w:tcPr>
            <w:tcW w:w="1160" w:type="dxa"/>
            <w:noWrap/>
            <w:hideMark/>
          </w:tcPr>
          <w:p w14:paraId="42B9C6BE" w14:textId="77777777" w:rsidR="00A25F44" w:rsidRPr="00A25F44" w:rsidRDefault="00A25F44">
            <w:pPr>
              <w:rPr>
                <w:rFonts w:ascii="Arial" w:hAnsi="Arial" w:cs="Arial"/>
                <w:b/>
                <w:bCs/>
              </w:rPr>
            </w:pPr>
            <w:r w:rsidRPr="00A25F44">
              <w:rPr>
                <w:rFonts w:ascii="Arial" w:hAnsi="Arial" w:cs="Arial"/>
                <w:b/>
                <w:bCs/>
              </w:rPr>
              <w:t>ROC-AUC</w:t>
            </w:r>
          </w:p>
        </w:tc>
      </w:tr>
      <w:tr w:rsidR="00A25F44" w:rsidRPr="00A25F44" w14:paraId="6AA08705" w14:textId="77777777" w:rsidTr="00A25F44">
        <w:trPr>
          <w:trHeight w:val="288"/>
        </w:trPr>
        <w:tc>
          <w:tcPr>
            <w:tcW w:w="1780" w:type="dxa"/>
            <w:noWrap/>
            <w:hideMark/>
          </w:tcPr>
          <w:p w14:paraId="5E8A056C" w14:textId="77777777" w:rsidR="00A25F44" w:rsidRPr="00A25F44" w:rsidRDefault="00A25F44">
            <w:pPr>
              <w:rPr>
                <w:rFonts w:ascii="Arial" w:hAnsi="Arial" w:cs="Arial"/>
                <w:b/>
                <w:bCs/>
              </w:rPr>
            </w:pPr>
            <w:r w:rsidRPr="00A25F44">
              <w:rPr>
                <w:rFonts w:ascii="Arial" w:hAnsi="Arial" w:cs="Arial"/>
                <w:b/>
                <w:bCs/>
              </w:rPr>
              <w:t>Logistic Regression</w:t>
            </w:r>
          </w:p>
        </w:tc>
        <w:tc>
          <w:tcPr>
            <w:tcW w:w="1140" w:type="dxa"/>
            <w:noWrap/>
            <w:hideMark/>
          </w:tcPr>
          <w:p w14:paraId="6FFEF98A" w14:textId="77777777" w:rsidR="00A25F44" w:rsidRPr="00A25F44" w:rsidRDefault="00A25F44" w:rsidP="00A25F44">
            <w:pPr>
              <w:rPr>
                <w:rFonts w:ascii="Arial" w:hAnsi="Arial" w:cs="Arial"/>
                <w:b/>
                <w:bCs/>
              </w:rPr>
            </w:pPr>
            <w:r w:rsidRPr="00A25F44">
              <w:rPr>
                <w:rFonts w:ascii="Arial" w:hAnsi="Arial" w:cs="Arial"/>
                <w:b/>
                <w:bCs/>
              </w:rPr>
              <w:t>78.20%</w:t>
            </w:r>
          </w:p>
        </w:tc>
        <w:tc>
          <w:tcPr>
            <w:tcW w:w="1160" w:type="dxa"/>
            <w:noWrap/>
            <w:hideMark/>
          </w:tcPr>
          <w:p w14:paraId="23B82642" w14:textId="77777777" w:rsidR="00A25F44" w:rsidRPr="00A25F44" w:rsidRDefault="00A25F44" w:rsidP="00A25F44">
            <w:pPr>
              <w:rPr>
                <w:rFonts w:ascii="Arial" w:hAnsi="Arial" w:cs="Arial"/>
                <w:b/>
                <w:bCs/>
              </w:rPr>
            </w:pPr>
            <w:r w:rsidRPr="00A25F44">
              <w:rPr>
                <w:rFonts w:ascii="Arial" w:hAnsi="Arial" w:cs="Arial"/>
                <w:b/>
                <w:bCs/>
              </w:rPr>
              <w:t>0.732</w:t>
            </w:r>
          </w:p>
        </w:tc>
      </w:tr>
      <w:tr w:rsidR="00A25F44" w:rsidRPr="00A25F44" w14:paraId="1811B3B7" w14:textId="77777777" w:rsidTr="00A25F44">
        <w:trPr>
          <w:trHeight w:val="288"/>
        </w:trPr>
        <w:tc>
          <w:tcPr>
            <w:tcW w:w="1780" w:type="dxa"/>
            <w:noWrap/>
            <w:hideMark/>
          </w:tcPr>
          <w:p w14:paraId="2B68AAE0" w14:textId="77777777" w:rsidR="00A25F44" w:rsidRPr="00A25F44" w:rsidRDefault="00A25F44">
            <w:pPr>
              <w:rPr>
                <w:rFonts w:ascii="Arial" w:hAnsi="Arial" w:cs="Arial"/>
                <w:b/>
                <w:bCs/>
              </w:rPr>
            </w:pPr>
            <w:r w:rsidRPr="00A25F44">
              <w:rPr>
                <w:rFonts w:ascii="Arial" w:hAnsi="Arial" w:cs="Arial"/>
                <w:b/>
                <w:bCs/>
              </w:rPr>
              <w:t>Decision Tree</w:t>
            </w:r>
          </w:p>
        </w:tc>
        <w:tc>
          <w:tcPr>
            <w:tcW w:w="1140" w:type="dxa"/>
            <w:noWrap/>
            <w:hideMark/>
          </w:tcPr>
          <w:p w14:paraId="697027F8" w14:textId="77777777" w:rsidR="00A25F44" w:rsidRPr="00A25F44" w:rsidRDefault="00A25F44" w:rsidP="00A25F44">
            <w:pPr>
              <w:rPr>
                <w:rFonts w:ascii="Arial" w:hAnsi="Arial" w:cs="Arial"/>
                <w:b/>
                <w:bCs/>
              </w:rPr>
            </w:pPr>
            <w:r w:rsidRPr="00A25F44">
              <w:rPr>
                <w:rFonts w:ascii="Arial" w:hAnsi="Arial" w:cs="Arial"/>
                <w:b/>
                <w:bCs/>
              </w:rPr>
              <w:t>79.10%</w:t>
            </w:r>
          </w:p>
        </w:tc>
        <w:tc>
          <w:tcPr>
            <w:tcW w:w="1160" w:type="dxa"/>
            <w:noWrap/>
            <w:hideMark/>
          </w:tcPr>
          <w:p w14:paraId="0EBA31B5" w14:textId="77777777" w:rsidR="00A25F44" w:rsidRPr="00A25F44" w:rsidRDefault="00A25F44" w:rsidP="00A25F44">
            <w:pPr>
              <w:rPr>
                <w:rFonts w:ascii="Arial" w:hAnsi="Arial" w:cs="Arial"/>
                <w:b/>
                <w:bCs/>
              </w:rPr>
            </w:pPr>
            <w:r w:rsidRPr="00A25F44">
              <w:rPr>
                <w:rFonts w:ascii="Arial" w:hAnsi="Arial" w:cs="Arial"/>
                <w:b/>
                <w:bCs/>
              </w:rPr>
              <w:t>0.682</w:t>
            </w:r>
          </w:p>
        </w:tc>
      </w:tr>
      <w:tr w:rsidR="00A25F44" w:rsidRPr="00A25F44" w14:paraId="466D77C0" w14:textId="77777777" w:rsidTr="00A25F44">
        <w:trPr>
          <w:trHeight w:val="288"/>
        </w:trPr>
        <w:tc>
          <w:tcPr>
            <w:tcW w:w="1780" w:type="dxa"/>
            <w:noWrap/>
            <w:hideMark/>
          </w:tcPr>
          <w:p w14:paraId="7A28277A" w14:textId="77777777" w:rsidR="00A25F44" w:rsidRPr="00A25F44" w:rsidRDefault="00A25F44">
            <w:pPr>
              <w:rPr>
                <w:rFonts w:ascii="Arial" w:hAnsi="Arial" w:cs="Arial"/>
                <w:b/>
                <w:bCs/>
              </w:rPr>
            </w:pPr>
            <w:r w:rsidRPr="00A25F44">
              <w:rPr>
                <w:rFonts w:ascii="Arial" w:hAnsi="Arial" w:cs="Arial"/>
                <w:b/>
                <w:bCs/>
              </w:rPr>
              <w:t>Random Forest</w:t>
            </w:r>
          </w:p>
        </w:tc>
        <w:tc>
          <w:tcPr>
            <w:tcW w:w="1140" w:type="dxa"/>
            <w:noWrap/>
            <w:hideMark/>
          </w:tcPr>
          <w:p w14:paraId="717F75C5" w14:textId="77777777" w:rsidR="00A25F44" w:rsidRPr="00A25F44" w:rsidRDefault="00A25F44" w:rsidP="00A25F44">
            <w:pPr>
              <w:rPr>
                <w:rFonts w:ascii="Arial" w:hAnsi="Arial" w:cs="Arial"/>
                <w:b/>
                <w:bCs/>
              </w:rPr>
            </w:pPr>
            <w:r w:rsidRPr="00A25F44">
              <w:rPr>
                <w:rFonts w:ascii="Arial" w:hAnsi="Arial" w:cs="Arial"/>
                <w:b/>
                <w:bCs/>
              </w:rPr>
              <w:t>86.10%</w:t>
            </w:r>
          </w:p>
        </w:tc>
        <w:tc>
          <w:tcPr>
            <w:tcW w:w="1160" w:type="dxa"/>
            <w:noWrap/>
            <w:hideMark/>
          </w:tcPr>
          <w:p w14:paraId="41D5E98C" w14:textId="77777777" w:rsidR="00A25F44" w:rsidRPr="00A25F44" w:rsidRDefault="00A25F44" w:rsidP="00A25F44">
            <w:pPr>
              <w:rPr>
                <w:rFonts w:ascii="Arial" w:hAnsi="Arial" w:cs="Arial"/>
                <w:b/>
                <w:bCs/>
              </w:rPr>
            </w:pPr>
            <w:r w:rsidRPr="00A25F44">
              <w:rPr>
                <w:rFonts w:ascii="Arial" w:hAnsi="Arial" w:cs="Arial"/>
                <w:b/>
                <w:bCs/>
              </w:rPr>
              <w:t>0.849</w:t>
            </w:r>
          </w:p>
        </w:tc>
      </w:tr>
      <w:tr w:rsidR="00A25F44" w:rsidRPr="00A25F44" w14:paraId="5738AF1C" w14:textId="77777777" w:rsidTr="00A25F44">
        <w:trPr>
          <w:trHeight w:val="288"/>
        </w:trPr>
        <w:tc>
          <w:tcPr>
            <w:tcW w:w="1780" w:type="dxa"/>
            <w:noWrap/>
            <w:hideMark/>
          </w:tcPr>
          <w:p w14:paraId="7097DD0F" w14:textId="77777777" w:rsidR="00A25F44" w:rsidRPr="00A25F44" w:rsidRDefault="00A25F44">
            <w:pPr>
              <w:rPr>
                <w:rFonts w:ascii="Arial" w:hAnsi="Arial" w:cs="Arial"/>
                <w:b/>
                <w:bCs/>
              </w:rPr>
            </w:pPr>
            <w:r w:rsidRPr="00A25F44">
              <w:rPr>
                <w:rFonts w:ascii="Arial" w:hAnsi="Arial" w:cs="Arial"/>
                <w:b/>
                <w:bCs/>
              </w:rPr>
              <w:t>Gradient Boosting</w:t>
            </w:r>
          </w:p>
        </w:tc>
        <w:tc>
          <w:tcPr>
            <w:tcW w:w="1140" w:type="dxa"/>
            <w:noWrap/>
            <w:hideMark/>
          </w:tcPr>
          <w:p w14:paraId="0D088043" w14:textId="77777777" w:rsidR="00A25F44" w:rsidRPr="00A25F44" w:rsidRDefault="00A25F44" w:rsidP="00A25F44">
            <w:pPr>
              <w:rPr>
                <w:rFonts w:ascii="Arial" w:hAnsi="Arial" w:cs="Arial"/>
                <w:b/>
                <w:bCs/>
              </w:rPr>
            </w:pPr>
            <w:r w:rsidRPr="00A25F44">
              <w:rPr>
                <w:rFonts w:ascii="Arial" w:hAnsi="Arial" w:cs="Arial"/>
                <w:b/>
                <w:bCs/>
              </w:rPr>
              <w:t>87.20%</w:t>
            </w:r>
          </w:p>
        </w:tc>
        <w:tc>
          <w:tcPr>
            <w:tcW w:w="1160" w:type="dxa"/>
            <w:noWrap/>
            <w:hideMark/>
          </w:tcPr>
          <w:p w14:paraId="1A2D4EE7" w14:textId="77777777" w:rsidR="00A25F44" w:rsidRPr="00A25F44" w:rsidRDefault="00A25F44" w:rsidP="00A25F44">
            <w:pPr>
              <w:rPr>
                <w:rFonts w:ascii="Arial" w:hAnsi="Arial" w:cs="Arial"/>
                <w:b/>
                <w:bCs/>
              </w:rPr>
            </w:pPr>
            <w:r w:rsidRPr="00A25F44">
              <w:rPr>
                <w:rFonts w:ascii="Arial" w:hAnsi="Arial" w:cs="Arial"/>
                <w:b/>
                <w:bCs/>
              </w:rPr>
              <w:t>0.865</w:t>
            </w:r>
          </w:p>
        </w:tc>
      </w:tr>
    </w:tbl>
    <w:p w14:paraId="0D43DBC5" w14:textId="77777777" w:rsidR="00907FFD" w:rsidRPr="004503A5" w:rsidRDefault="00907FFD" w:rsidP="004503A5">
      <w:pPr>
        <w:rPr>
          <w:rFonts w:ascii="Arial" w:hAnsi="Arial" w:cs="Arial"/>
          <w:b/>
          <w:bCs/>
        </w:rPr>
      </w:pPr>
    </w:p>
    <w:p w14:paraId="6443B9AF" w14:textId="77777777" w:rsidR="000A3E38" w:rsidRPr="009B6E87" w:rsidRDefault="006C3E07" w:rsidP="000A3E38">
      <w:pPr>
        <w:rPr>
          <w:rFonts w:ascii="Arial" w:hAnsi="Arial" w:cs="Arial"/>
        </w:rPr>
      </w:pPr>
      <w:r>
        <w:rPr>
          <w:rFonts w:ascii="Arial" w:hAnsi="Arial" w:cs="Arial"/>
        </w:rPr>
        <w:pict w14:anchorId="08A2C438">
          <v:rect id="_x0000_i1040" style="width:0;height:1.5pt" o:hralign="center" o:hrstd="t" o:hr="t" fillcolor="#a0a0a0" stroked="f"/>
        </w:pict>
      </w:r>
    </w:p>
    <w:p w14:paraId="685D8B36" w14:textId="77777777" w:rsidR="008274F1" w:rsidRDefault="008274F1" w:rsidP="000A3E38">
      <w:pPr>
        <w:rPr>
          <w:rFonts w:ascii="Segoe UI Emoji" w:hAnsi="Segoe UI Emoji" w:cs="Segoe UI Emoji"/>
          <w:b/>
          <w:bCs/>
        </w:rPr>
      </w:pPr>
    </w:p>
    <w:p w14:paraId="50D2427E" w14:textId="1D9C4192" w:rsidR="000A3E38" w:rsidRPr="00043BAA" w:rsidRDefault="008274F1" w:rsidP="00043BAA">
      <w:pPr>
        <w:rPr>
          <w:rFonts w:ascii="Segoe UI Emoji" w:hAnsi="Segoe UI Emoji" w:cs="Segoe UI Emoji"/>
          <w:b/>
          <w:bCs/>
        </w:rPr>
      </w:pPr>
      <w:r w:rsidRPr="008274F1">
        <w:rPr>
          <w:rFonts w:ascii="Segoe UI Emoji" w:hAnsi="Segoe UI Emoji" w:cs="Segoe UI Emoji"/>
          <w:b/>
          <w:bCs/>
          <w:noProof/>
        </w:rPr>
        <w:drawing>
          <wp:inline distT="0" distB="0" distL="0" distR="0" wp14:anchorId="26789F2E" wp14:editId="48818F1E">
            <wp:extent cx="2640965" cy="2092325"/>
            <wp:effectExtent l="0" t="0" r="6985" b="3175"/>
            <wp:docPr id="1156137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2092325"/>
                    </a:xfrm>
                    <a:prstGeom prst="rect">
                      <a:avLst/>
                    </a:prstGeom>
                    <a:noFill/>
                    <a:ln>
                      <a:noFill/>
                    </a:ln>
                  </pic:spPr>
                </pic:pic>
              </a:graphicData>
            </a:graphic>
          </wp:inline>
        </w:drawing>
      </w:r>
    </w:p>
    <w:p w14:paraId="2D4DCD37" w14:textId="77777777" w:rsidR="000A3E38" w:rsidRPr="009B6E87" w:rsidRDefault="006C3E07" w:rsidP="000A3E38">
      <w:pPr>
        <w:rPr>
          <w:rFonts w:ascii="Arial" w:hAnsi="Arial" w:cs="Arial"/>
        </w:rPr>
      </w:pPr>
      <w:r>
        <w:rPr>
          <w:rFonts w:ascii="Arial" w:hAnsi="Arial" w:cs="Arial"/>
        </w:rPr>
        <w:pict w14:anchorId="674E45AC">
          <v:rect id="_x0000_i1041" style="width:0;height:1.5pt" o:hralign="center" o:hrstd="t" o:hr="t" fillcolor="#a0a0a0" stroked="f"/>
        </w:pict>
      </w:r>
    </w:p>
    <w:p w14:paraId="1CC690F9" w14:textId="768140C7" w:rsidR="000A3E38"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13. Key Findings</w:t>
      </w:r>
    </w:p>
    <w:p w14:paraId="6F09BBE6" w14:textId="77777777" w:rsidR="001B41A6" w:rsidRPr="001B41A6" w:rsidRDefault="001B41A6" w:rsidP="001B41A6">
      <w:pPr>
        <w:numPr>
          <w:ilvl w:val="0"/>
          <w:numId w:val="29"/>
        </w:numPr>
        <w:rPr>
          <w:rFonts w:ascii="Arial" w:hAnsi="Arial" w:cs="Arial"/>
        </w:rPr>
      </w:pPr>
      <w:r w:rsidRPr="001B41A6">
        <w:rPr>
          <w:rFonts w:ascii="Arial" w:hAnsi="Arial" w:cs="Arial"/>
        </w:rPr>
        <w:t>Gradient Boosting achieved the best predictive performance with 87.2% accuracy and 86.5% ROC-AUC.</w:t>
      </w:r>
    </w:p>
    <w:p w14:paraId="637A59A5" w14:textId="77777777" w:rsidR="001B41A6" w:rsidRPr="001B41A6" w:rsidRDefault="001B41A6" w:rsidP="001B41A6">
      <w:pPr>
        <w:numPr>
          <w:ilvl w:val="0"/>
          <w:numId w:val="29"/>
        </w:numPr>
        <w:rPr>
          <w:rFonts w:ascii="Arial" w:hAnsi="Arial" w:cs="Arial"/>
        </w:rPr>
      </w:pPr>
      <w:r w:rsidRPr="001B41A6">
        <w:rPr>
          <w:rFonts w:ascii="Arial" w:hAnsi="Arial" w:cs="Arial"/>
        </w:rPr>
        <w:t>Product Density was the most important feature influencing customer churn.</w:t>
      </w:r>
    </w:p>
    <w:p w14:paraId="67CDE8C7" w14:textId="77777777" w:rsidR="001B41A6" w:rsidRPr="001B41A6" w:rsidRDefault="001B41A6" w:rsidP="001B41A6">
      <w:pPr>
        <w:numPr>
          <w:ilvl w:val="0"/>
          <w:numId w:val="29"/>
        </w:numPr>
        <w:rPr>
          <w:rFonts w:ascii="Arial" w:hAnsi="Arial" w:cs="Arial"/>
        </w:rPr>
      </w:pPr>
      <w:r w:rsidRPr="001B41A6">
        <w:rPr>
          <w:rFonts w:ascii="Arial" w:hAnsi="Arial" w:cs="Arial"/>
        </w:rPr>
        <w:t>Age emerged as the second most significant predictor.</w:t>
      </w:r>
    </w:p>
    <w:p w14:paraId="61681254" w14:textId="2E55243D" w:rsidR="001B41A6" w:rsidRPr="001B41A6" w:rsidRDefault="001B41A6" w:rsidP="001B41A6">
      <w:pPr>
        <w:numPr>
          <w:ilvl w:val="0"/>
          <w:numId w:val="29"/>
        </w:numPr>
        <w:rPr>
          <w:rFonts w:ascii="Arial" w:hAnsi="Arial" w:cs="Arial"/>
        </w:rPr>
      </w:pPr>
      <w:r w:rsidRPr="001B41A6">
        <w:rPr>
          <w:rFonts w:ascii="Arial" w:hAnsi="Arial" w:cs="Arial"/>
        </w:rPr>
        <w:t>Credit Score and Balance strongly influenced retention behavio</w:t>
      </w:r>
      <w:r>
        <w:rPr>
          <w:rFonts w:ascii="Arial" w:hAnsi="Arial" w:cs="Arial"/>
        </w:rPr>
        <w:t>u</w:t>
      </w:r>
      <w:r w:rsidRPr="001B41A6">
        <w:rPr>
          <w:rFonts w:ascii="Arial" w:hAnsi="Arial" w:cs="Arial"/>
        </w:rPr>
        <w:t>r.</w:t>
      </w:r>
    </w:p>
    <w:p w14:paraId="7093F9E7" w14:textId="77777777" w:rsidR="001B41A6" w:rsidRPr="001B41A6" w:rsidRDefault="001B41A6" w:rsidP="001B41A6">
      <w:pPr>
        <w:numPr>
          <w:ilvl w:val="0"/>
          <w:numId w:val="29"/>
        </w:numPr>
        <w:rPr>
          <w:rFonts w:ascii="Arial" w:hAnsi="Arial" w:cs="Arial"/>
        </w:rPr>
      </w:pPr>
      <w:r w:rsidRPr="001B41A6">
        <w:rPr>
          <w:rFonts w:ascii="Arial" w:hAnsi="Arial" w:cs="Arial"/>
        </w:rPr>
        <w:t>Feature engineering substantially improved model performance.</w:t>
      </w:r>
    </w:p>
    <w:p w14:paraId="77E70781" w14:textId="77777777" w:rsidR="001B41A6" w:rsidRPr="001B41A6" w:rsidRDefault="001B41A6" w:rsidP="001B41A6">
      <w:pPr>
        <w:numPr>
          <w:ilvl w:val="0"/>
          <w:numId w:val="29"/>
        </w:numPr>
        <w:rPr>
          <w:rFonts w:ascii="Arial" w:hAnsi="Arial" w:cs="Arial"/>
        </w:rPr>
      </w:pPr>
      <w:r w:rsidRPr="001B41A6">
        <w:rPr>
          <w:rFonts w:ascii="Arial" w:hAnsi="Arial" w:cs="Arial"/>
        </w:rPr>
        <w:t>Customer engagement indicators contributed meaningful predictive value.</w:t>
      </w:r>
    </w:p>
    <w:p w14:paraId="7517D1FA" w14:textId="77777777" w:rsidR="001B41A6" w:rsidRPr="001B41A6" w:rsidRDefault="001B41A6" w:rsidP="001B41A6">
      <w:pPr>
        <w:numPr>
          <w:ilvl w:val="0"/>
          <w:numId w:val="29"/>
        </w:numPr>
        <w:rPr>
          <w:rFonts w:ascii="Arial" w:hAnsi="Arial" w:cs="Arial"/>
        </w:rPr>
      </w:pPr>
      <w:r w:rsidRPr="001B41A6">
        <w:rPr>
          <w:rFonts w:ascii="Arial" w:hAnsi="Arial" w:cs="Arial"/>
        </w:rPr>
        <w:t>Product ownership patterns are strongly associated with churn probability.</w:t>
      </w:r>
    </w:p>
    <w:p w14:paraId="2512C53C" w14:textId="77777777" w:rsidR="000A3E38" w:rsidRPr="009B6E87" w:rsidRDefault="006C3E07" w:rsidP="000A3E38">
      <w:pPr>
        <w:rPr>
          <w:rFonts w:ascii="Arial" w:hAnsi="Arial" w:cs="Arial"/>
        </w:rPr>
      </w:pPr>
      <w:r>
        <w:rPr>
          <w:rFonts w:ascii="Arial" w:hAnsi="Arial" w:cs="Arial"/>
        </w:rPr>
        <w:pict w14:anchorId="40D3D391">
          <v:rect id="_x0000_i1042" style="width:0;height:1.5pt" o:hralign="center" o:hrstd="t" o:hr="t" fillcolor="#a0a0a0" stroked="f"/>
        </w:pict>
      </w:r>
    </w:p>
    <w:p w14:paraId="5C254D10" w14:textId="77777777"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14. Discussion</w:t>
      </w:r>
    </w:p>
    <w:p w14:paraId="06AA723F" w14:textId="77777777" w:rsidR="004E1527" w:rsidRDefault="00A64A85" w:rsidP="00A64A85">
      <w:pPr>
        <w:rPr>
          <w:rFonts w:ascii="Arial" w:hAnsi="Arial" w:cs="Arial"/>
        </w:rPr>
      </w:pPr>
      <w:r w:rsidRPr="00A64A85">
        <w:rPr>
          <w:rFonts w:ascii="Arial" w:hAnsi="Arial" w:cs="Arial"/>
        </w:rPr>
        <w:t>The findings demonstrate that customer churn is influenced by a complex interaction of demographic, financial, and behavio</w:t>
      </w:r>
      <w:r>
        <w:rPr>
          <w:rFonts w:ascii="Arial" w:hAnsi="Arial" w:cs="Arial"/>
        </w:rPr>
        <w:t>u</w:t>
      </w:r>
      <w:r w:rsidRPr="00A64A85">
        <w:rPr>
          <w:rFonts w:ascii="Arial" w:hAnsi="Arial" w:cs="Arial"/>
        </w:rPr>
        <w:t>ral factors.</w:t>
      </w:r>
    </w:p>
    <w:p w14:paraId="319904BD" w14:textId="2F6311B1" w:rsidR="00A64A85" w:rsidRPr="00A64A85" w:rsidRDefault="00A64A85" w:rsidP="00A64A85">
      <w:pPr>
        <w:rPr>
          <w:rFonts w:ascii="Arial" w:hAnsi="Arial" w:cs="Arial"/>
        </w:rPr>
      </w:pPr>
      <w:r w:rsidRPr="00A64A85">
        <w:rPr>
          <w:rFonts w:ascii="Arial" w:hAnsi="Arial" w:cs="Arial"/>
        </w:rPr>
        <w:t>Traditional predictors such as Age, Credit Score, and Balance remain important. However, engineered variables including Product Density and Balance-Salary Ratio contributed additional predictive power by capturing customer behavi</w:t>
      </w:r>
      <w:r>
        <w:rPr>
          <w:rFonts w:ascii="Arial" w:hAnsi="Arial" w:cs="Arial"/>
        </w:rPr>
        <w:t>ou</w:t>
      </w:r>
      <w:r w:rsidRPr="00A64A85">
        <w:rPr>
          <w:rFonts w:ascii="Arial" w:hAnsi="Arial" w:cs="Arial"/>
        </w:rPr>
        <w:t>r more effectively.</w:t>
      </w:r>
    </w:p>
    <w:p w14:paraId="56579958" w14:textId="5AC5BA13" w:rsidR="00A64A85" w:rsidRPr="00A64A85" w:rsidRDefault="00A64A85" w:rsidP="00A64A85">
      <w:pPr>
        <w:rPr>
          <w:rFonts w:ascii="Arial" w:hAnsi="Arial" w:cs="Arial"/>
        </w:rPr>
      </w:pPr>
      <w:r w:rsidRPr="00A64A85">
        <w:rPr>
          <w:rFonts w:ascii="Arial" w:hAnsi="Arial" w:cs="Arial"/>
        </w:rPr>
        <w:lastRenderedPageBreak/>
        <w:t>The superior performance of Gradient Boosting indicates that non-linear relationships exist within customer churn behavio</w:t>
      </w:r>
      <w:r w:rsidR="004E1527">
        <w:rPr>
          <w:rFonts w:ascii="Arial" w:hAnsi="Arial" w:cs="Arial"/>
        </w:rPr>
        <w:t>u</w:t>
      </w:r>
      <w:r w:rsidRPr="00A64A85">
        <w:rPr>
          <w:rFonts w:ascii="Arial" w:hAnsi="Arial" w:cs="Arial"/>
        </w:rPr>
        <w:t>r</w:t>
      </w:r>
      <w:r w:rsidR="004E1527">
        <w:rPr>
          <w:rFonts w:ascii="Arial" w:hAnsi="Arial" w:cs="Arial"/>
        </w:rPr>
        <w:t xml:space="preserve"> </w:t>
      </w:r>
      <w:r w:rsidRPr="00A64A85">
        <w:rPr>
          <w:rFonts w:ascii="Arial" w:hAnsi="Arial" w:cs="Arial"/>
        </w:rPr>
        <w:t>and can be effectively mod</w:t>
      </w:r>
      <w:r w:rsidR="00993A3C">
        <w:rPr>
          <w:rFonts w:ascii="Arial" w:hAnsi="Arial" w:cs="Arial"/>
        </w:rPr>
        <w:t xml:space="preserve">el </w:t>
      </w:r>
      <w:r w:rsidRPr="00A64A85">
        <w:rPr>
          <w:rFonts w:ascii="Arial" w:hAnsi="Arial" w:cs="Arial"/>
        </w:rPr>
        <w:t>using ensemble learning techniques.</w:t>
      </w:r>
    </w:p>
    <w:p w14:paraId="79A29C85" w14:textId="77777777" w:rsidR="00A64A85" w:rsidRPr="00A64A85" w:rsidRDefault="00A64A85" w:rsidP="00A64A85">
      <w:pPr>
        <w:rPr>
          <w:rFonts w:ascii="Arial" w:hAnsi="Arial" w:cs="Arial"/>
        </w:rPr>
      </w:pPr>
      <w:r w:rsidRPr="00A64A85">
        <w:rPr>
          <w:rFonts w:ascii="Arial" w:hAnsi="Arial" w:cs="Arial"/>
        </w:rPr>
        <w:t>These insights can support more personalized customer retention strategies and proactive risk management initiatives.</w:t>
      </w:r>
    </w:p>
    <w:p w14:paraId="08D8D418" w14:textId="22D80FA0" w:rsidR="000A3E38" w:rsidRPr="009B6E87" w:rsidRDefault="000A3E38" w:rsidP="000A3E38">
      <w:pPr>
        <w:rPr>
          <w:rFonts w:ascii="Arial" w:hAnsi="Arial" w:cs="Arial"/>
        </w:rPr>
      </w:pPr>
    </w:p>
    <w:p w14:paraId="014D542B" w14:textId="77777777" w:rsidR="000A3E38" w:rsidRPr="009B6E87" w:rsidRDefault="006C3E07" w:rsidP="000A3E38">
      <w:pPr>
        <w:rPr>
          <w:rFonts w:ascii="Arial" w:hAnsi="Arial" w:cs="Arial"/>
        </w:rPr>
      </w:pPr>
      <w:r>
        <w:rPr>
          <w:rFonts w:ascii="Arial" w:hAnsi="Arial" w:cs="Arial"/>
        </w:rPr>
        <w:pict w14:anchorId="196833BA">
          <v:rect id="_x0000_i1043" style="width:0;height:1.5pt" o:hralign="center" o:hrstd="t" o:hr="t" fillcolor="#a0a0a0" stroked="f"/>
        </w:pict>
      </w:r>
    </w:p>
    <w:p w14:paraId="59BE12D7" w14:textId="77777777" w:rsidR="00993A3C"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15. Recommendations</w:t>
      </w:r>
    </w:p>
    <w:p w14:paraId="48C8A1FA" w14:textId="77777777" w:rsidR="00993A3C" w:rsidRDefault="00993A3C" w:rsidP="00993A3C">
      <w:pPr>
        <w:rPr>
          <w:rFonts w:ascii="Arial" w:hAnsi="Arial" w:cs="Arial"/>
        </w:rPr>
      </w:pPr>
      <w:r w:rsidRPr="00993A3C">
        <w:rPr>
          <w:rFonts w:ascii="Arial" w:hAnsi="Arial" w:cs="Arial"/>
        </w:rPr>
        <w:t>Based on the findings, the following actions are recommended:</w:t>
      </w:r>
    </w:p>
    <w:p w14:paraId="235DE1FC" w14:textId="5A0339AE" w:rsidR="00993A3C" w:rsidRPr="00993A3C" w:rsidRDefault="00993A3C" w:rsidP="00993A3C">
      <w:pPr>
        <w:pStyle w:val="ListParagraph"/>
        <w:numPr>
          <w:ilvl w:val="0"/>
          <w:numId w:val="30"/>
        </w:numPr>
        <w:rPr>
          <w:rFonts w:ascii="Arial" w:hAnsi="Arial" w:cs="Arial"/>
        </w:rPr>
      </w:pPr>
      <w:r w:rsidRPr="00993A3C">
        <w:rPr>
          <w:rFonts w:ascii="Arial" w:hAnsi="Arial" w:cs="Arial"/>
        </w:rPr>
        <w:t>Customer Retention Programs</w:t>
      </w:r>
    </w:p>
    <w:p w14:paraId="39CB4376" w14:textId="77777777" w:rsidR="00993A3C" w:rsidRPr="00993A3C" w:rsidRDefault="00993A3C" w:rsidP="00993A3C">
      <w:pPr>
        <w:pStyle w:val="ListParagraph"/>
        <w:numPr>
          <w:ilvl w:val="0"/>
          <w:numId w:val="30"/>
        </w:numPr>
        <w:rPr>
          <w:rFonts w:ascii="Arial" w:hAnsi="Arial" w:cs="Arial"/>
        </w:rPr>
      </w:pPr>
      <w:r w:rsidRPr="00993A3C">
        <w:rPr>
          <w:rFonts w:ascii="Arial" w:hAnsi="Arial" w:cs="Arial"/>
        </w:rPr>
        <w:t>Product Cross-Selling</w:t>
      </w:r>
    </w:p>
    <w:p w14:paraId="5F2418CA" w14:textId="3FE03FDA" w:rsidR="00993A3C" w:rsidRPr="006C093A" w:rsidRDefault="006C093A" w:rsidP="006C093A">
      <w:pPr>
        <w:pStyle w:val="ListParagraph"/>
        <w:numPr>
          <w:ilvl w:val="0"/>
          <w:numId w:val="30"/>
        </w:numPr>
        <w:rPr>
          <w:rFonts w:ascii="Arial" w:hAnsi="Arial" w:cs="Arial"/>
        </w:rPr>
      </w:pPr>
      <w:r w:rsidRPr="006C093A">
        <w:rPr>
          <w:rFonts w:ascii="Arial" w:hAnsi="Arial" w:cs="Arial"/>
        </w:rPr>
        <w:t>High-Value Customer Monitoring</w:t>
      </w:r>
    </w:p>
    <w:p w14:paraId="5F5F9D4B" w14:textId="77777777" w:rsidR="00AE5FDE" w:rsidRDefault="00993A3C" w:rsidP="00993A3C">
      <w:pPr>
        <w:pStyle w:val="ListParagraph"/>
        <w:numPr>
          <w:ilvl w:val="0"/>
          <w:numId w:val="30"/>
        </w:numPr>
        <w:rPr>
          <w:rFonts w:ascii="Arial" w:hAnsi="Arial" w:cs="Arial"/>
        </w:rPr>
      </w:pPr>
      <w:r w:rsidRPr="00AE5FDE">
        <w:rPr>
          <w:rFonts w:ascii="Arial" w:hAnsi="Arial" w:cs="Arial"/>
        </w:rPr>
        <w:t>Regional Strategies</w:t>
      </w:r>
    </w:p>
    <w:p w14:paraId="360E9A7D" w14:textId="1766E82E" w:rsidR="00993A3C" w:rsidRPr="00AE5FDE" w:rsidRDefault="00AE5FDE" w:rsidP="00993A3C">
      <w:pPr>
        <w:pStyle w:val="ListParagraph"/>
        <w:numPr>
          <w:ilvl w:val="0"/>
          <w:numId w:val="30"/>
        </w:numPr>
        <w:rPr>
          <w:rFonts w:ascii="Arial" w:hAnsi="Arial" w:cs="Arial"/>
        </w:rPr>
      </w:pPr>
      <w:r w:rsidRPr="00AE5FDE">
        <w:rPr>
          <w:rFonts w:ascii="Arial" w:hAnsi="Arial" w:cs="Arial"/>
        </w:rPr>
        <w:t>Predictive Monitoring</w:t>
      </w:r>
    </w:p>
    <w:p w14:paraId="3893EAA1" w14:textId="06FE02CC" w:rsidR="000A3E38" w:rsidRPr="00993A3C" w:rsidRDefault="006C3E07" w:rsidP="000A3E38">
      <w:pPr>
        <w:rPr>
          <w:rFonts w:ascii="Arial" w:hAnsi="Arial" w:cs="Arial"/>
          <w:b/>
          <w:bCs/>
        </w:rPr>
      </w:pPr>
      <w:r>
        <w:rPr>
          <w:rFonts w:ascii="Arial" w:hAnsi="Arial" w:cs="Arial"/>
        </w:rPr>
        <w:pict w14:anchorId="4D951613">
          <v:rect id="_x0000_i1044" style="width:0;height:1.5pt" o:hralign="center" o:hrstd="t" o:hr="t" fillcolor="#a0a0a0" stroked="f"/>
        </w:pict>
      </w:r>
    </w:p>
    <w:p w14:paraId="1D9CED32" w14:textId="77777777" w:rsidR="000A3E38" w:rsidRPr="009B6E87" w:rsidRDefault="000A3E38" w:rsidP="000A3E38">
      <w:pPr>
        <w:rPr>
          <w:rFonts w:ascii="Arial" w:hAnsi="Arial" w:cs="Arial"/>
          <w:b/>
          <w:bCs/>
        </w:rPr>
      </w:pPr>
      <w:r w:rsidRPr="009B6E87">
        <w:rPr>
          <w:rFonts w:ascii="Segoe UI Emoji" w:hAnsi="Segoe UI Emoji" w:cs="Segoe UI Emoji"/>
          <w:b/>
          <w:bCs/>
        </w:rPr>
        <w:t>🏁</w:t>
      </w:r>
      <w:r w:rsidRPr="009B6E87">
        <w:rPr>
          <w:rFonts w:ascii="Arial" w:hAnsi="Arial" w:cs="Arial"/>
          <w:b/>
          <w:bCs/>
        </w:rPr>
        <w:t xml:space="preserve"> 16. Conclusion</w:t>
      </w:r>
    </w:p>
    <w:p w14:paraId="647EE423" w14:textId="77777777" w:rsidR="00BE5193" w:rsidRPr="00BE5193" w:rsidRDefault="00BE5193" w:rsidP="00BE5193">
      <w:pPr>
        <w:rPr>
          <w:rFonts w:ascii="Arial" w:hAnsi="Arial" w:cs="Arial"/>
        </w:rPr>
      </w:pPr>
      <w:r w:rsidRPr="00BE5193">
        <w:rPr>
          <w:rFonts w:ascii="Arial" w:hAnsi="Arial" w:cs="Arial"/>
        </w:rPr>
        <w:t>This study successfully developed a machine learning framework for predicting customer churn in the banking sector.</w:t>
      </w:r>
    </w:p>
    <w:p w14:paraId="7302F46B" w14:textId="77777777" w:rsidR="00BE5193" w:rsidRPr="00BE5193" w:rsidRDefault="00BE5193" w:rsidP="00BE5193">
      <w:pPr>
        <w:rPr>
          <w:rFonts w:ascii="Arial" w:hAnsi="Arial" w:cs="Arial"/>
        </w:rPr>
      </w:pPr>
      <w:r w:rsidRPr="00BE5193">
        <w:rPr>
          <w:rFonts w:ascii="Arial" w:hAnsi="Arial" w:cs="Arial"/>
        </w:rPr>
        <w:t>Through extensive preprocessing, feature engineering, and model evaluation, the project identified key factors driving customer attrition. Gradient Boosting emerged as the best-performing model, demonstrating strong predictive capability.</w:t>
      </w:r>
    </w:p>
    <w:p w14:paraId="5367A7AD" w14:textId="52A4D00C" w:rsidR="00BE5193" w:rsidRPr="00BE5193" w:rsidRDefault="00BE5193" w:rsidP="00BE5193">
      <w:pPr>
        <w:rPr>
          <w:rFonts w:ascii="Arial" w:hAnsi="Arial" w:cs="Arial"/>
        </w:rPr>
      </w:pPr>
      <w:r w:rsidRPr="00BE5193">
        <w:rPr>
          <w:rFonts w:ascii="Arial" w:hAnsi="Arial" w:cs="Arial"/>
        </w:rPr>
        <w:t>The findings highlight the importance of customer engagement, product ownership, age, creditworthiness, and financial behavio</w:t>
      </w:r>
      <w:r>
        <w:rPr>
          <w:rFonts w:ascii="Arial" w:hAnsi="Arial" w:cs="Arial"/>
        </w:rPr>
        <w:t>u</w:t>
      </w:r>
      <w:r w:rsidRPr="00BE5193">
        <w:rPr>
          <w:rFonts w:ascii="Arial" w:hAnsi="Arial" w:cs="Arial"/>
        </w:rPr>
        <w:t>r in determining churn risk. By leveraging these insights, banks can improve retention strategies, reduce revenue loss, and enhance long-term customer relationships.</w:t>
      </w:r>
    </w:p>
    <w:p w14:paraId="4A988CF6" w14:textId="77777777" w:rsidR="00BE5193" w:rsidRPr="00BE5193" w:rsidRDefault="00BE5193" w:rsidP="00BE5193">
      <w:pPr>
        <w:rPr>
          <w:rFonts w:ascii="Arial" w:hAnsi="Arial" w:cs="Arial"/>
        </w:rPr>
      </w:pPr>
      <w:r w:rsidRPr="00BE5193">
        <w:rPr>
          <w:rFonts w:ascii="Arial" w:hAnsi="Arial" w:cs="Arial"/>
        </w:rPr>
        <w:t>The proposed predictive framework can serve as a valuable decision-support tool for customer relationship management and strategic planning.</w:t>
      </w:r>
    </w:p>
    <w:p w14:paraId="28444E50" w14:textId="478FDBF9" w:rsidR="000A3E38" w:rsidRPr="009B6E87" w:rsidRDefault="000A3E38" w:rsidP="000A3E38">
      <w:pPr>
        <w:rPr>
          <w:rFonts w:ascii="Arial" w:hAnsi="Arial" w:cs="Arial"/>
        </w:rPr>
      </w:pPr>
    </w:p>
    <w:p w14:paraId="0B28336E" w14:textId="77777777" w:rsidR="00E26331" w:rsidRPr="009B6E87" w:rsidRDefault="00E26331">
      <w:pPr>
        <w:rPr>
          <w:rFonts w:ascii="Arial" w:hAnsi="Arial" w:cs="Arial"/>
        </w:rPr>
      </w:pPr>
    </w:p>
    <w:sectPr w:rsidR="00E26331" w:rsidRPr="009B6E87" w:rsidSect="005A4A74">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B2D"/>
    <w:multiLevelType w:val="multilevel"/>
    <w:tmpl w:val="BD38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55BF"/>
    <w:multiLevelType w:val="multilevel"/>
    <w:tmpl w:val="9F4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4EF9"/>
    <w:multiLevelType w:val="multilevel"/>
    <w:tmpl w:val="FF1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23227"/>
    <w:multiLevelType w:val="multilevel"/>
    <w:tmpl w:val="75E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06D3A"/>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3007"/>
    <w:multiLevelType w:val="multilevel"/>
    <w:tmpl w:val="964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A1E56"/>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62D2"/>
    <w:multiLevelType w:val="multilevel"/>
    <w:tmpl w:val="A89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905B3"/>
    <w:multiLevelType w:val="multilevel"/>
    <w:tmpl w:val="B17C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B186E"/>
    <w:multiLevelType w:val="multilevel"/>
    <w:tmpl w:val="D262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D3AE9"/>
    <w:multiLevelType w:val="multilevel"/>
    <w:tmpl w:val="93B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A7824"/>
    <w:multiLevelType w:val="multilevel"/>
    <w:tmpl w:val="BF3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1351D"/>
    <w:multiLevelType w:val="multilevel"/>
    <w:tmpl w:val="8CF8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D6972"/>
    <w:multiLevelType w:val="multilevel"/>
    <w:tmpl w:val="341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14656"/>
    <w:multiLevelType w:val="multilevel"/>
    <w:tmpl w:val="114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74476"/>
    <w:multiLevelType w:val="multilevel"/>
    <w:tmpl w:val="32E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21DBF"/>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96BF5"/>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84400"/>
    <w:multiLevelType w:val="multilevel"/>
    <w:tmpl w:val="DBB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548B3"/>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83E86"/>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52535"/>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118F3"/>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239BC"/>
    <w:multiLevelType w:val="multilevel"/>
    <w:tmpl w:val="3E9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17878"/>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D4B14"/>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5624F"/>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22EB6"/>
    <w:multiLevelType w:val="multilevel"/>
    <w:tmpl w:val="628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03250"/>
    <w:multiLevelType w:val="multilevel"/>
    <w:tmpl w:val="B5F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66AF7"/>
    <w:multiLevelType w:val="multilevel"/>
    <w:tmpl w:val="C73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683173">
    <w:abstractNumId w:val="10"/>
  </w:num>
  <w:num w:numId="2" w16cid:durableId="271515653">
    <w:abstractNumId w:val="14"/>
  </w:num>
  <w:num w:numId="3" w16cid:durableId="863057163">
    <w:abstractNumId w:val="18"/>
  </w:num>
  <w:num w:numId="4" w16cid:durableId="1329482186">
    <w:abstractNumId w:val="11"/>
  </w:num>
  <w:num w:numId="5" w16cid:durableId="1734888083">
    <w:abstractNumId w:val="27"/>
  </w:num>
  <w:num w:numId="6" w16cid:durableId="1522355139">
    <w:abstractNumId w:val="7"/>
  </w:num>
  <w:num w:numId="7" w16cid:durableId="1004210464">
    <w:abstractNumId w:val="8"/>
  </w:num>
  <w:num w:numId="8" w16cid:durableId="351497750">
    <w:abstractNumId w:val="12"/>
  </w:num>
  <w:num w:numId="9" w16cid:durableId="501822923">
    <w:abstractNumId w:val="0"/>
  </w:num>
  <w:num w:numId="10" w16cid:durableId="1321421028">
    <w:abstractNumId w:val="29"/>
  </w:num>
  <w:num w:numId="11" w16cid:durableId="1047756431">
    <w:abstractNumId w:val="3"/>
  </w:num>
  <w:num w:numId="12" w16cid:durableId="767503984">
    <w:abstractNumId w:val="1"/>
  </w:num>
  <w:num w:numId="13" w16cid:durableId="1991786998">
    <w:abstractNumId w:val="15"/>
  </w:num>
  <w:num w:numId="14" w16cid:durableId="287710587">
    <w:abstractNumId w:val="28"/>
  </w:num>
  <w:num w:numId="15" w16cid:durableId="652754751">
    <w:abstractNumId w:val="2"/>
  </w:num>
  <w:num w:numId="16" w16cid:durableId="89349831">
    <w:abstractNumId w:val="5"/>
  </w:num>
  <w:num w:numId="17" w16cid:durableId="1720083738">
    <w:abstractNumId w:val="13"/>
  </w:num>
  <w:num w:numId="18" w16cid:durableId="1718778071">
    <w:abstractNumId w:val="23"/>
  </w:num>
  <w:num w:numId="19" w16cid:durableId="1639920027">
    <w:abstractNumId w:val="16"/>
  </w:num>
  <w:num w:numId="20" w16cid:durableId="1363440437">
    <w:abstractNumId w:val="19"/>
  </w:num>
  <w:num w:numId="21" w16cid:durableId="1896888306">
    <w:abstractNumId w:val="24"/>
  </w:num>
  <w:num w:numId="22" w16cid:durableId="1768771761">
    <w:abstractNumId w:val="20"/>
  </w:num>
  <w:num w:numId="23" w16cid:durableId="310720838">
    <w:abstractNumId w:val="21"/>
  </w:num>
  <w:num w:numId="24" w16cid:durableId="1748500883">
    <w:abstractNumId w:val="17"/>
  </w:num>
  <w:num w:numId="25" w16cid:durableId="1253516049">
    <w:abstractNumId w:val="22"/>
  </w:num>
  <w:num w:numId="26" w16cid:durableId="1274169863">
    <w:abstractNumId w:val="26"/>
  </w:num>
  <w:num w:numId="27" w16cid:durableId="356975318">
    <w:abstractNumId w:val="4"/>
  </w:num>
  <w:num w:numId="28" w16cid:durableId="1957633550">
    <w:abstractNumId w:val="6"/>
  </w:num>
  <w:num w:numId="29" w16cid:durableId="376465615">
    <w:abstractNumId w:val="9"/>
  </w:num>
  <w:num w:numId="30" w16cid:durableId="19400243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38"/>
    <w:rsid w:val="000152CB"/>
    <w:rsid w:val="00016722"/>
    <w:rsid w:val="00031B37"/>
    <w:rsid w:val="00043BAA"/>
    <w:rsid w:val="000A3E38"/>
    <w:rsid w:val="000F3BD9"/>
    <w:rsid w:val="00115CB0"/>
    <w:rsid w:val="00150159"/>
    <w:rsid w:val="00180B67"/>
    <w:rsid w:val="001A2899"/>
    <w:rsid w:val="001B41A6"/>
    <w:rsid w:val="001D1D83"/>
    <w:rsid w:val="001E0A44"/>
    <w:rsid w:val="002070DF"/>
    <w:rsid w:val="002929F4"/>
    <w:rsid w:val="002A3418"/>
    <w:rsid w:val="0030538B"/>
    <w:rsid w:val="003A26B7"/>
    <w:rsid w:val="00412827"/>
    <w:rsid w:val="00430893"/>
    <w:rsid w:val="004503A5"/>
    <w:rsid w:val="00451AB7"/>
    <w:rsid w:val="00493A78"/>
    <w:rsid w:val="00495D17"/>
    <w:rsid w:val="004B7D15"/>
    <w:rsid w:val="004E1527"/>
    <w:rsid w:val="005177BE"/>
    <w:rsid w:val="0056353F"/>
    <w:rsid w:val="0058723E"/>
    <w:rsid w:val="005938E3"/>
    <w:rsid w:val="005971FF"/>
    <w:rsid w:val="005A4A74"/>
    <w:rsid w:val="005B58A0"/>
    <w:rsid w:val="005B5E77"/>
    <w:rsid w:val="005D5233"/>
    <w:rsid w:val="005E60D6"/>
    <w:rsid w:val="00651649"/>
    <w:rsid w:val="00664A7B"/>
    <w:rsid w:val="00674E91"/>
    <w:rsid w:val="0067614E"/>
    <w:rsid w:val="006C093A"/>
    <w:rsid w:val="00772847"/>
    <w:rsid w:val="007B457A"/>
    <w:rsid w:val="007B7B1F"/>
    <w:rsid w:val="007F18CD"/>
    <w:rsid w:val="008274F1"/>
    <w:rsid w:val="008554C9"/>
    <w:rsid w:val="00855BCC"/>
    <w:rsid w:val="008619A4"/>
    <w:rsid w:val="008A49EA"/>
    <w:rsid w:val="008E2EC8"/>
    <w:rsid w:val="00907FFD"/>
    <w:rsid w:val="00927D39"/>
    <w:rsid w:val="00953BCC"/>
    <w:rsid w:val="009854D7"/>
    <w:rsid w:val="00993A3C"/>
    <w:rsid w:val="009B0ED9"/>
    <w:rsid w:val="009B6E87"/>
    <w:rsid w:val="009D1EEA"/>
    <w:rsid w:val="009D239D"/>
    <w:rsid w:val="009F2D17"/>
    <w:rsid w:val="00A25F44"/>
    <w:rsid w:val="00A31AF1"/>
    <w:rsid w:val="00A4162A"/>
    <w:rsid w:val="00A64A85"/>
    <w:rsid w:val="00A75509"/>
    <w:rsid w:val="00A81046"/>
    <w:rsid w:val="00AB2ABD"/>
    <w:rsid w:val="00AE5FDE"/>
    <w:rsid w:val="00B24D19"/>
    <w:rsid w:val="00B62B3F"/>
    <w:rsid w:val="00BD1367"/>
    <w:rsid w:val="00BD6F3D"/>
    <w:rsid w:val="00BE5193"/>
    <w:rsid w:val="00BE7360"/>
    <w:rsid w:val="00C12CA8"/>
    <w:rsid w:val="00C145E2"/>
    <w:rsid w:val="00C37B0A"/>
    <w:rsid w:val="00C54A2A"/>
    <w:rsid w:val="00C65202"/>
    <w:rsid w:val="00C81524"/>
    <w:rsid w:val="00C922C2"/>
    <w:rsid w:val="00CB1BE6"/>
    <w:rsid w:val="00CB30F4"/>
    <w:rsid w:val="00CC03A7"/>
    <w:rsid w:val="00CE4EFA"/>
    <w:rsid w:val="00CF4C99"/>
    <w:rsid w:val="00D256BF"/>
    <w:rsid w:val="00D607AD"/>
    <w:rsid w:val="00DA09C5"/>
    <w:rsid w:val="00DC6841"/>
    <w:rsid w:val="00DD0C0B"/>
    <w:rsid w:val="00DE3DDA"/>
    <w:rsid w:val="00DF5DE6"/>
    <w:rsid w:val="00E016BD"/>
    <w:rsid w:val="00E26331"/>
    <w:rsid w:val="00E50F1E"/>
    <w:rsid w:val="00E52B3A"/>
    <w:rsid w:val="00E65B36"/>
    <w:rsid w:val="00E832C3"/>
    <w:rsid w:val="00E95109"/>
    <w:rsid w:val="00EA7FD3"/>
    <w:rsid w:val="00EB4B4E"/>
    <w:rsid w:val="00EB7108"/>
    <w:rsid w:val="00EB7CEA"/>
    <w:rsid w:val="00EC38A1"/>
    <w:rsid w:val="00F37C27"/>
    <w:rsid w:val="00F739FE"/>
    <w:rsid w:val="00F74CE8"/>
    <w:rsid w:val="00F8223C"/>
    <w:rsid w:val="00FA0DE2"/>
    <w:rsid w:val="00FD015B"/>
    <w:rsid w:val="00FD4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F2AF"/>
  <w15:chartTrackingRefBased/>
  <w15:docId w15:val="{D0604F10-5E86-4147-B4DB-E86409C65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E91"/>
  </w:style>
  <w:style w:type="paragraph" w:styleId="Heading1">
    <w:name w:val="heading 1"/>
    <w:basedOn w:val="Normal"/>
    <w:next w:val="Normal"/>
    <w:link w:val="Heading1Char"/>
    <w:uiPriority w:val="9"/>
    <w:qFormat/>
    <w:rsid w:val="00674E91"/>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74E9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674E91"/>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674E9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74E9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674E9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674E91"/>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674E9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674E9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E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74E9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674E91"/>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674E9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74E91"/>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674E9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674E91"/>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674E91"/>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674E91"/>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674E91"/>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674E91"/>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674E9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74E9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74E9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74E91"/>
    <w:rPr>
      <w:i/>
      <w:iCs/>
      <w:color w:val="404040" w:themeColor="text1" w:themeTint="BF"/>
    </w:rPr>
  </w:style>
  <w:style w:type="paragraph" w:styleId="ListParagraph">
    <w:name w:val="List Paragraph"/>
    <w:basedOn w:val="Normal"/>
    <w:uiPriority w:val="34"/>
    <w:qFormat/>
    <w:rsid w:val="000A3E38"/>
    <w:pPr>
      <w:ind w:left="720"/>
      <w:contextualSpacing/>
    </w:pPr>
  </w:style>
  <w:style w:type="character" w:styleId="IntenseEmphasis">
    <w:name w:val="Intense Emphasis"/>
    <w:basedOn w:val="DefaultParagraphFont"/>
    <w:uiPriority w:val="21"/>
    <w:qFormat/>
    <w:rsid w:val="00674E91"/>
    <w:rPr>
      <w:b/>
      <w:bCs/>
      <w:i/>
      <w:iCs/>
    </w:rPr>
  </w:style>
  <w:style w:type="paragraph" w:styleId="IntenseQuote">
    <w:name w:val="Intense Quote"/>
    <w:basedOn w:val="Normal"/>
    <w:next w:val="Normal"/>
    <w:link w:val="IntenseQuoteChar"/>
    <w:uiPriority w:val="30"/>
    <w:qFormat/>
    <w:rsid w:val="00674E9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674E91"/>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674E91"/>
    <w:rPr>
      <w:b/>
      <w:bCs/>
      <w:smallCaps/>
      <w:spacing w:val="5"/>
      <w:u w:val="single"/>
    </w:rPr>
  </w:style>
  <w:style w:type="paragraph" w:styleId="NormalWeb">
    <w:name w:val="Normal (Web)"/>
    <w:basedOn w:val="Normal"/>
    <w:uiPriority w:val="99"/>
    <w:semiHidden/>
    <w:unhideWhenUsed/>
    <w:rsid w:val="00664A7B"/>
    <w:rPr>
      <w:rFonts w:ascii="Times New Roman" w:hAnsi="Times New Roman" w:cs="Times New Roman"/>
      <w:sz w:val="24"/>
      <w:szCs w:val="24"/>
    </w:rPr>
  </w:style>
  <w:style w:type="paragraph" w:styleId="Caption">
    <w:name w:val="caption"/>
    <w:basedOn w:val="Normal"/>
    <w:next w:val="Normal"/>
    <w:uiPriority w:val="35"/>
    <w:semiHidden/>
    <w:unhideWhenUsed/>
    <w:qFormat/>
    <w:rsid w:val="00674E91"/>
    <w:pPr>
      <w:spacing w:line="240" w:lineRule="auto"/>
    </w:pPr>
    <w:rPr>
      <w:b/>
      <w:bCs/>
      <w:smallCaps/>
      <w:color w:val="595959" w:themeColor="text1" w:themeTint="A6"/>
      <w:spacing w:val="6"/>
    </w:rPr>
  </w:style>
  <w:style w:type="character" w:styleId="Strong">
    <w:name w:val="Strong"/>
    <w:basedOn w:val="DefaultParagraphFont"/>
    <w:uiPriority w:val="22"/>
    <w:qFormat/>
    <w:rsid w:val="00674E91"/>
    <w:rPr>
      <w:b/>
      <w:bCs/>
    </w:rPr>
  </w:style>
  <w:style w:type="character" w:styleId="Emphasis">
    <w:name w:val="Emphasis"/>
    <w:basedOn w:val="DefaultParagraphFont"/>
    <w:uiPriority w:val="20"/>
    <w:qFormat/>
    <w:rsid w:val="00674E91"/>
    <w:rPr>
      <w:i/>
      <w:iCs/>
    </w:rPr>
  </w:style>
  <w:style w:type="paragraph" w:styleId="NoSpacing">
    <w:name w:val="No Spacing"/>
    <w:uiPriority w:val="1"/>
    <w:qFormat/>
    <w:rsid w:val="00674E91"/>
    <w:pPr>
      <w:spacing w:after="0" w:line="240" w:lineRule="auto"/>
    </w:pPr>
  </w:style>
  <w:style w:type="character" w:styleId="SubtleEmphasis">
    <w:name w:val="Subtle Emphasis"/>
    <w:basedOn w:val="DefaultParagraphFont"/>
    <w:uiPriority w:val="19"/>
    <w:qFormat/>
    <w:rsid w:val="00674E91"/>
    <w:rPr>
      <w:i/>
      <w:iCs/>
      <w:color w:val="404040" w:themeColor="text1" w:themeTint="BF"/>
    </w:rPr>
  </w:style>
  <w:style w:type="character" w:styleId="SubtleReference">
    <w:name w:val="Subtle Reference"/>
    <w:basedOn w:val="DefaultParagraphFont"/>
    <w:uiPriority w:val="31"/>
    <w:qFormat/>
    <w:rsid w:val="00674E91"/>
    <w:rPr>
      <w:smallCaps/>
      <w:color w:val="404040" w:themeColor="text1" w:themeTint="BF"/>
      <w:u w:val="single" w:color="7F7F7F" w:themeColor="text1" w:themeTint="80"/>
    </w:rPr>
  </w:style>
  <w:style w:type="character" w:styleId="BookTitle">
    <w:name w:val="Book Title"/>
    <w:basedOn w:val="DefaultParagraphFont"/>
    <w:uiPriority w:val="33"/>
    <w:qFormat/>
    <w:rsid w:val="00674E91"/>
    <w:rPr>
      <w:b/>
      <w:bCs/>
      <w:smallCaps/>
    </w:rPr>
  </w:style>
  <w:style w:type="paragraph" w:styleId="TOCHeading">
    <w:name w:val="TOC Heading"/>
    <w:basedOn w:val="Heading1"/>
    <w:next w:val="Normal"/>
    <w:uiPriority w:val="39"/>
    <w:semiHidden/>
    <w:unhideWhenUsed/>
    <w:qFormat/>
    <w:rsid w:val="00674E91"/>
    <w:pPr>
      <w:outlineLvl w:val="9"/>
    </w:pPr>
  </w:style>
  <w:style w:type="table" w:styleId="TableGrid">
    <w:name w:val="Table Grid"/>
    <w:basedOn w:val="TableNormal"/>
    <w:uiPriority w:val="39"/>
    <w:rsid w:val="00A2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CA37F-B37A-4946-9D2F-785F1D1C1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Sindhu</dc:creator>
  <cp:keywords/>
  <dc:description/>
  <cp:lastModifiedBy>Shyam Sindhu</cp:lastModifiedBy>
  <cp:revision>2</cp:revision>
  <dcterms:created xsi:type="dcterms:W3CDTF">2026-06-08T16:30:00Z</dcterms:created>
  <dcterms:modified xsi:type="dcterms:W3CDTF">2026-06-08T16:30:00Z</dcterms:modified>
</cp:coreProperties>
</file>