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Calibri" w:hAnsi="Calibri"/>
          <w:b/>
          <w:color w:val="0B2545"/>
          <w:sz w:val="36"/>
        </w:rPr>
        <w:t>MINUTES OF MEETING</w:t>
      </w:r>
    </w:p>
    <w:p>
      <w:pPr>
        <w:spacing w:before="40" w:after="160"/>
      </w:pPr>
      <w:r>
        <w:rPr>
          <w:color w:val="D9E2EC"/>
          <w:sz w:val="16"/>
        </w:rPr>
        <w:t>______________________________________________________________________________</w:t>
      </w:r>
    </w:p>
    <w:p>
      <w:pPr>
        <w:spacing w:after="40"/>
      </w:pPr>
      <w:r>
        <w:rPr>
          <w:rFonts w:ascii="Calibri" w:hAnsi="Calibri"/>
          <w:b/>
          <w:color w:val="1F4D78"/>
          <w:sz w:val="28"/>
        </w:rPr>
        <w:t>RingCentral AI APIs for Conversational Intelligence</w:t>
      </w:r>
    </w:p>
    <w:p>
      <w:pPr>
        <w:spacing w:before="240" w:after="120"/>
      </w:pPr>
      <w:r>
        <w:rPr>
          <w:rFonts w:ascii="Calibri" w:hAnsi="Calibri"/>
          <w:b/>
          <w:color w:val="2E74B5"/>
          <w:sz w:val="24"/>
        </w:rPr>
        <w:t>Meeting Information</w:t>
      </w:r>
    </w:p>
    <w:tbl>
      <w:tblPr>
        <w:tblStyle w:val="TableGrid"/>
        <w:tblW w:type="dxa" w:w="9360"/>
        <w:jc w:val="left"/>
        <w:tblLayout w:type="fixed"/>
        <w:tblLook w:firstColumn="1" w:firstRow="1" w:lastColumn="0" w:lastRow="0" w:noHBand="0" w:noVBand="1" w:val="04A0"/>
        <w:tblInd w:w="120" w:type="dxa"/>
      </w:tblPr>
      <w:tblGrid>
        <w:gridCol w:w="2500"/>
        <w:gridCol w:w="6860"/>
      </w:tblGrid>
      <w:tr>
        <w:tc>
          <w:tcPr>
            <w:tcW w:type="dxa" w:w="2500"/>
            <w:vAlign w:val="center"/>
            <w:tcMar>
              <w:top w:w="80" w:type="dxa"/>
              <w:bottom w:w="80" w:type="dxa"/>
              <w:start w:w="120" w:type="dxa"/>
              <w:end w:w="120" w:type="dxa"/>
            </w:tcMar>
          </w:tcPr>
          <w:p>
            <w:pPr>
              <w:spacing w:after="0"/>
            </w:pPr>
            <w:r>
              <w:rPr>
                <w:rFonts w:ascii="Calibri" w:hAnsi="Calibri"/>
                <w:b w:val="0"/>
                <w:sz w:val="19"/>
              </w:rPr>
              <w:t>Date</w:t>
            </w:r>
          </w:p>
        </w:tc>
        <w:tc>
          <w:tcPr>
            <w:tcW w:type="dxa" w:w="6860"/>
            <w:vAlign w:val="center"/>
            <w:tcMar>
              <w:top w:w="80" w:type="dxa"/>
              <w:bottom w:w="80" w:type="dxa"/>
              <w:start w:w="120" w:type="dxa"/>
              <w:end w:w="120" w:type="dxa"/>
            </w:tcMar>
          </w:tcPr>
          <w:p>
            <w:pPr>
              <w:spacing w:after="0"/>
            </w:pPr>
            <w:r>
              <w:rPr>
                <w:rFonts w:ascii="Calibri" w:hAnsi="Calibri"/>
                <w:b w:val="0"/>
                <w:sz w:val="19"/>
              </w:rPr>
              <w:t>2026-06-22</w:t>
            </w:r>
          </w:p>
        </w:tc>
      </w:tr>
      <w:tr>
        <w:tc>
          <w:tcPr>
            <w:tcW w:type="dxa" w:w="2500"/>
            <w:vAlign w:val="center"/>
            <w:tcMar>
              <w:top w:w="80" w:type="dxa"/>
              <w:bottom w:w="80" w:type="dxa"/>
              <w:start w:w="120" w:type="dxa"/>
              <w:end w:w="120" w:type="dxa"/>
            </w:tcMar>
          </w:tcPr>
          <w:p>
            <w:pPr>
              <w:spacing w:after="0"/>
            </w:pPr>
            <w:r>
              <w:rPr>
                <w:rFonts w:ascii="Calibri" w:hAnsi="Calibri"/>
                <w:b w:val="0"/>
                <w:sz w:val="19"/>
              </w:rPr>
              <w:t>Duration</w:t>
            </w:r>
          </w:p>
        </w:tc>
        <w:tc>
          <w:tcPr>
            <w:tcW w:type="dxa" w:w="6860"/>
            <w:vAlign w:val="center"/>
            <w:tcMar>
              <w:top w:w="80" w:type="dxa"/>
              <w:bottom w:w="80" w:type="dxa"/>
              <w:start w:w="120" w:type="dxa"/>
              <w:end w:w="120" w:type="dxa"/>
            </w:tcMar>
          </w:tcPr>
          <w:p>
            <w:pPr>
              <w:spacing w:after="0"/>
            </w:pPr>
            <w:r>
              <w:rPr>
                <w:rFonts w:ascii="Calibri" w:hAnsi="Calibri"/>
                <w:b w:val="0"/>
                <w:sz w:val="19"/>
              </w:rPr>
              <w:t>4 min</w:t>
            </w:r>
          </w:p>
        </w:tc>
      </w:tr>
      <w:tr>
        <w:tc>
          <w:tcPr>
            <w:tcW w:type="dxa" w:w="2500"/>
            <w:vAlign w:val="center"/>
            <w:tcMar>
              <w:top w:w="80" w:type="dxa"/>
              <w:bottom w:w="80" w:type="dxa"/>
              <w:start w:w="120" w:type="dxa"/>
              <w:end w:w="120" w:type="dxa"/>
            </w:tcMar>
          </w:tcPr>
          <w:p>
            <w:pPr>
              <w:spacing w:after="0"/>
            </w:pPr>
            <w:r>
              <w:rPr>
                <w:rFonts w:ascii="Calibri" w:hAnsi="Calibri"/>
                <w:b w:val="0"/>
                <w:sz w:val="19"/>
              </w:rPr>
              <w:t>Speakers Detected</w:t>
            </w:r>
          </w:p>
        </w:tc>
        <w:tc>
          <w:tcPr>
            <w:tcW w:type="dxa" w:w="6860"/>
            <w:vAlign w:val="center"/>
            <w:tcMar>
              <w:top w:w="80" w:type="dxa"/>
              <w:bottom w:w="80" w:type="dxa"/>
              <w:start w:w="120" w:type="dxa"/>
              <w:end w:w="120" w:type="dxa"/>
            </w:tcMar>
          </w:tcPr>
          <w:p>
            <w:pPr>
              <w:spacing w:after="0"/>
            </w:pPr>
            <w:r>
              <w:rPr>
                <w:rFonts w:ascii="Calibri" w:hAnsi="Calibri"/>
                <w:b w:val="0"/>
                <w:sz w:val="19"/>
              </w:rPr>
              <w:t>3</w:t>
            </w:r>
          </w:p>
        </w:tc>
      </w:tr>
      <w:tr>
        <w:tc>
          <w:tcPr>
            <w:tcW w:type="dxa" w:w="2500"/>
            <w:vAlign w:val="center"/>
            <w:tcMar>
              <w:top w:w="80" w:type="dxa"/>
              <w:bottom w:w="80" w:type="dxa"/>
              <w:start w:w="120" w:type="dxa"/>
              <w:end w:w="120" w:type="dxa"/>
            </w:tcMar>
          </w:tcPr>
          <w:p>
            <w:pPr>
              <w:spacing w:after="0"/>
            </w:pPr>
            <w:r>
              <w:rPr>
                <w:rFonts w:ascii="Calibri" w:hAnsi="Calibri"/>
                <w:b w:val="0"/>
                <w:sz w:val="19"/>
              </w:rPr>
              <w:t>Generated By</w:t>
            </w:r>
          </w:p>
        </w:tc>
        <w:tc>
          <w:tcPr>
            <w:tcW w:type="dxa" w:w="6860"/>
            <w:vAlign w:val="center"/>
            <w:tcMar>
              <w:top w:w="80" w:type="dxa"/>
              <w:bottom w:w="80" w:type="dxa"/>
              <w:start w:w="120" w:type="dxa"/>
              <w:end w:w="120" w:type="dxa"/>
            </w:tcMar>
          </w:tcPr>
          <w:p>
            <w:pPr>
              <w:spacing w:after="0"/>
            </w:pPr>
            <w:r>
              <w:rPr>
                <w:rFonts w:ascii="Calibri" w:hAnsi="Calibri"/>
                <w:b w:val="0"/>
                <w:sz w:val="19"/>
              </w:rPr>
              <w:t>MeetScribe</w:t>
            </w:r>
          </w:p>
        </w:tc>
      </w:tr>
    </w:tbl>
    <w:p>
      <w:pPr>
        <w:spacing w:before="240" w:after="120"/>
      </w:pPr>
      <w:r>
        <w:rPr>
          <w:rFonts w:ascii="Calibri" w:hAnsi="Calibri"/>
          <w:b/>
          <w:color w:val="2E74B5"/>
          <w:sz w:val="24"/>
        </w:rPr>
        <w:t>EXECUTIVE SUMMARY</w:t>
      </w:r>
    </w:p>
    <w:p>
      <w:r>
        <w:t>The meeting introduces RingCentral's AI APIs focused on conversational intelligence. Sameer explains that AI in conversations goes beyond basic speech-to-text, encompassing interaction, sentiment, and emotion analysis, particularly useful for contact center supervisors to gauge call sentiment. Will details the API categories (audio and text-based) and highlights three popular APIs: speech-to-text for transcribing audio with punctuation, speaker diarization (referred to as "speaker diaries API") to identify who spoke when, and speaker identification which, if trained, can name speakers or label them as Person A, B, C. The program is currently in beta, with plans for a general public release soon, and feedback is encouraged.</w:t>
      </w:r>
    </w:p>
    <w:p>
      <w:r>
        <w:t>Follow-up activities were assigned to the assigned owners, with progress to be tracked through the action items below.</w:t>
      </w:r>
    </w:p>
    <w:p>
      <w:pPr>
        <w:spacing w:before="240" w:after="120"/>
      </w:pPr>
      <w:r>
        <w:rPr>
          <w:rFonts w:ascii="Calibri" w:hAnsi="Calibri"/>
          <w:b/>
          <w:color w:val="2E74B5"/>
          <w:sz w:val="24"/>
        </w:rPr>
        <w:t>TOPICS DISCUSSED</w:t>
      </w:r>
    </w:p>
    <w:p>
      <w:pPr>
        <w:pStyle w:val="ListBullet"/>
      </w:pPr>
      <w:r>
        <w:t>RingCentral AI APIs</w:t>
      </w:r>
    </w:p>
    <w:p>
      <w:pPr>
        <w:pStyle w:val="ListBullet"/>
      </w:pPr>
      <w:r>
        <w:t>Conversational Intelligence</w:t>
      </w:r>
    </w:p>
    <w:p>
      <w:pPr>
        <w:pStyle w:val="ListBullet"/>
      </w:pPr>
      <w:r>
        <w:t>AI capabilities in conversations</w:t>
      </w:r>
    </w:p>
    <w:p>
      <w:pPr>
        <w:pStyle w:val="ListBullet"/>
      </w:pPr>
      <w:r>
        <w:t>Speech-to-text API</w:t>
      </w:r>
    </w:p>
    <w:p>
      <w:pPr>
        <w:pStyle w:val="ListBullet"/>
      </w:pPr>
      <w:r>
        <w:t>Text-to-speech API</w:t>
      </w:r>
    </w:p>
    <w:p>
      <w:pPr>
        <w:pStyle w:val="ListBullet"/>
      </w:pPr>
      <w:r>
        <w:t>Interaction analysis</w:t>
      </w:r>
    </w:p>
    <w:p>
      <w:pPr>
        <w:pStyle w:val="ListBullet"/>
      </w:pPr>
      <w:r>
        <w:t>Sentiment analysis</w:t>
      </w:r>
    </w:p>
    <w:p>
      <w:pPr>
        <w:pStyle w:val="ListBullet"/>
      </w:pPr>
      <w:r>
        <w:t>Emotion analysis</w:t>
      </w:r>
    </w:p>
    <w:p>
      <w:pPr>
        <w:spacing w:before="240" w:after="120"/>
      </w:pPr>
      <w:r>
        <w:rPr>
          <w:rFonts w:ascii="Calibri" w:hAnsi="Calibri"/>
          <w:b/>
          <w:color w:val="2E74B5"/>
          <w:sz w:val="24"/>
        </w:rPr>
        <w:t>KEY DISCUSSION POINTS</w:t>
      </w:r>
    </w:p>
    <w:p>
      <w:pPr>
        <w:pStyle w:val="ListBullet"/>
      </w:pPr>
      <w:r>
        <w:rPr>
          <w:b/>
        </w:rPr>
        <w:t>Introduction to RingCentral's AI APIs for conversational intelligence.</w:t>
      </w:r>
    </w:p>
    <w:p>
      <w:pPr>
        <w:spacing w:after="60"/>
        <w:ind w:left="461"/>
      </w:pPr>
      <w:r>
        <w:rPr>
          <w:i/>
          <w:color w:val="667085"/>
          <w:sz w:val="18"/>
        </w:rPr>
        <w:t>Timestamp: 00:38 - 00:46 | Speaker(s): Speaker 2</w:t>
      </w:r>
    </w:p>
    <w:p>
      <w:pPr>
        <w:pStyle w:val="ListBullet"/>
      </w:pPr>
      <w:r>
        <w:rPr>
          <w:b/>
        </w:rPr>
        <w:t>AI in conversations extends beyond basic speech-to-text/text-to-speech to include interaction, sentiment, and emotion analysis.</w:t>
      </w:r>
    </w:p>
    <w:p>
      <w:pPr>
        <w:spacing w:after="60"/>
        <w:ind w:left="461"/>
      </w:pPr>
      <w:r>
        <w:rPr>
          <w:i/>
          <w:color w:val="667085"/>
          <w:sz w:val="18"/>
        </w:rPr>
        <w:t>Timestamp: 00:47 - 01:33 | Speaker(s): Speaker 2, Speaker 3</w:t>
      </w:r>
    </w:p>
    <w:p>
      <w:pPr>
        <w:pStyle w:val="ListBullet"/>
      </w:pPr>
      <w:r>
        <w:rPr>
          <w:b/>
        </w:rPr>
        <w:t>AI APIs enable contact center supervisors to analyze call sentiment levels (e.g., using a 0-5 pointer) to understand incoming calls.</w:t>
      </w:r>
    </w:p>
    <w:p>
      <w:pPr>
        <w:spacing w:after="60"/>
        <w:ind w:left="461"/>
      </w:pPr>
      <w:r>
        <w:rPr>
          <w:i/>
          <w:color w:val="667085"/>
          <w:sz w:val="18"/>
        </w:rPr>
        <w:t>Timestamp: 01:33 - 02:00 | Speaker(s): Speaker 3</w:t>
      </w:r>
    </w:p>
    <w:p>
      <w:pPr>
        <w:pStyle w:val="ListBullet"/>
      </w:pPr>
      <w:r>
        <w:rPr>
          <w:b/>
        </w:rPr>
        <w:t>RingCentral's conversational intelligence APIs are categorized into audio APIs and text-based APIs.</w:t>
      </w:r>
    </w:p>
    <w:p>
      <w:pPr>
        <w:spacing w:after="60"/>
        <w:ind w:left="461"/>
      </w:pPr>
      <w:r>
        <w:rPr>
          <w:i/>
          <w:color w:val="667085"/>
          <w:sz w:val="18"/>
        </w:rPr>
        <w:t>Timestamp: 02:20 - 02:50 | Speaker(s): Speaker 4</w:t>
      </w:r>
    </w:p>
    <w:p>
      <w:pPr>
        <w:pStyle w:val="ListBullet"/>
      </w:pPr>
      <w:r>
        <w:rPr>
          <w:b/>
        </w:rPr>
        <w:t>The three most popular conversational intelligence APIs are speech-to-text (for transcription with punctuation), speaker diarization (to identify who spoke when), and speaker identification (to name speakers if trained, or label them).</w:t>
      </w:r>
    </w:p>
    <w:p>
      <w:pPr>
        <w:spacing w:after="60"/>
        <w:ind w:left="461"/>
      </w:pPr>
      <w:r>
        <w:rPr>
          <w:i/>
          <w:color w:val="667085"/>
          <w:sz w:val="18"/>
        </w:rPr>
        <w:t>Timestamp: 02:20 - 03:36 | Speaker(s): Speaker 4</w:t>
      </w:r>
    </w:p>
    <w:p>
      <w:pPr>
        <w:pStyle w:val="ListBullet"/>
      </w:pPr>
      <w:r>
        <w:rPr>
          <w:b/>
        </w:rPr>
        <w:t>The RingCentral intelligent APIs program is currently in beta and will soon be released generally available to the public.</w:t>
      </w:r>
    </w:p>
    <w:p>
      <w:pPr>
        <w:spacing w:after="60"/>
        <w:ind w:left="461"/>
      </w:pPr>
      <w:r>
        <w:rPr>
          <w:i/>
          <w:color w:val="667085"/>
          <w:sz w:val="18"/>
        </w:rPr>
        <w:t>Timestamp: 03:37 - 03:58 | Speaker(s): Speaker 2</w:t>
      </w:r>
    </w:p>
    <w:p>
      <w:pPr>
        <w:spacing w:before="240" w:after="120"/>
      </w:pPr>
      <w:r>
        <w:rPr>
          <w:rFonts w:ascii="Calibri" w:hAnsi="Calibri"/>
          <w:b/>
          <w:color w:val="2E74B5"/>
          <w:sz w:val="24"/>
        </w:rPr>
        <w:t>DECISIONS TAKEN</w:t>
      </w:r>
    </w:p>
    <w:p>
      <w:r>
        <w:t>No decisions were extracted.</w:t>
      </w:r>
    </w:p>
    <w:p>
      <w:pPr>
        <w:spacing w:before="240" w:after="120"/>
      </w:pPr>
      <w:r>
        <w:rPr>
          <w:rFonts w:ascii="Calibri" w:hAnsi="Calibri"/>
          <w:b/>
          <w:color w:val="2E74B5"/>
          <w:sz w:val="24"/>
        </w:rPr>
        <w:t>ACTION ITEMS</w:t>
      </w:r>
    </w:p>
    <w:tbl>
      <w:tblPr>
        <w:tblStyle w:val="TableGrid"/>
        <w:tblW w:type="dxa" w:w="9360"/>
        <w:jc w:val="left"/>
        <w:tblLayout w:type="fixed"/>
        <w:tblLook w:firstColumn="1" w:firstRow="1" w:lastColumn="0" w:lastRow="0" w:noHBand="0" w:noVBand="1" w:val="04A0"/>
        <w:tblInd w:w="120" w:type="dxa"/>
      </w:tblPr>
      <w:tblGrid>
        <w:gridCol w:w="3500"/>
        <w:gridCol w:w="1400"/>
        <w:gridCol w:w="1300"/>
        <w:gridCol w:w="1200"/>
        <w:gridCol w:w="1960"/>
      </w:tblGrid>
      <w:tr>
        <w:tc>
          <w:tcPr>
            <w:tcW w:type="dxa" w:w="3500"/>
            <w:shd w:fill="F2F4F7"/>
            <w:vAlign w:val="center"/>
            <w:tcMar>
              <w:top w:w="80" w:type="dxa"/>
              <w:bottom w:w="80" w:type="dxa"/>
              <w:start w:w="120" w:type="dxa"/>
              <w:end w:w="120" w:type="dxa"/>
            </w:tcMar>
          </w:tcPr>
          <w:p>
            <w:pPr>
              <w:spacing w:after="0"/>
            </w:pPr>
            <w:r>
              <w:rPr>
                <w:rFonts w:ascii="Calibri" w:hAnsi="Calibri"/>
                <w:b/>
                <w:sz w:val="19"/>
              </w:rPr>
              <w:t>Task</w:t>
            </w:r>
          </w:p>
        </w:tc>
        <w:tc>
          <w:tcPr>
            <w:tcW w:type="dxa" w:w="1400"/>
            <w:shd w:fill="F2F4F7"/>
            <w:vAlign w:val="center"/>
            <w:tcMar>
              <w:top w:w="80" w:type="dxa"/>
              <w:bottom w:w="80" w:type="dxa"/>
              <w:start w:w="120" w:type="dxa"/>
              <w:end w:w="120" w:type="dxa"/>
            </w:tcMar>
          </w:tcPr>
          <w:p>
            <w:pPr>
              <w:spacing w:after="0"/>
            </w:pPr>
            <w:r>
              <w:rPr>
                <w:rFonts w:ascii="Calibri" w:hAnsi="Calibri"/>
                <w:b/>
                <w:sz w:val="19"/>
              </w:rPr>
              <w:t>Owner</w:t>
            </w:r>
          </w:p>
        </w:tc>
        <w:tc>
          <w:tcPr>
            <w:tcW w:type="dxa" w:w="1300"/>
            <w:shd w:fill="F2F4F7"/>
            <w:vAlign w:val="center"/>
            <w:tcMar>
              <w:top w:w="80" w:type="dxa"/>
              <w:bottom w:w="80" w:type="dxa"/>
              <w:start w:w="120" w:type="dxa"/>
              <w:end w:w="120" w:type="dxa"/>
            </w:tcMar>
          </w:tcPr>
          <w:p>
            <w:pPr>
              <w:spacing w:after="0"/>
            </w:pPr>
            <w:r>
              <w:rPr>
                <w:rFonts w:ascii="Calibri" w:hAnsi="Calibri"/>
                <w:b/>
                <w:sz w:val="19"/>
              </w:rPr>
              <w:t>Due Date</w:t>
            </w:r>
          </w:p>
        </w:tc>
        <w:tc>
          <w:tcPr>
            <w:tcW w:type="dxa" w:w="1200"/>
            <w:shd w:fill="F2F4F7"/>
            <w:vAlign w:val="center"/>
            <w:tcMar>
              <w:top w:w="80" w:type="dxa"/>
              <w:bottom w:w="80" w:type="dxa"/>
              <w:start w:w="120" w:type="dxa"/>
              <w:end w:w="120" w:type="dxa"/>
            </w:tcMar>
          </w:tcPr>
          <w:p>
            <w:pPr>
              <w:spacing w:after="0"/>
            </w:pPr>
            <w:r>
              <w:rPr>
                <w:rFonts w:ascii="Calibri" w:hAnsi="Calibri"/>
                <w:b/>
                <w:sz w:val="19"/>
              </w:rPr>
              <w:t>Priority</w:t>
            </w:r>
          </w:p>
        </w:tc>
        <w:tc>
          <w:tcPr>
            <w:tcW w:type="dxa" w:w="1960"/>
            <w:shd w:fill="F2F4F7"/>
            <w:vAlign w:val="center"/>
            <w:tcMar>
              <w:top w:w="80" w:type="dxa"/>
              <w:bottom w:w="80" w:type="dxa"/>
              <w:start w:w="120" w:type="dxa"/>
              <w:end w:w="120" w:type="dxa"/>
            </w:tcMar>
          </w:tcPr>
          <w:p>
            <w:pPr>
              <w:spacing w:after="0"/>
            </w:pPr>
            <w:r>
              <w:rPr>
                <w:rFonts w:ascii="Calibri" w:hAnsi="Calibri"/>
                <w:b/>
                <w:sz w:val="19"/>
              </w:rPr>
              <w:t>Status</w:t>
            </w:r>
          </w:p>
        </w:tc>
      </w:tr>
      <w:tr>
        <w:tc>
          <w:tcPr>
            <w:tcW w:type="dxa" w:w="3500"/>
            <w:vAlign w:val="center"/>
            <w:tcMar>
              <w:top w:w="80" w:type="dxa"/>
              <w:bottom w:w="80" w:type="dxa"/>
              <w:start w:w="120" w:type="dxa"/>
              <w:end w:w="120" w:type="dxa"/>
            </w:tcMar>
          </w:tcPr>
          <w:p>
            <w:pPr>
              <w:spacing w:after="0"/>
            </w:pPr>
            <w:r>
              <w:rPr>
                <w:rFonts w:ascii="Calibri" w:hAnsi="Calibri"/>
                <w:b w:val="0"/>
                <w:sz w:val="19"/>
              </w:rPr>
              <w:t>Stay tuned for the general availability release of RingCentral's intelligent APIs.</w:t>
            </w:r>
          </w:p>
        </w:tc>
        <w:tc>
          <w:tcPr>
            <w:tcW w:type="dxa" w:w="1400"/>
            <w:vAlign w:val="center"/>
            <w:tcMar>
              <w:top w:w="80" w:type="dxa"/>
              <w:bottom w:w="80" w:type="dxa"/>
              <w:start w:w="120" w:type="dxa"/>
              <w:end w:w="120" w:type="dxa"/>
            </w:tcMar>
          </w:tcPr>
          <w:p>
            <w:pPr>
              <w:spacing w:after="0"/>
            </w:pPr>
            <w:r>
              <w:rPr>
                <w:rFonts w:ascii="Calibri" w:hAnsi="Calibri"/>
                <w:b w:val="0"/>
                <w:sz w:val="19"/>
              </w:rPr>
              <w:t>Unassigned</w:t>
            </w:r>
          </w:p>
        </w:tc>
        <w:tc>
          <w:tcPr>
            <w:tcW w:type="dxa" w:w="1300"/>
            <w:vAlign w:val="center"/>
            <w:tcMar>
              <w:top w:w="80" w:type="dxa"/>
              <w:bottom w:w="80" w:type="dxa"/>
              <w:start w:w="120" w:type="dxa"/>
              <w:end w:w="120" w:type="dxa"/>
            </w:tcMar>
          </w:tcPr>
          <w:p>
            <w:pPr>
              <w:spacing w:after="0"/>
            </w:pPr>
            <w:r>
              <w:rPr>
                <w:rFonts w:ascii="Calibri" w:hAnsi="Calibri"/>
                <w:b w:val="0"/>
                <w:sz w:val="19"/>
              </w:rPr>
              <w:t>N/A</w:t>
            </w:r>
          </w:p>
        </w:tc>
        <w:tc>
          <w:tcPr>
            <w:tcW w:type="dxa" w:w="1200"/>
            <w:vAlign w:val="center"/>
            <w:tcMar>
              <w:top w:w="80" w:type="dxa"/>
              <w:bottom w:w="80" w:type="dxa"/>
              <w:start w:w="120" w:type="dxa"/>
              <w:end w:w="120" w:type="dxa"/>
            </w:tcMar>
          </w:tcPr>
          <w:p>
            <w:pPr>
              <w:spacing w:after="0"/>
            </w:pPr>
            <w:r>
              <w:rPr>
                <w:rFonts w:ascii="Calibri" w:hAnsi="Calibri"/>
                <w:b w:val="0"/>
                <w:sz w:val="19"/>
              </w:rPr>
              <w:t>Low</w:t>
            </w:r>
          </w:p>
        </w:tc>
        <w:tc>
          <w:tcPr>
            <w:tcW w:type="dxa" w:w="1960"/>
            <w:vAlign w:val="center"/>
            <w:tcMar>
              <w:top w:w="80" w:type="dxa"/>
              <w:bottom w:w="80" w:type="dxa"/>
              <w:start w:w="120" w:type="dxa"/>
              <w:end w:w="120" w:type="dxa"/>
            </w:tcMar>
          </w:tcPr>
          <w:p>
            <w:pPr>
              <w:spacing w:after="0"/>
            </w:pPr>
            <w:r>
              <w:rPr>
                <w:rFonts w:ascii="Calibri" w:hAnsi="Calibri"/>
                <w:b w:val="0"/>
                <w:sz w:val="19"/>
              </w:rPr>
              <w:t>open</w:t>
            </w:r>
          </w:p>
        </w:tc>
      </w:tr>
      <w:tr>
        <w:tc>
          <w:tcPr>
            <w:tcW w:type="dxa" w:w="3500"/>
            <w:vAlign w:val="center"/>
            <w:tcMar>
              <w:top w:w="80" w:type="dxa"/>
              <w:bottom w:w="80" w:type="dxa"/>
              <w:start w:w="120" w:type="dxa"/>
              <w:end w:w="120" w:type="dxa"/>
            </w:tcMar>
          </w:tcPr>
          <w:p>
            <w:pPr>
              <w:spacing w:after="0"/>
            </w:pPr>
            <w:r>
              <w:rPr>
                <w:rFonts w:ascii="Calibri" w:hAnsi="Calibri"/>
                <w:b w:val="0"/>
                <w:sz w:val="19"/>
              </w:rPr>
              <w:t>Provide feedback on the RingCentral intelligent APIs beta program.</w:t>
            </w:r>
          </w:p>
        </w:tc>
        <w:tc>
          <w:tcPr>
            <w:tcW w:type="dxa" w:w="1400"/>
            <w:vAlign w:val="center"/>
            <w:tcMar>
              <w:top w:w="80" w:type="dxa"/>
              <w:bottom w:w="80" w:type="dxa"/>
              <w:start w:w="120" w:type="dxa"/>
              <w:end w:w="120" w:type="dxa"/>
            </w:tcMar>
          </w:tcPr>
          <w:p>
            <w:pPr>
              <w:spacing w:after="0"/>
            </w:pPr>
            <w:r>
              <w:rPr>
                <w:rFonts w:ascii="Calibri" w:hAnsi="Calibri"/>
                <w:b w:val="0"/>
                <w:sz w:val="19"/>
              </w:rPr>
              <w:t>Unassigned</w:t>
            </w:r>
          </w:p>
        </w:tc>
        <w:tc>
          <w:tcPr>
            <w:tcW w:type="dxa" w:w="1300"/>
            <w:vAlign w:val="center"/>
            <w:tcMar>
              <w:top w:w="80" w:type="dxa"/>
              <w:bottom w:w="80" w:type="dxa"/>
              <w:start w:w="120" w:type="dxa"/>
              <w:end w:w="120" w:type="dxa"/>
            </w:tcMar>
          </w:tcPr>
          <w:p>
            <w:pPr>
              <w:spacing w:after="0"/>
            </w:pPr>
            <w:r>
              <w:rPr>
                <w:rFonts w:ascii="Calibri" w:hAnsi="Calibri"/>
                <w:b w:val="0"/>
                <w:sz w:val="19"/>
              </w:rPr>
              <w:t>N/A</w:t>
            </w:r>
          </w:p>
        </w:tc>
        <w:tc>
          <w:tcPr>
            <w:tcW w:type="dxa" w:w="1200"/>
            <w:vAlign w:val="center"/>
            <w:tcMar>
              <w:top w:w="80" w:type="dxa"/>
              <w:bottom w:w="80" w:type="dxa"/>
              <w:start w:w="120" w:type="dxa"/>
              <w:end w:w="120" w:type="dxa"/>
            </w:tcMar>
          </w:tcPr>
          <w:p>
            <w:pPr>
              <w:spacing w:after="0"/>
            </w:pPr>
            <w:r>
              <w:rPr>
                <w:rFonts w:ascii="Calibri" w:hAnsi="Calibri"/>
                <w:b w:val="0"/>
                <w:sz w:val="19"/>
              </w:rPr>
              <w:t>Low</w:t>
            </w:r>
          </w:p>
        </w:tc>
        <w:tc>
          <w:tcPr>
            <w:tcW w:type="dxa" w:w="1960"/>
            <w:vAlign w:val="center"/>
            <w:tcMar>
              <w:top w:w="80" w:type="dxa"/>
              <w:bottom w:w="80" w:type="dxa"/>
              <w:start w:w="120" w:type="dxa"/>
              <w:end w:w="120" w:type="dxa"/>
            </w:tcMar>
          </w:tcPr>
          <w:p>
            <w:pPr>
              <w:spacing w:after="0"/>
            </w:pPr>
            <w:r>
              <w:rPr>
                <w:rFonts w:ascii="Calibri" w:hAnsi="Calibri"/>
                <w:b w:val="0"/>
                <w:sz w:val="19"/>
              </w:rPr>
              <w:t>open</w:t>
            </w:r>
          </w:p>
        </w:tc>
      </w:tr>
    </w:tbl>
    <w:p>
      <w:pPr>
        <w:spacing w:before="240" w:after="120"/>
      </w:pPr>
      <w:r>
        <w:rPr>
          <w:rFonts w:ascii="Calibri" w:hAnsi="Calibri"/>
          <w:b/>
          <w:color w:val="2E74B5"/>
          <w:sz w:val="24"/>
        </w:rPr>
        <w:t>NEXT STEPS</w:t>
      </w:r>
    </w:p>
    <w:p>
      <w:pPr>
        <w:pStyle w:val="ListBullet"/>
      </w:pPr>
      <w:r>
        <w:t>Team will stay tuned for the general availability release of RingCentral's intelligent APIs.</w:t>
      </w:r>
    </w:p>
    <w:p>
      <w:pPr>
        <w:pStyle w:val="ListBullet"/>
      </w:pPr>
      <w:r>
        <w:t>Team will provide feedback on the RingCentral intelligent APIs beta program.</w:t>
      </w:r>
    </w:p>
    <w:p>
      <w:pPr>
        <w:spacing w:before="40" w:after="160"/>
      </w:pPr>
      <w:r>
        <w:rPr>
          <w:color w:val="D9E2EC"/>
          <w:sz w:val="16"/>
        </w:rPr>
        <w:t>______________________________________________________________________________</w:t>
      </w:r>
    </w:p>
    <w:p>
      <w:pPr>
        <w:spacing w:before="160"/>
        <w:jc w:val="center"/>
      </w:pPr>
      <w:r>
        <w:rPr>
          <w:b/>
          <w:color w:val="667085"/>
          <w:sz w:val="20"/>
        </w:rPr>
        <w:t>Generated by MeetScribe</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7085"/>
        <w:sz w:val="18"/>
      </w:rPr>
      <w:t>Generated by MeetScribe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