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College Event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August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session covered marketing performance, venue logistics, and event registrations. Formal outcomes were captured for venue logistics and budget was finalized. 2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Marketing Performance: Available figures for marketing performance were reviewed, including 20,000 students, to assess readiness and follow-up needs.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11:01:15 | Speaker(s): Aditya</w:t>
      </w:r>
    </w:p>
    <w:p>
      <w:pPr>
        <w:pStyle w:val="ListBullet"/>
      </w:pPr>
      <w:r>
        <w:rPr>
          <w:b/>
        </w:rPr>
        <w:t>Venue Logistics: Venue Logistics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11:04:42 | Speaker(s): Harsh</w:t>
      </w:r>
    </w:p>
    <w:p>
      <w:pPr>
        <w:pStyle w:val="ListBullet"/>
      </w:pPr>
      <w:r>
        <w:rPr>
          <w:b/>
        </w:rPr>
        <w:t>Event Registrations: Discussion focused on event registrations, using 250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11:00:05 | Speaker(s): Jiya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Logistics.</w:t>
      </w:r>
    </w:p>
    <w:p>
      <w:pPr>
        <w:pStyle w:val="ListNumber"/>
      </w:pPr>
      <w:r>
        <w:rPr>
          <w:b w:val="0"/>
        </w:rPr>
        <w:t>Budget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Publish the updated registration poster.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Mehak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volunteer assignments.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Aditya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Monday Prepare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31 July 2026 | 10:46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