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En2001A</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2026-07-27</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N/A</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Speaker E, Speaker D, Speaker A, Speaker B, Speaker C</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Review documentation and confirm any required follow-up.</w:t>
        <w:br/>
        <w:br/>
        <w:t>Key discussions covered i i'll i'll, for every single, and ord base dot. Confirmed outcomes included Someti but the annotators decided what was one segment and what wasn't and Now decided anything, doing anything has been confirmed. 34 follow-up action items were assigned. Pending work included Dark mode implementation was deferred to a later sprint.</w:t>
      </w:r>
    </w:p>
    <w:p>
      <w:pPr>
        <w:spacing w:before="240" w:after="120"/>
      </w:pPr>
      <w:r>
        <w:rPr>
          <w:rFonts w:ascii="Calibri" w:hAnsi="Calibri"/>
          <w:b/>
          <w:color w:val="2E74B5"/>
          <w:sz w:val="24"/>
        </w:rPr>
        <w:t>KEY DISCUSSION POINTS</w:t>
      </w:r>
    </w:p>
    <w:p>
      <w:pPr>
        <w:pStyle w:val="ListBullet"/>
      </w:pPr>
      <w:r>
        <w:rPr>
          <w:b/>
        </w:rPr>
        <w:t>I I'll I'll: But do they automatically write to the file anyway I'll I'll figure that out.</w:t>
      </w:r>
    </w:p>
    <w:p>
      <w:pPr>
        <w:spacing w:after="60"/>
        <w:ind w:left="461"/>
      </w:pPr>
      <w:r>
        <w:rPr>
          <w:i/>
          <w:color w:val="667085"/>
          <w:sz w:val="18"/>
        </w:rPr>
        <w:t>Timestamp: 01:23:14 | Speaker(s): Not Mentioned</w:t>
      </w:r>
    </w:p>
    <w:p>
      <w:pPr>
        <w:pStyle w:val="ListBullet"/>
      </w:pPr>
      <w:r>
        <w:rPr>
          <w:b/>
        </w:rPr>
        <w:t>That doesn't make: Because that makes it a lot easier than to t put it on utterance level.</w:t>
      </w:r>
    </w:p>
    <w:p>
      <w:pPr>
        <w:spacing w:after="60"/>
        <w:ind w:left="461"/>
      </w:pPr>
      <w:r>
        <w:rPr>
          <w:i/>
          <w:color w:val="667085"/>
          <w:sz w:val="18"/>
        </w:rPr>
        <w:t>Timestamp: 00:14:29 | Speaker(s): Not Mentioned</w:t>
      </w:r>
    </w:p>
    <w:p>
      <w:pPr>
        <w:pStyle w:val="ListBullet"/>
      </w:pPr>
      <w:r>
        <w:rPr>
          <w:b/>
        </w:rPr>
        <w:t>For every single: I mean, do we do both or is it the same thing?</w:t>
      </w:r>
    </w:p>
    <w:p>
      <w:pPr>
        <w:spacing w:after="60"/>
        <w:ind w:left="461"/>
      </w:pPr>
      <w:r>
        <w:rPr>
          <w:i/>
          <w:color w:val="667085"/>
          <w:sz w:val="18"/>
        </w:rPr>
        <w:t>Timestamp: 00:11:55 | Speaker(s): Not Mentioned</w:t>
      </w:r>
    </w:p>
    <w:p>
      <w:pPr>
        <w:pStyle w:val="ListBullet"/>
      </w:pPr>
      <w:r>
        <w:rPr>
          <w:b/>
        </w:rPr>
        <w:t>I mean I: But I have to think more about what I meant.</w:t>
      </w:r>
    </w:p>
    <w:p>
      <w:pPr>
        <w:spacing w:after="60"/>
        <w:ind w:left="461"/>
      </w:pPr>
      <w:r>
        <w:rPr>
          <w:i/>
          <w:color w:val="667085"/>
          <w:sz w:val="18"/>
        </w:rPr>
        <w:t>Timestamp: 01:04:08 | Speaker(s): Not Mentioned</w:t>
      </w:r>
    </w:p>
    <w:p>
      <w:pPr>
        <w:pStyle w:val="ListBullet"/>
      </w:pPr>
      <w:r>
        <w:rPr>
          <w:b/>
        </w:rPr>
        <w:t>Ord base dot: That doesn't matter too much,.</w:t>
      </w:r>
    </w:p>
    <w:p>
      <w:pPr>
        <w:spacing w:after="60"/>
        <w:ind w:left="461"/>
      </w:pPr>
      <w:r>
        <w:rPr>
          <w:i/>
          <w:color w:val="667085"/>
          <w:sz w:val="18"/>
        </w:rPr>
        <w:t>Timestamp: 00:22:16 | Speaker(s): Not Mentioned</w:t>
      </w:r>
    </w:p>
    <w:p>
      <w:pPr>
        <w:spacing w:before="240" w:after="120"/>
      </w:pPr>
      <w:r>
        <w:rPr>
          <w:rFonts w:ascii="Calibri" w:hAnsi="Calibri"/>
          <w:b/>
          <w:color w:val="2E74B5"/>
          <w:sz w:val="24"/>
        </w:rPr>
        <w:t>DECISIONS TAKEN</w:t>
      </w:r>
    </w:p>
    <w:p>
      <w:pPr>
        <w:pStyle w:val="ListNumber"/>
      </w:pPr>
      <w:r>
        <w:rPr>
          <w:b w:val="0"/>
        </w:rPr>
        <w:t>Someti but the annotators decided what was one segment and what wasn't.</w:t>
      </w:r>
    </w:p>
    <w:p>
      <w:pPr>
        <w:pStyle w:val="ListNumber"/>
      </w:pPr>
      <w:r>
        <w:rPr>
          <w:b w:val="0"/>
        </w:rPr>
        <w:t>Now decided anything, doing anything has been confirmed.</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4300"/>
        <w:gridCol w:w="1600"/>
        <w:gridCol w:w="1700"/>
        <w:gridCol w:w="1760"/>
      </w:tblGrid>
      <w:tr>
        <w:tc>
          <w:tcPr>
            <w:tcW w:type="dxa" w:w="43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6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7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760"/>
            <w:shd w:fill="F2F4F7"/>
            <w:vAlign w:val="center"/>
            <w:tcMar>
              <w:top w:w="80" w:type="dxa"/>
              <w:bottom w:w="80" w:type="dxa"/>
              <w:start w:w="120" w:type="dxa"/>
              <w:end w:w="120" w:type="dxa"/>
            </w:tcMar>
          </w:tcPr>
          <w:p>
            <w:pPr>
              <w:spacing w:after="0"/>
            </w:pPr>
            <w:r>
              <w:rPr>
                <w:rFonts w:ascii="Calibri" w:hAnsi="Calibri"/>
                <w:b/>
                <w:sz w:val="19"/>
              </w:rPr>
              <w:t>Priority</w:t>
            </w:r>
          </w:p>
        </w:tc>
      </w:tr>
      <w:tr>
        <w:tc>
          <w:tcPr>
            <w:tcW w:type="dxa" w:w="4300"/>
            <w:vAlign w:val="center"/>
            <w:tcMar>
              <w:top w:w="80" w:type="dxa"/>
              <w:bottom w:w="80" w:type="dxa"/>
              <w:start w:w="120" w:type="dxa"/>
              <w:end w:w="120" w:type="dxa"/>
            </w:tcMar>
          </w:tcPr>
          <w:p>
            <w:pPr>
              <w:spacing w:after="0"/>
            </w:pPr>
            <w:r>
              <w:rPr>
                <w:rFonts w:ascii="Calibri" w:hAnsi="Calibri"/>
                <w:b w:val="0"/>
                <w:sz w:val="19"/>
              </w:rPr>
              <w:t>But do they automatically write to the file anyway I'll I'll figure that out.</w:t>
            </w:r>
          </w:p>
        </w:tc>
        <w:tc>
          <w:tcPr>
            <w:tcW w:type="dxa" w:w="1600"/>
            <w:vAlign w:val="center"/>
            <w:tcMar>
              <w:top w:w="80" w:type="dxa"/>
              <w:bottom w:w="80" w:type="dxa"/>
              <w:start w:w="120" w:type="dxa"/>
              <w:end w:w="120" w:type="dxa"/>
            </w:tcMar>
          </w:tcPr>
          <w:p>
            <w:pPr>
              <w:spacing w:after="0"/>
            </w:pPr>
            <w:r>
              <w:rPr>
                <w:rFonts w:ascii="Calibri" w:hAnsi="Calibri"/>
                <w:b w:val="0"/>
                <w:sz w:val="19"/>
              </w:rPr>
              <w:t>Unassigned</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Because if we're doing Like for for the information density we we should calculate it on the lowest level, not on the highest.</w:t>
            </w:r>
          </w:p>
        </w:tc>
        <w:tc>
          <w:tcPr>
            <w:tcW w:type="dxa" w:w="1600"/>
            <w:vAlign w:val="center"/>
            <w:tcMar>
              <w:top w:w="80" w:type="dxa"/>
              <w:bottom w:w="80" w:type="dxa"/>
              <w:start w:w="120" w:type="dxa"/>
              <w:end w:w="120" w:type="dxa"/>
            </w:tcMar>
          </w:tcPr>
          <w:p>
            <w:pPr>
              <w:spacing w:after="0"/>
            </w:pPr>
            <w:r>
              <w:rPr>
                <w:rFonts w:ascii="Calibri" w:hAnsi="Calibri"/>
                <w:b w:val="0"/>
                <w:sz w:val="19"/>
              </w:rPr>
              <w:t>Unassigned</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Compiled off-line module.</w:t>
            </w:r>
          </w:p>
        </w:tc>
        <w:tc>
          <w:tcPr>
            <w:tcW w:type="dxa" w:w="1600"/>
            <w:vAlign w:val="center"/>
            <w:tcMar>
              <w:top w:w="80" w:type="dxa"/>
              <w:bottom w:w="80" w:type="dxa"/>
              <w:start w:w="120" w:type="dxa"/>
              <w:end w:w="120" w:type="dxa"/>
            </w:tcMar>
          </w:tcPr>
          <w:p>
            <w:pPr>
              <w:spacing w:after="0"/>
            </w:pPr>
            <w:r>
              <w:rPr>
                <w:rFonts w:ascii="Calibri" w:hAnsi="Calibri"/>
                <w:b w:val="0"/>
                <w:sz w:val="19"/>
              </w:rPr>
              <w:t>Unassigned</w:t>
            </w:r>
          </w:p>
        </w:tc>
        <w:tc>
          <w:tcPr>
            <w:tcW w:type="dxa" w:w="1700"/>
            <w:vAlign w:val="center"/>
            <w:tcMar>
              <w:top w:w="80" w:type="dxa"/>
              <w:bottom w:w="80" w:type="dxa"/>
              <w:start w:w="120" w:type="dxa"/>
              <w:end w:w="120" w:type="dxa"/>
            </w:tcMar>
          </w:tcPr>
          <w:p>
            <w:pPr>
              <w:spacing w:after="0"/>
            </w:pPr>
            <w:r>
              <w:rPr>
                <w:rFonts w:ascii="Calibri" w:hAnsi="Calibri"/>
                <w:b w:val="0"/>
                <w:sz w:val="19"/>
              </w:rPr>
              <w:t>By A Summary</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Something we should ask it.</w:t>
            </w:r>
          </w:p>
        </w:tc>
        <w:tc>
          <w:tcPr>
            <w:tcW w:type="dxa" w:w="1600"/>
            <w:vAlign w:val="center"/>
            <w:tcMar>
              <w:top w:w="80" w:type="dxa"/>
              <w:bottom w:w="80" w:type="dxa"/>
              <w:start w:w="120" w:type="dxa"/>
              <w:end w:w="120" w:type="dxa"/>
            </w:tcMar>
          </w:tcPr>
          <w:p>
            <w:pPr>
              <w:spacing w:after="0"/>
            </w:pPr>
            <w:r>
              <w:rPr>
                <w:rFonts w:ascii="Calibri" w:hAnsi="Calibri"/>
                <w:b w:val="0"/>
                <w:sz w:val="19"/>
              </w:rPr>
              <w:t>Unassigned</w:t>
            </w:r>
          </w:p>
        </w:tc>
        <w:tc>
          <w:tcPr>
            <w:tcW w:type="dxa" w:w="1700"/>
            <w:vAlign w:val="center"/>
            <w:tcMar>
              <w:top w:w="80" w:type="dxa"/>
              <w:bottom w:w="80" w:type="dxa"/>
              <w:start w:w="120" w:type="dxa"/>
              <w:end w:w="120" w:type="dxa"/>
            </w:tcMar>
          </w:tcPr>
          <w:p>
            <w:pPr>
              <w:spacing w:after="0"/>
            </w:pPr>
            <w:r>
              <w:rPr>
                <w:rFonts w:ascii="Calibri" w:hAnsi="Calibri"/>
                <w:b w:val="0"/>
                <w:sz w:val="19"/>
              </w:rPr>
              <w:t>Before We Do</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And it should be weighted the hot spots and the key-words in the search and stuff like that.</w:t>
            </w:r>
          </w:p>
        </w:tc>
        <w:tc>
          <w:tcPr>
            <w:tcW w:type="dxa" w:w="1600"/>
            <w:vAlign w:val="center"/>
            <w:tcMar>
              <w:top w:w="80" w:type="dxa"/>
              <w:bottom w:w="80" w:type="dxa"/>
              <w:start w:w="120" w:type="dxa"/>
              <w:end w:w="120" w:type="dxa"/>
            </w:tcMar>
          </w:tcPr>
          <w:p>
            <w:pPr>
              <w:spacing w:after="0"/>
            </w:pPr>
            <w:r>
              <w:rPr>
                <w:rFonts w:ascii="Calibri" w:hAnsi="Calibri"/>
                <w:b w:val="0"/>
                <w:sz w:val="19"/>
              </w:rPr>
              <w:t>Unassigned</w:t>
            </w:r>
          </w:p>
        </w:tc>
        <w:tc>
          <w:tcPr>
            <w:tcW w:type="dxa" w:w="1700"/>
            <w:vAlign w:val="center"/>
            <w:tcMar>
              <w:top w:w="80" w:type="dxa"/>
              <w:bottom w:w="80" w:type="dxa"/>
              <w:start w:w="120" w:type="dxa"/>
              <w:end w:w="120" w:type="dxa"/>
            </w:tcMar>
          </w:tcPr>
          <w:p>
            <w:pPr>
              <w:spacing w:after="0"/>
            </w:pPr>
            <w:r>
              <w:rPr>
                <w:rFonts w:ascii="Calibri" w:hAnsi="Calibri"/>
                <w:b w:val="0"/>
                <w:sz w:val="19"/>
              </w:rPr>
              <w:t>By Stuff Like</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I'm a I'm a I'm a bit brain-damaged at the moment, but I'll just sit together with you again and and go through it again.</w:t>
            </w:r>
          </w:p>
        </w:tc>
        <w:tc>
          <w:tcPr>
            <w:tcW w:type="dxa" w:w="1600"/>
            <w:vAlign w:val="center"/>
            <w:tcMar>
              <w:top w:w="80" w:type="dxa"/>
              <w:bottom w:w="80" w:type="dxa"/>
              <w:start w:w="120" w:type="dxa"/>
              <w:end w:w="120" w:type="dxa"/>
            </w:tcMar>
          </w:tcPr>
          <w:p>
            <w:pPr>
              <w:spacing w:after="0"/>
            </w:pPr>
            <w:r>
              <w:rPr>
                <w:rFonts w:ascii="Calibri" w:hAnsi="Calibri"/>
                <w:b w:val="0"/>
                <w:sz w:val="19"/>
              </w:rPr>
              <w:t>Unassigned</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r>
        <w:tc>
          <w:tcPr>
            <w:tcW w:type="dxa" w:w="4300"/>
            <w:vAlign w:val="center"/>
            <w:tcMar>
              <w:top w:w="80" w:type="dxa"/>
              <w:bottom w:w="80" w:type="dxa"/>
              <w:start w:w="120" w:type="dxa"/>
              <w:end w:w="120" w:type="dxa"/>
            </w:tcMar>
          </w:tcPr>
          <w:p>
            <w:pPr>
              <w:spacing w:after="0"/>
            </w:pPr>
            <w:r>
              <w:rPr>
                <w:rFonts w:ascii="Calibri" w:hAnsi="Calibri"/>
                <w:b w:val="0"/>
                <w:sz w:val="19"/>
              </w:rPr>
              <w:t>'Cause I'll need that then when it's done.</w:t>
            </w:r>
          </w:p>
        </w:tc>
        <w:tc>
          <w:tcPr>
            <w:tcW w:type="dxa" w:w="1600"/>
            <w:vAlign w:val="center"/>
            <w:tcMar>
              <w:top w:w="80" w:type="dxa"/>
              <w:bottom w:w="80" w:type="dxa"/>
              <w:start w:w="120" w:type="dxa"/>
              <w:end w:w="120" w:type="dxa"/>
            </w:tcMar>
          </w:tcPr>
          <w:p>
            <w:pPr>
              <w:spacing w:after="0"/>
            </w:pPr>
            <w:r>
              <w:rPr>
                <w:rFonts w:ascii="Calibri" w:hAnsi="Calibri"/>
                <w:b w:val="0"/>
                <w:sz w:val="19"/>
              </w:rPr>
              <w:t>Unassigned</w:t>
            </w:r>
          </w:p>
        </w:tc>
        <w:tc>
          <w:tcPr>
            <w:tcW w:type="dxa" w:w="1700"/>
            <w:vAlign w:val="center"/>
            <w:tcMar>
              <w:top w:w="80" w:type="dxa"/>
              <w:bottom w:w="80" w:type="dxa"/>
              <w:start w:w="120" w:type="dxa"/>
              <w:end w:w="120" w:type="dxa"/>
            </w:tcMar>
          </w:tcPr>
          <w:p>
            <w:pPr>
              <w:spacing w:after="0"/>
            </w:pPr>
            <w:r>
              <w:rPr>
                <w:rFonts w:ascii="Calibri" w:hAnsi="Calibri"/>
                <w:b w:val="0"/>
                <w:sz w:val="19"/>
              </w:rPr>
              <w:t>Not Mentioned</w:t>
            </w:r>
          </w:p>
        </w:tc>
        <w:tc>
          <w:tcPr>
            <w:tcW w:type="dxa" w:w="1760"/>
            <w:vAlign w:val="center"/>
            <w:tcMar>
              <w:top w:w="80" w:type="dxa"/>
              <w:bottom w:w="80" w:type="dxa"/>
              <w:start w:w="120" w:type="dxa"/>
              <w:end w:w="120" w:type="dxa"/>
            </w:tcMar>
          </w:tcPr>
          <w:p>
            <w:pPr>
              <w:spacing w:after="0"/>
            </w:pPr>
            <w:r>
              <w:rPr>
                <w:rFonts w:ascii="Calibri" w:hAnsi="Calibri"/>
                <w:b w:val="0"/>
                <w:sz w:val="19"/>
              </w:rPr>
              <w:t>Low</w:t>
            </w:r>
          </w:p>
        </w:tc>
      </w:tr>
    </w:tbl>
    <w:p>
      <w:pPr>
        <w:spacing w:before="240" w:after="120"/>
      </w:pPr>
      <w:r>
        <w:rPr>
          <w:rFonts w:ascii="Calibri" w:hAnsi="Calibri"/>
          <w:b/>
          <w:color w:val="2E74B5"/>
          <w:sz w:val="24"/>
        </w:rPr>
        <w:t>NEXT MEETING</w:t>
      </w:r>
    </w:p>
    <w:p>
      <w:pPr>
        <w:pStyle w:val="ListBullet"/>
      </w:pPr>
      <w:r>
        <w:t>But I I mean as um the start uh start times um start for each meeting at zero, you could just probably just um add the um final second time to the next meeting and.</w:t>
      </w:r>
    </w:p>
    <w:p>
      <w:pPr>
        <w:pStyle w:val="ListBullet"/>
      </w:pPr>
      <w:r>
        <w:t>[01:23:51] Speaker E: And yeah, so that [01:23:55] Speaker E: When do we have to meet again then with this?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Generated by MeetScribe | 27 July 2026 | 12:54 AM</w:t>
    </w:r>
    <w:r>
      <w:rPr>
        <w:color w:val="667085"/>
        <w:sz w:val="18"/>
      </w:rPr>
      <w:t xml:space="preserve"> | Page </w:t>
    </w:r>
    <w:r>
      <w:rPr>
        <w:color w:val="667085"/>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