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24 July 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Aarav, Priya, Rahul, Neha, Ananya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Evaluate application performance, confirm the optimization approach, and align ownership for release readiness.</w:t>
        <w:br/>
        <w:br/>
        <w:t>Key discussions covered sprint 4 feature list, model performance, and ui alignment issues. Confirmed outcomes included Dark Mode was deferred to Sprint 5. 3 follow-up action items were assigned. Pending work included Dark mode implementation was deferred to a later sprint and UI alignment issues require review.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Sprint 4 Feature List: The discussion connected Sprint 4 Feature List with ownership, timing, and release impact.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09:00:25 | Speaker(s): Aarav</w:t>
      </w:r>
    </w:p>
    <w:p>
      <w:pPr>
        <w:pStyle w:val="ListBullet"/>
      </w:pPr>
      <w:r>
        <w:rPr>
          <w:b/>
        </w:rPr>
        <w:t>Model Performance: Model performance was reviewed to confirm summarization accuracy before release.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09:00:50 | Speaker(s): Neha</w:t>
      </w:r>
    </w:p>
    <w:p>
      <w:pPr>
        <w:pStyle w:val="ListBullet"/>
      </w:pPr>
      <w:r>
        <w:rPr>
          <w:b/>
        </w:rPr>
        <w:t>UI Alignment Issues: The team reviewed ui alignment issues to clarify unresolved work and ownership.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09:02:40 | Speaker(s): Ananya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Dark Mode was deferred to Sprint 5.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regression testing.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Ananya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Implement lazy loading.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Rahul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PDF export improvements.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Priya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28 July 2026 | 04:20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