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meeting centered on venue logistics, marketing performance, and event registrations. Formal outcomes were captured for venue logistics.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Venue Logistics: Outstanding work for venue logistics was reviewed to clarify ownership and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pStyle w:val="ListBullet"/>
      </w:pPr>
      <w:r>
        <w:rPr>
          <w:b/>
        </w:rPr>
        <w:t>Marketing Performance: Outstanding work for marketing performance was reviewed to clarify ownership and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04:07:08 | Speaker(s): Jiya</w:t>
      </w:r>
    </w:p>
    <w:p>
      <w:pPr>
        <w:pStyle w:val="ListBullet"/>
      </w:pPr>
      <w:r>
        <w:rPr>
          <w:b/>
        </w:rPr>
        <w:t>Event Registrations: Discussion focused on event registrations, using 120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pStyle w:val="ListBullet"/>
      </w:pPr>
      <w:r>
        <w:rPr>
          <w:b/>
        </w:rPr>
        <w:t>Continues Until Tomorrow: Discussion focused on continues until tomorrow, including timing expectations tomorrow.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04:07:20 | Speaker(s): Jiya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 as the agreed outcome.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06:26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