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90" w:rsidRDefault="00A14DEC">
      <w:pPr>
        <w:pStyle w:val="BodyText"/>
        <w:ind w:left="3807"/>
        <w:rPr>
          <w:sz w:val="20"/>
        </w:rPr>
      </w:pPr>
      <w:r>
        <w:rPr>
          <w:noProof/>
          <w:sz w:val="20"/>
        </w:rPr>
        <w:drawing>
          <wp:inline distT="0" distB="0" distL="0" distR="0">
            <wp:extent cx="2155197" cy="7370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155197" cy="737044"/>
                    </a:xfrm>
                    <a:prstGeom prst="rect">
                      <a:avLst/>
                    </a:prstGeom>
                  </pic:spPr>
                </pic:pic>
              </a:graphicData>
            </a:graphic>
          </wp:inline>
        </w:drawing>
      </w:r>
    </w:p>
    <w:p w:rsidR="00595490" w:rsidRDefault="00595490">
      <w:pPr>
        <w:pStyle w:val="BodyText"/>
        <w:rPr>
          <w:sz w:val="20"/>
        </w:rPr>
      </w:pPr>
    </w:p>
    <w:p w:rsidR="00595490" w:rsidRDefault="00595490">
      <w:pPr>
        <w:pStyle w:val="BodyText"/>
        <w:rPr>
          <w:sz w:val="20"/>
        </w:rPr>
      </w:pPr>
    </w:p>
    <w:p w:rsidR="00595490" w:rsidRDefault="00A14DEC">
      <w:pPr>
        <w:spacing w:before="186"/>
        <w:ind w:left="673" w:right="119"/>
        <w:rPr>
          <w:sz w:val="52"/>
        </w:rPr>
      </w:pPr>
      <w:r>
        <w:rPr>
          <w:sz w:val="48"/>
        </w:rPr>
        <w:t xml:space="preserve">Thank you for Your Interest in </w:t>
      </w:r>
      <w:r>
        <w:rPr>
          <w:sz w:val="52"/>
        </w:rPr>
        <w:t>Fund My Freight!</w:t>
      </w:r>
    </w:p>
    <w:p w:rsidR="00595490" w:rsidRDefault="00595490">
      <w:pPr>
        <w:pStyle w:val="BodyText"/>
        <w:spacing w:before="2"/>
        <w:rPr>
          <w:sz w:val="51"/>
        </w:rPr>
      </w:pPr>
    </w:p>
    <w:p w:rsidR="00595490" w:rsidRDefault="00771CCB">
      <w:pPr>
        <w:pStyle w:val="BodyText"/>
        <w:spacing w:before="1"/>
        <w:ind w:left="111" w:right="119"/>
      </w:pPr>
      <w:r>
        <w:t>Congratulations,</w:t>
      </w:r>
    </w:p>
    <w:p w:rsidR="00595490" w:rsidRDefault="00595490">
      <w:pPr>
        <w:pStyle w:val="BodyText"/>
        <w:rPr>
          <w:sz w:val="27"/>
        </w:rPr>
      </w:pPr>
    </w:p>
    <w:p w:rsidR="00595490" w:rsidRDefault="00A14DEC">
      <w:pPr>
        <w:pStyle w:val="BodyText"/>
        <w:ind w:left="111" w:right="119"/>
      </w:pPr>
      <w:r>
        <w:t>You’ve made a great move to Fund My Freight! We’re confident you’re going to love working with us because our clients stay with us longer than any other factoring group. We understand your transportation needs and value your time, so our application is fast and our factoring program is simple. Get ready to enjoy great cash flow, credit protection, billing, collection services and a whole suite of extra services.</w:t>
      </w:r>
    </w:p>
    <w:p w:rsidR="00595490" w:rsidRDefault="00595490">
      <w:pPr>
        <w:pStyle w:val="BodyText"/>
        <w:spacing w:before="2"/>
        <w:rPr>
          <w:sz w:val="28"/>
        </w:rPr>
      </w:pPr>
    </w:p>
    <w:p w:rsidR="00595490" w:rsidRDefault="00A14DEC">
      <w:pPr>
        <w:ind w:left="111" w:right="119"/>
        <w:rPr>
          <w:rFonts w:ascii="Calibri"/>
          <w:b/>
          <w:sz w:val="32"/>
        </w:rPr>
      </w:pPr>
      <w:r>
        <w:rPr>
          <w:rFonts w:ascii="Calibri"/>
          <w:b/>
          <w:sz w:val="32"/>
        </w:rPr>
        <w:t>Please</w:t>
      </w:r>
      <w:r>
        <w:rPr>
          <w:rFonts w:ascii="Calibri"/>
          <w:b/>
          <w:spacing w:val="-12"/>
          <w:sz w:val="32"/>
        </w:rPr>
        <w:t xml:space="preserve"> </w:t>
      </w:r>
      <w:r>
        <w:rPr>
          <w:rFonts w:ascii="Calibri"/>
          <w:b/>
          <w:sz w:val="32"/>
        </w:rPr>
        <w:t>review</w:t>
      </w:r>
      <w:r>
        <w:rPr>
          <w:rFonts w:ascii="Calibri"/>
          <w:b/>
          <w:spacing w:val="-9"/>
          <w:sz w:val="32"/>
        </w:rPr>
        <w:t xml:space="preserve"> </w:t>
      </w:r>
      <w:r>
        <w:rPr>
          <w:rFonts w:ascii="Calibri"/>
          <w:b/>
          <w:sz w:val="32"/>
        </w:rPr>
        <w:t>your</w:t>
      </w:r>
      <w:r>
        <w:rPr>
          <w:rFonts w:ascii="Calibri"/>
          <w:b/>
          <w:spacing w:val="-11"/>
          <w:sz w:val="32"/>
        </w:rPr>
        <w:t xml:space="preserve"> </w:t>
      </w:r>
      <w:r>
        <w:rPr>
          <w:rFonts w:ascii="Calibri"/>
          <w:b/>
          <w:sz w:val="32"/>
        </w:rPr>
        <w:t>customized</w:t>
      </w:r>
      <w:r>
        <w:rPr>
          <w:rFonts w:ascii="Calibri"/>
          <w:b/>
          <w:spacing w:val="-15"/>
          <w:sz w:val="32"/>
        </w:rPr>
        <w:t xml:space="preserve"> </w:t>
      </w:r>
      <w:r>
        <w:rPr>
          <w:rFonts w:ascii="Calibri"/>
          <w:b/>
          <w:sz w:val="32"/>
        </w:rPr>
        <w:t>details</w:t>
      </w:r>
      <w:r>
        <w:rPr>
          <w:rFonts w:ascii="Calibri"/>
          <w:b/>
          <w:spacing w:val="-13"/>
          <w:sz w:val="32"/>
        </w:rPr>
        <w:t xml:space="preserve"> </w:t>
      </w:r>
      <w:r>
        <w:rPr>
          <w:rFonts w:ascii="Calibri"/>
          <w:b/>
          <w:sz w:val="32"/>
        </w:rPr>
        <w:t>below,</w:t>
      </w:r>
      <w:r>
        <w:rPr>
          <w:rFonts w:ascii="Calibri"/>
          <w:b/>
          <w:spacing w:val="-11"/>
          <w:sz w:val="32"/>
        </w:rPr>
        <w:t xml:space="preserve"> </w:t>
      </w:r>
      <w:r>
        <w:rPr>
          <w:rFonts w:ascii="Calibri"/>
          <w:b/>
          <w:sz w:val="32"/>
        </w:rPr>
        <w:t>and</w:t>
      </w:r>
      <w:r>
        <w:rPr>
          <w:rFonts w:ascii="Calibri"/>
          <w:b/>
          <w:spacing w:val="-9"/>
          <w:sz w:val="32"/>
        </w:rPr>
        <w:t xml:space="preserve"> </w:t>
      </w:r>
      <w:r>
        <w:rPr>
          <w:rFonts w:ascii="Calibri"/>
          <w:b/>
          <w:sz w:val="32"/>
        </w:rPr>
        <w:t>then</w:t>
      </w:r>
      <w:r>
        <w:rPr>
          <w:rFonts w:ascii="Calibri"/>
          <w:b/>
          <w:spacing w:val="-9"/>
          <w:sz w:val="32"/>
        </w:rPr>
        <w:t xml:space="preserve"> </w:t>
      </w:r>
      <w:r>
        <w:rPr>
          <w:rFonts w:ascii="Calibri"/>
          <w:b/>
          <w:sz w:val="32"/>
        </w:rPr>
        <w:t>continue</w:t>
      </w:r>
      <w:r>
        <w:rPr>
          <w:rFonts w:ascii="Calibri"/>
          <w:b/>
          <w:spacing w:val="-12"/>
          <w:sz w:val="32"/>
        </w:rPr>
        <w:t xml:space="preserve"> </w:t>
      </w:r>
      <w:r>
        <w:rPr>
          <w:rFonts w:ascii="Calibri"/>
          <w:b/>
          <w:sz w:val="32"/>
        </w:rPr>
        <w:t>to</w:t>
      </w:r>
      <w:r>
        <w:rPr>
          <w:rFonts w:ascii="Calibri"/>
          <w:b/>
          <w:spacing w:val="-6"/>
          <w:sz w:val="32"/>
        </w:rPr>
        <w:t xml:space="preserve"> </w:t>
      </w:r>
      <w:r>
        <w:rPr>
          <w:rFonts w:ascii="Calibri"/>
          <w:b/>
          <w:sz w:val="32"/>
        </w:rPr>
        <w:t>the</w:t>
      </w:r>
      <w:r>
        <w:rPr>
          <w:rFonts w:ascii="Calibri"/>
          <w:b/>
          <w:spacing w:val="-9"/>
          <w:sz w:val="32"/>
        </w:rPr>
        <w:t xml:space="preserve"> </w:t>
      </w:r>
      <w:r>
        <w:rPr>
          <w:rFonts w:ascii="Calibri"/>
          <w:b/>
          <w:sz w:val="32"/>
        </w:rPr>
        <w:t>next</w:t>
      </w:r>
      <w:r>
        <w:rPr>
          <w:rFonts w:ascii="Calibri"/>
          <w:b/>
          <w:spacing w:val="-8"/>
          <w:sz w:val="32"/>
        </w:rPr>
        <w:t xml:space="preserve"> </w:t>
      </w:r>
      <w:r>
        <w:rPr>
          <w:rFonts w:ascii="Calibri"/>
          <w:b/>
          <w:sz w:val="32"/>
        </w:rPr>
        <w:t>page to complete your</w:t>
      </w:r>
      <w:r>
        <w:rPr>
          <w:rFonts w:ascii="Calibri"/>
          <w:b/>
          <w:spacing w:val="-35"/>
          <w:sz w:val="32"/>
        </w:rPr>
        <w:t xml:space="preserve"> </w:t>
      </w:r>
      <w:r>
        <w:rPr>
          <w:rFonts w:ascii="Calibri"/>
          <w:b/>
          <w:sz w:val="32"/>
        </w:rPr>
        <w:t>documents:</w:t>
      </w:r>
    </w:p>
    <w:p w:rsidR="00595490" w:rsidRDefault="00595490">
      <w:pPr>
        <w:pStyle w:val="BodyText"/>
        <w:rPr>
          <w:rFonts w:ascii="Calibri"/>
          <w:b/>
          <w:sz w:val="20"/>
        </w:rPr>
      </w:pPr>
    </w:p>
    <w:p w:rsidR="00595490" w:rsidRDefault="00595490">
      <w:pPr>
        <w:pStyle w:val="BodyText"/>
        <w:spacing w:before="3" w:after="1"/>
        <w:rPr>
          <w:rFonts w:ascii="Calibri"/>
          <w:b/>
          <w:sz w:val="21"/>
        </w:rPr>
      </w:pPr>
    </w:p>
    <w:tbl>
      <w:tblPr>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6"/>
        <w:gridCol w:w="5017"/>
      </w:tblGrid>
      <w:tr w:rsidR="00595490">
        <w:trPr>
          <w:trHeight w:hRule="exact" w:val="444"/>
        </w:trPr>
        <w:tc>
          <w:tcPr>
            <w:tcW w:w="9813" w:type="dxa"/>
            <w:gridSpan w:val="2"/>
            <w:shd w:val="clear" w:color="auto" w:fill="FF6313"/>
          </w:tcPr>
          <w:p w:rsidR="00595490" w:rsidRDefault="00A14DEC">
            <w:pPr>
              <w:pStyle w:val="TableParagraph"/>
              <w:spacing w:before="4"/>
              <w:ind w:left="1569"/>
              <w:rPr>
                <w:b/>
                <w:sz w:val="36"/>
              </w:rPr>
            </w:pPr>
            <w:r>
              <w:rPr>
                <w:b/>
                <w:color w:val="FFFFFF"/>
                <w:sz w:val="36"/>
              </w:rPr>
              <w:t>YOUR FMF FACTORING DETAILS</w:t>
            </w:r>
          </w:p>
        </w:tc>
      </w:tr>
      <w:tr w:rsidR="00595490">
        <w:trPr>
          <w:trHeight w:hRule="exact" w:val="576"/>
        </w:trPr>
        <w:tc>
          <w:tcPr>
            <w:tcW w:w="4796" w:type="dxa"/>
          </w:tcPr>
          <w:p w:rsidR="00595490" w:rsidRDefault="00A14DEC">
            <w:pPr>
              <w:pStyle w:val="TableParagraph"/>
              <w:spacing w:before="148"/>
            </w:pPr>
            <w:r>
              <w:t>Line Size (Maximum Amount Outstanding)</w:t>
            </w:r>
          </w:p>
        </w:tc>
        <w:tc>
          <w:tcPr>
            <w:tcW w:w="5017" w:type="dxa"/>
          </w:tcPr>
          <w:p w:rsidR="00595490" w:rsidRDefault="00AE0E1B">
            <w:pPr>
              <w:pStyle w:val="TableParagraph"/>
              <w:spacing w:before="148"/>
              <w:ind w:left="1521"/>
            </w:pPr>
            <w:r>
              <w:t>50,000</w:t>
            </w:r>
            <w:r w:rsidR="00771CCB">
              <w:t>$</w:t>
            </w:r>
          </w:p>
        </w:tc>
      </w:tr>
      <w:tr w:rsidR="00595490">
        <w:trPr>
          <w:trHeight w:hRule="exact" w:val="576"/>
        </w:trPr>
        <w:tc>
          <w:tcPr>
            <w:tcW w:w="4796" w:type="dxa"/>
            <w:shd w:val="clear" w:color="auto" w:fill="EDEBE0"/>
          </w:tcPr>
          <w:p w:rsidR="00595490" w:rsidRDefault="00A14DEC">
            <w:pPr>
              <w:pStyle w:val="TableParagraph"/>
            </w:pPr>
            <w:r>
              <w:t>Advance Rate</w:t>
            </w:r>
          </w:p>
        </w:tc>
        <w:tc>
          <w:tcPr>
            <w:tcW w:w="5017" w:type="dxa"/>
            <w:shd w:val="clear" w:color="auto" w:fill="EDEBE0"/>
          </w:tcPr>
          <w:p w:rsidR="00595490" w:rsidRDefault="00AE0E1B">
            <w:pPr>
              <w:pStyle w:val="TableParagraph"/>
              <w:ind w:left="1716" w:right="2848"/>
              <w:jc w:val="center"/>
            </w:pPr>
            <w:r>
              <w:t>95</w:t>
            </w:r>
            <w:r w:rsidR="00A14DEC">
              <w:t>%</w:t>
            </w:r>
          </w:p>
        </w:tc>
      </w:tr>
      <w:tr w:rsidR="00595490">
        <w:trPr>
          <w:trHeight w:hRule="exact" w:val="694"/>
        </w:trPr>
        <w:tc>
          <w:tcPr>
            <w:tcW w:w="4796" w:type="dxa"/>
          </w:tcPr>
          <w:p w:rsidR="00595490" w:rsidRDefault="00A14DEC">
            <w:pPr>
              <w:pStyle w:val="TableParagraph"/>
              <w:spacing w:before="150"/>
            </w:pPr>
            <w:r>
              <w:t>Factoring Fee</w:t>
            </w:r>
          </w:p>
        </w:tc>
        <w:tc>
          <w:tcPr>
            <w:tcW w:w="5017" w:type="dxa"/>
          </w:tcPr>
          <w:p w:rsidR="00595490" w:rsidRDefault="00771CCB">
            <w:pPr>
              <w:pStyle w:val="TableParagraph"/>
              <w:spacing w:before="150"/>
              <w:ind w:left="916"/>
            </w:pPr>
            <w:r>
              <w:t xml:space="preserve">                  </w:t>
            </w:r>
            <w:r w:rsidR="00477BC4">
              <w:t>3</w:t>
            </w:r>
            <w:r>
              <w:t xml:space="preserve">% </w:t>
            </w:r>
            <w:r w:rsidR="00477BC4">
              <w:t>1% per additional 15</w:t>
            </w:r>
          </w:p>
        </w:tc>
      </w:tr>
      <w:tr w:rsidR="00595490">
        <w:trPr>
          <w:trHeight w:hRule="exact" w:val="578"/>
        </w:trPr>
        <w:tc>
          <w:tcPr>
            <w:tcW w:w="4796" w:type="dxa"/>
            <w:shd w:val="clear" w:color="auto" w:fill="EDEBE0"/>
          </w:tcPr>
          <w:p w:rsidR="00595490" w:rsidRDefault="00A14DEC">
            <w:pPr>
              <w:pStyle w:val="TableParagraph"/>
              <w:spacing w:before="150"/>
            </w:pPr>
            <w:r>
              <w:t>Reserve*</w:t>
            </w:r>
          </w:p>
        </w:tc>
        <w:tc>
          <w:tcPr>
            <w:tcW w:w="5017" w:type="dxa"/>
            <w:shd w:val="clear" w:color="auto" w:fill="EDEBE0"/>
          </w:tcPr>
          <w:p w:rsidR="00595490" w:rsidRDefault="00477BC4">
            <w:pPr>
              <w:pStyle w:val="TableParagraph"/>
              <w:spacing w:before="150"/>
              <w:ind w:left="1716" w:right="2793"/>
              <w:jc w:val="center"/>
            </w:pPr>
            <w:r>
              <w:t>5</w:t>
            </w:r>
            <w:r w:rsidR="00A14DEC">
              <w:t xml:space="preserve"> %</w:t>
            </w:r>
          </w:p>
        </w:tc>
      </w:tr>
      <w:tr w:rsidR="00595490">
        <w:trPr>
          <w:trHeight w:hRule="exact" w:val="576"/>
        </w:trPr>
        <w:tc>
          <w:tcPr>
            <w:tcW w:w="4796" w:type="dxa"/>
          </w:tcPr>
          <w:p w:rsidR="00595490" w:rsidRDefault="00A14DEC">
            <w:pPr>
              <w:pStyle w:val="TableParagraph"/>
            </w:pPr>
            <w:r>
              <w:t>Term</w:t>
            </w:r>
          </w:p>
        </w:tc>
        <w:tc>
          <w:tcPr>
            <w:tcW w:w="5017" w:type="dxa"/>
          </w:tcPr>
          <w:p w:rsidR="00595490" w:rsidRDefault="00477BC4">
            <w:pPr>
              <w:pStyle w:val="TableParagraph"/>
              <w:ind w:left="1543"/>
            </w:pPr>
            <w:r>
              <w:t>2 year</w:t>
            </w:r>
          </w:p>
        </w:tc>
      </w:tr>
      <w:tr w:rsidR="00595490">
        <w:trPr>
          <w:trHeight w:hRule="exact" w:val="579"/>
        </w:trPr>
        <w:tc>
          <w:tcPr>
            <w:tcW w:w="4796" w:type="dxa"/>
            <w:shd w:val="clear" w:color="auto" w:fill="EDEBE0"/>
          </w:tcPr>
          <w:p w:rsidR="00595490" w:rsidRDefault="00A14DEC">
            <w:pPr>
              <w:pStyle w:val="TableParagraph"/>
              <w:spacing w:before="148"/>
            </w:pPr>
            <w:r>
              <w:t>Due Diligence/Set up Fee</w:t>
            </w:r>
          </w:p>
        </w:tc>
        <w:tc>
          <w:tcPr>
            <w:tcW w:w="5017" w:type="dxa"/>
            <w:shd w:val="clear" w:color="auto" w:fill="EDEBE0"/>
          </w:tcPr>
          <w:p w:rsidR="00595490" w:rsidRDefault="00A14DEC">
            <w:pPr>
              <w:pStyle w:val="TableParagraph"/>
              <w:spacing w:before="148"/>
              <w:ind w:left="1629"/>
            </w:pPr>
            <w:r>
              <w:t>$50.00</w:t>
            </w:r>
          </w:p>
        </w:tc>
      </w:tr>
      <w:tr w:rsidR="00595490">
        <w:trPr>
          <w:trHeight w:hRule="exact" w:val="576"/>
        </w:trPr>
        <w:tc>
          <w:tcPr>
            <w:tcW w:w="4796" w:type="dxa"/>
          </w:tcPr>
          <w:p w:rsidR="00595490" w:rsidRDefault="00A14DEC">
            <w:pPr>
              <w:pStyle w:val="TableParagraph"/>
            </w:pPr>
            <w:r>
              <w:t>Recourse Days</w:t>
            </w:r>
          </w:p>
        </w:tc>
        <w:tc>
          <w:tcPr>
            <w:tcW w:w="5017" w:type="dxa"/>
          </w:tcPr>
          <w:p w:rsidR="00595490" w:rsidRDefault="00477BC4">
            <w:pPr>
              <w:pStyle w:val="TableParagraph"/>
              <w:ind w:left="1629"/>
            </w:pPr>
            <w:r>
              <w:t>90</w:t>
            </w:r>
            <w:r w:rsidR="00A14DEC">
              <w:t xml:space="preserve"> Days</w:t>
            </w:r>
          </w:p>
        </w:tc>
      </w:tr>
      <w:tr w:rsidR="00595490">
        <w:trPr>
          <w:trHeight w:hRule="exact" w:val="577"/>
        </w:trPr>
        <w:tc>
          <w:tcPr>
            <w:tcW w:w="4796" w:type="dxa"/>
            <w:shd w:val="clear" w:color="auto" w:fill="EDEBE0"/>
          </w:tcPr>
          <w:p w:rsidR="00595490" w:rsidRDefault="00A14DEC">
            <w:pPr>
              <w:pStyle w:val="TableParagraph"/>
            </w:pPr>
            <w:r>
              <w:t>Recourse/</w:t>
            </w:r>
            <w:proofErr w:type="spellStart"/>
            <w:r>
              <w:t>Non Recourse</w:t>
            </w:r>
            <w:proofErr w:type="spellEnd"/>
            <w:r>
              <w:t>**</w:t>
            </w:r>
          </w:p>
        </w:tc>
        <w:tc>
          <w:tcPr>
            <w:tcW w:w="5017" w:type="dxa"/>
            <w:shd w:val="clear" w:color="auto" w:fill="EDEBE0"/>
          </w:tcPr>
          <w:p w:rsidR="00595490" w:rsidRDefault="00477BC4">
            <w:pPr>
              <w:pStyle w:val="TableParagraph"/>
              <w:ind w:left="1531"/>
            </w:pPr>
            <w:r>
              <w:t>Recourse</w:t>
            </w:r>
            <w:bookmarkStart w:id="0" w:name="_GoBack"/>
            <w:bookmarkEnd w:id="0"/>
          </w:p>
        </w:tc>
      </w:tr>
    </w:tbl>
    <w:p w:rsidR="00595490" w:rsidRDefault="00595490">
      <w:pPr>
        <w:pStyle w:val="BodyText"/>
        <w:spacing w:before="5"/>
        <w:rPr>
          <w:rFonts w:ascii="Calibri"/>
          <w:b/>
          <w:sz w:val="18"/>
        </w:rPr>
      </w:pPr>
    </w:p>
    <w:p w:rsidR="00595490" w:rsidRDefault="00A14DEC">
      <w:pPr>
        <w:spacing w:before="38"/>
        <w:ind w:left="2077" w:right="119"/>
        <w:rPr>
          <w:sz w:val="48"/>
        </w:rPr>
      </w:pPr>
      <w:r>
        <w:rPr>
          <w:color w:val="FF6313"/>
          <w:spacing w:val="-120"/>
          <w:sz w:val="48"/>
          <w:u w:val="thick" w:color="FF6313"/>
        </w:rPr>
        <w:t xml:space="preserve"> </w:t>
      </w:r>
      <w:r>
        <w:rPr>
          <w:color w:val="FF6313"/>
          <w:sz w:val="48"/>
          <w:u w:val="thick" w:color="FF6313"/>
        </w:rPr>
        <w:t>“I want this faster! What can I</w:t>
      </w:r>
      <w:r>
        <w:rPr>
          <w:color w:val="FF6313"/>
          <w:spacing w:val="-65"/>
          <w:sz w:val="48"/>
          <w:u w:val="thick" w:color="FF6313"/>
        </w:rPr>
        <w:t xml:space="preserve"> </w:t>
      </w:r>
      <w:r>
        <w:rPr>
          <w:color w:val="FF6313"/>
          <w:sz w:val="48"/>
          <w:u w:val="thick" w:color="FF6313"/>
        </w:rPr>
        <w:t>do?”</w:t>
      </w:r>
    </w:p>
    <w:p w:rsidR="00595490" w:rsidRDefault="00595490">
      <w:pPr>
        <w:pStyle w:val="BodyText"/>
        <w:spacing w:before="9"/>
        <w:rPr>
          <w:sz w:val="25"/>
        </w:rPr>
      </w:pPr>
    </w:p>
    <w:p w:rsidR="00595490" w:rsidRDefault="00A14DEC">
      <w:pPr>
        <w:pStyle w:val="Heading1"/>
        <w:spacing w:before="69"/>
      </w:pPr>
      <w:r>
        <w:t>Send in the following forms and the required documents listed below.</w:t>
      </w:r>
    </w:p>
    <w:p w:rsidR="00595490" w:rsidRDefault="00595490">
      <w:pPr>
        <w:pStyle w:val="BodyText"/>
        <w:spacing w:before="8"/>
        <w:rPr>
          <w:b/>
          <w:sz w:val="20"/>
        </w:rPr>
      </w:pPr>
    </w:p>
    <w:p w:rsidR="00595490" w:rsidRDefault="00A14DEC">
      <w:pPr>
        <w:spacing w:line="276" w:lineRule="auto"/>
        <w:ind w:left="340" w:right="249"/>
        <w:jc w:val="center"/>
        <w:rPr>
          <w:b/>
          <w:sz w:val="24"/>
        </w:rPr>
      </w:pPr>
      <w:r>
        <w:rPr>
          <w:b/>
          <w:sz w:val="24"/>
        </w:rPr>
        <w:t>If</w:t>
      </w:r>
      <w:r>
        <w:rPr>
          <w:b/>
          <w:spacing w:val="-3"/>
          <w:sz w:val="24"/>
        </w:rPr>
        <w:t xml:space="preserve"> </w:t>
      </w:r>
      <w:r>
        <w:rPr>
          <w:b/>
          <w:sz w:val="24"/>
        </w:rPr>
        <w:t>you</w:t>
      </w:r>
      <w:r>
        <w:rPr>
          <w:b/>
          <w:spacing w:val="-6"/>
          <w:sz w:val="24"/>
        </w:rPr>
        <w:t xml:space="preserve"> </w:t>
      </w:r>
      <w:r>
        <w:rPr>
          <w:b/>
          <w:sz w:val="24"/>
        </w:rPr>
        <w:t>do</w:t>
      </w:r>
      <w:r>
        <w:rPr>
          <w:b/>
          <w:spacing w:val="-7"/>
          <w:sz w:val="24"/>
        </w:rPr>
        <w:t xml:space="preserve"> </w:t>
      </w:r>
      <w:r>
        <w:rPr>
          <w:b/>
          <w:sz w:val="24"/>
        </w:rPr>
        <w:t>not</w:t>
      </w:r>
      <w:r>
        <w:rPr>
          <w:b/>
          <w:spacing w:val="-5"/>
          <w:sz w:val="24"/>
        </w:rPr>
        <w:t xml:space="preserve"> </w:t>
      </w:r>
      <w:r>
        <w:rPr>
          <w:b/>
          <w:sz w:val="24"/>
        </w:rPr>
        <w:t>have</w:t>
      </w:r>
      <w:r>
        <w:rPr>
          <w:b/>
          <w:spacing w:val="-8"/>
          <w:sz w:val="24"/>
        </w:rPr>
        <w:t xml:space="preserve"> </w:t>
      </w:r>
      <w:r>
        <w:rPr>
          <w:b/>
          <w:sz w:val="24"/>
        </w:rPr>
        <w:t>all</w:t>
      </w:r>
      <w:r>
        <w:rPr>
          <w:b/>
          <w:spacing w:val="-4"/>
          <w:sz w:val="24"/>
        </w:rPr>
        <w:t xml:space="preserve"> </w:t>
      </w:r>
      <w:r>
        <w:rPr>
          <w:b/>
          <w:sz w:val="24"/>
        </w:rPr>
        <w:t>of</w:t>
      </w:r>
      <w:r>
        <w:rPr>
          <w:b/>
          <w:spacing w:val="-6"/>
          <w:sz w:val="24"/>
        </w:rPr>
        <w:t xml:space="preserve"> </w:t>
      </w:r>
      <w:r>
        <w:rPr>
          <w:b/>
          <w:sz w:val="24"/>
        </w:rPr>
        <w:t>the</w:t>
      </w:r>
      <w:r>
        <w:rPr>
          <w:b/>
          <w:spacing w:val="-5"/>
          <w:sz w:val="24"/>
        </w:rPr>
        <w:t xml:space="preserve"> </w:t>
      </w:r>
      <w:r>
        <w:rPr>
          <w:b/>
          <w:sz w:val="24"/>
        </w:rPr>
        <w:t>required</w:t>
      </w:r>
      <w:r>
        <w:rPr>
          <w:b/>
          <w:spacing w:val="-11"/>
          <w:sz w:val="24"/>
        </w:rPr>
        <w:t xml:space="preserve"> </w:t>
      </w:r>
      <w:r>
        <w:rPr>
          <w:b/>
          <w:sz w:val="24"/>
        </w:rPr>
        <w:t>documents,</w:t>
      </w:r>
      <w:r>
        <w:rPr>
          <w:b/>
          <w:spacing w:val="-12"/>
          <w:sz w:val="24"/>
        </w:rPr>
        <w:t xml:space="preserve"> </w:t>
      </w:r>
      <w:r>
        <w:rPr>
          <w:b/>
          <w:sz w:val="24"/>
        </w:rPr>
        <w:t>please</w:t>
      </w:r>
      <w:r>
        <w:rPr>
          <w:b/>
          <w:spacing w:val="-11"/>
          <w:sz w:val="24"/>
        </w:rPr>
        <w:t xml:space="preserve"> </w:t>
      </w:r>
      <w:r>
        <w:rPr>
          <w:b/>
          <w:sz w:val="24"/>
        </w:rPr>
        <w:t>send</w:t>
      </w:r>
      <w:r>
        <w:rPr>
          <w:b/>
          <w:spacing w:val="-6"/>
          <w:sz w:val="24"/>
        </w:rPr>
        <w:t xml:space="preserve"> </w:t>
      </w:r>
      <w:r>
        <w:rPr>
          <w:b/>
          <w:sz w:val="24"/>
        </w:rPr>
        <w:t>what</w:t>
      </w:r>
      <w:r>
        <w:rPr>
          <w:b/>
          <w:spacing w:val="-8"/>
          <w:sz w:val="24"/>
        </w:rPr>
        <w:t xml:space="preserve"> </w:t>
      </w:r>
      <w:r>
        <w:rPr>
          <w:b/>
          <w:sz w:val="24"/>
        </w:rPr>
        <w:t>you</w:t>
      </w:r>
      <w:r>
        <w:rPr>
          <w:b/>
          <w:spacing w:val="-6"/>
          <w:sz w:val="24"/>
        </w:rPr>
        <w:t xml:space="preserve"> </w:t>
      </w:r>
      <w:r>
        <w:rPr>
          <w:b/>
          <w:sz w:val="24"/>
        </w:rPr>
        <w:t>have</w:t>
      </w:r>
      <w:r>
        <w:rPr>
          <w:b/>
          <w:spacing w:val="-7"/>
          <w:sz w:val="24"/>
        </w:rPr>
        <w:t xml:space="preserve"> </w:t>
      </w:r>
      <w:r>
        <w:rPr>
          <w:b/>
          <w:sz w:val="24"/>
        </w:rPr>
        <w:t>available</w:t>
      </w:r>
      <w:r>
        <w:rPr>
          <w:b/>
          <w:spacing w:val="-12"/>
          <w:sz w:val="24"/>
        </w:rPr>
        <w:t xml:space="preserve"> </w:t>
      </w:r>
      <w:r>
        <w:rPr>
          <w:b/>
          <w:sz w:val="24"/>
        </w:rPr>
        <w:t>and</w:t>
      </w:r>
      <w:r>
        <w:rPr>
          <w:b/>
          <w:spacing w:val="-6"/>
          <w:sz w:val="24"/>
        </w:rPr>
        <w:t xml:space="preserve"> </w:t>
      </w:r>
      <w:r>
        <w:rPr>
          <w:b/>
          <w:sz w:val="24"/>
        </w:rPr>
        <w:t>you</w:t>
      </w:r>
      <w:r>
        <w:rPr>
          <w:b/>
          <w:spacing w:val="-8"/>
          <w:sz w:val="24"/>
        </w:rPr>
        <w:t xml:space="preserve"> </w:t>
      </w:r>
      <w:r>
        <w:rPr>
          <w:b/>
          <w:sz w:val="24"/>
        </w:rPr>
        <w:t>can</w:t>
      </w:r>
      <w:r>
        <w:rPr>
          <w:b/>
          <w:spacing w:val="-6"/>
          <w:sz w:val="24"/>
        </w:rPr>
        <w:t xml:space="preserve"> </w:t>
      </w:r>
      <w:r>
        <w:rPr>
          <w:b/>
          <w:sz w:val="24"/>
        </w:rPr>
        <w:t>send the</w:t>
      </w:r>
      <w:r>
        <w:rPr>
          <w:b/>
          <w:spacing w:val="-6"/>
          <w:sz w:val="24"/>
        </w:rPr>
        <w:t xml:space="preserve"> </w:t>
      </w:r>
      <w:r>
        <w:rPr>
          <w:b/>
          <w:sz w:val="24"/>
        </w:rPr>
        <w:t>remainder</w:t>
      </w:r>
      <w:r>
        <w:rPr>
          <w:b/>
          <w:spacing w:val="-15"/>
          <w:sz w:val="24"/>
        </w:rPr>
        <w:t xml:space="preserve"> </w:t>
      </w:r>
      <w:r>
        <w:rPr>
          <w:b/>
          <w:sz w:val="24"/>
        </w:rPr>
        <w:t>as</w:t>
      </w:r>
      <w:r>
        <w:rPr>
          <w:b/>
          <w:spacing w:val="-5"/>
          <w:sz w:val="24"/>
        </w:rPr>
        <w:t xml:space="preserve"> </w:t>
      </w:r>
      <w:r>
        <w:rPr>
          <w:b/>
          <w:sz w:val="24"/>
        </w:rPr>
        <w:t>soon</w:t>
      </w:r>
      <w:r>
        <w:rPr>
          <w:b/>
          <w:spacing w:val="-6"/>
          <w:sz w:val="24"/>
        </w:rPr>
        <w:t xml:space="preserve"> </w:t>
      </w:r>
      <w:r>
        <w:rPr>
          <w:b/>
          <w:sz w:val="24"/>
        </w:rPr>
        <w:t>as</w:t>
      </w:r>
      <w:r>
        <w:rPr>
          <w:b/>
          <w:spacing w:val="-6"/>
          <w:sz w:val="24"/>
        </w:rPr>
        <w:t xml:space="preserve"> </w:t>
      </w:r>
      <w:r>
        <w:rPr>
          <w:b/>
          <w:sz w:val="24"/>
        </w:rPr>
        <w:t>you</w:t>
      </w:r>
      <w:r>
        <w:rPr>
          <w:b/>
          <w:spacing w:val="-6"/>
          <w:sz w:val="24"/>
        </w:rPr>
        <w:t xml:space="preserve"> </w:t>
      </w:r>
      <w:r>
        <w:rPr>
          <w:b/>
          <w:sz w:val="24"/>
        </w:rPr>
        <w:t>get</w:t>
      </w:r>
      <w:r>
        <w:rPr>
          <w:b/>
          <w:spacing w:val="-6"/>
          <w:sz w:val="24"/>
        </w:rPr>
        <w:t xml:space="preserve"> </w:t>
      </w:r>
      <w:r>
        <w:rPr>
          <w:b/>
          <w:sz w:val="24"/>
        </w:rPr>
        <w:t>them.</w:t>
      </w:r>
    </w:p>
    <w:p w:rsidR="00595490" w:rsidRDefault="00A14DEC">
      <w:pPr>
        <w:spacing w:before="202"/>
        <w:ind w:left="100" w:right="80"/>
        <w:jc w:val="center"/>
        <w:rPr>
          <w:b/>
          <w:sz w:val="14"/>
        </w:rPr>
      </w:pPr>
      <w:r>
        <w:rPr>
          <w:b/>
          <w:sz w:val="14"/>
        </w:rPr>
        <w:t>*Reserve is a held portion of the face value of an invoice that is refunded once an invoice has been paid in full. Any deductions taken from debtor will be reimbursed through reserve.</w:t>
      </w:r>
    </w:p>
    <w:p w:rsidR="00595490" w:rsidRDefault="00A14DEC">
      <w:pPr>
        <w:spacing w:before="24"/>
        <w:ind w:left="111" w:right="119"/>
        <w:rPr>
          <w:b/>
          <w:sz w:val="14"/>
        </w:rPr>
      </w:pPr>
      <w:r>
        <w:rPr>
          <w:b/>
          <w:sz w:val="14"/>
        </w:rPr>
        <w:t>**Submission of the application, forms and documents, or performance of the due diligence process does not guarantee funding and is not an indication of approval.</w:t>
      </w:r>
    </w:p>
    <w:sectPr w:rsidR="00595490">
      <w:type w:val="continuous"/>
      <w:pgSz w:w="12240" w:h="15840"/>
      <w:pgMar w:top="460" w:right="6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90"/>
    <w:rsid w:val="00144FFA"/>
    <w:rsid w:val="00477BC4"/>
    <w:rsid w:val="00595490"/>
    <w:rsid w:val="00771CCB"/>
    <w:rsid w:val="00A14DEC"/>
    <w:rsid w:val="00AE0E1B"/>
    <w:rsid w:val="00C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00B07-1234-4CBC-9438-68DF26D2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38" w:right="24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47"/>
      <w:ind w:left="103"/>
    </w:pPr>
  </w:style>
  <w:style w:type="paragraph" w:styleId="BalloonText">
    <w:name w:val="Balloon Text"/>
    <w:basedOn w:val="Normal"/>
    <w:link w:val="BalloonTextChar"/>
    <w:uiPriority w:val="99"/>
    <w:semiHidden/>
    <w:unhideWhenUsed/>
    <w:rsid w:val="00144F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F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- 031016 Revisions to FMF customer packet-revised</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- 031016 Revisions to FMF customer packet-revised</dc:title>
  <dc:creator>jamiem</dc:creator>
  <cp:lastModifiedBy>Landon Wells</cp:lastModifiedBy>
  <cp:revision>2</cp:revision>
  <cp:lastPrinted>2017-05-17T18:01:00Z</cp:lastPrinted>
  <dcterms:created xsi:type="dcterms:W3CDTF">2017-05-17T18:46:00Z</dcterms:created>
  <dcterms:modified xsi:type="dcterms:W3CDTF">2017-05-17T18:46:00Z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2016-09-20T00:00:00Z</vt:filetime>
  </property>
  <property fmtid="{D5CDD505-2E9C-101B-9397-08002B2CF9AE}" pid="3" name="Creator">
    <vt:lpwstr>Microsoft® Word 2013</vt:lpwstr>
  </property>
  <property fmtid="{D5CDD505-2E9C-101B-9397-08002B2CF9AE}" pid="4" name="LastSaved">
    <vt:filetime>2016-09-21T00:00:00Z</vt:filetime>
  </property>
</Properties>
</file>