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b/>
          <w:color w:val="1F497D"/>
          <w:sz w:val="40"/>
        </w:rPr>
        <w:t>SKU 成本表结构设计</w:t>
      </w:r>
    </w:p>
    <w:p>
      <w:pPr>
        <w:spacing w:after="240"/>
      </w:pPr>
      <w:r>
        <w:rPr>
          <w:color w:val="888888"/>
          <w:sz w:val="20"/>
        </w:rPr>
        <w:t>电商管理平台 · 数据库设计方案</w:t>
      </w:r>
    </w:p>
    <w:p>
      <w:pPr>
        <w:spacing w:before="280" w:after="80"/>
      </w:pPr>
      <w:r>
        <w:rPr>
          <w:b/>
          <w:color w:val="2E74B5"/>
          <w:sz w:val="26"/>
        </w:rPr>
        <w:t>一、背景</w:t>
      </w:r>
    </w:p>
    <w:p>
      <w:pPr>
        <w:spacing w:before="40" w:after="80" w:line="320" w:lineRule="exact"/>
      </w:pPr>
      <w:r>
        <w:rPr>
          <w:sz w:val="21"/>
        </w:rPr>
        <w:t>基于现有「成本模板」Google Sheet，将 SKU 成本数据结构化落库，支持按平台、配送模式、公司规模四个维度计算每个 SKU 的成本与利润。</w:t>
      </w:r>
    </w:p>
    <w:p>
      <w:pPr>
        <w:spacing w:before="280" w:after="80"/>
      </w:pPr>
      <w:r>
        <w:rPr>
          <w:b/>
          <w:color w:val="2E74B5"/>
          <w:sz w:val="26"/>
        </w:rPr>
        <w:t>二、设计思路</w:t>
      </w:r>
    </w:p>
    <w:p>
      <w:pPr>
        <w:spacing w:before="40" w:after="80" w:line="320" w:lineRule="exact"/>
      </w:pPr>
      <w:r>
        <w:rPr>
          <w:sz w:val="21"/>
        </w:rPr>
        <w:t>成本字段分两类，对应两张表：</w:t>
      </w:r>
    </w:p>
    <w:p>
      <w:pPr>
        <w:pStyle w:val="ListBullet"/>
        <w:spacing w:before="20" w:after="20"/>
        <w:ind w:left="283"/>
      </w:pPr>
      <w:r>
        <w:rPr>
          <w:b w:val="0"/>
          <w:sz w:val="21"/>
        </w:rPr>
      </w:r>
      <w:r>
        <w:rPr>
          <w:b/>
          <w:sz w:val="21"/>
        </w:rPr>
        <w:t>固定成本</w:t>
      </w:r>
      <w:r>
        <w:rPr>
          <w:b w:val="0"/>
          <w:sz w:val="21"/>
        </w:rPr>
        <w:t>：采购价、运费到白俄、清关、关税、进口增值税、包装尺寸。与平台无关，每个 SKU 只有一份。</w:t>
      </w:r>
    </w:p>
    <w:p>
      <w:pPr>
        <w:pStyle w:val="ListBullet"/>
        <w:spacing w:before="20" w:after="20"/>
        <w:ind w:left="283"/>
      </w:pPr>
      <w:r>
        <w:rPr>
          <w:b w:val="0"/>
          <w:sz w:val="21"/>
        </w:rPr>
      </w:r>
      <w:r>
        <w:rPr>
          <w:b/>
          <w:sz w:val="21"/>
        </w:rPr>
        <w:t>可变参数</w:t>
      </w:r>
      <w:r>
        <w:rPr>
          <w:b w:val="0"/>
          <w:sz w:val="21"/>
        </w:rPr>
        <w:t>：平台运费、佣金率、退货率、存储费、广告费率、税率、汇率、目标售价。随平台（WB / OZON）、配送模式（FBO / FBS）、公司规模（一般纳税人 / 小规模）而不同。</w:t>
      </w:r>
    </w:p>
    <w:p/>
    <w:p>
      <w:pPr>
        <w:spacing w:before="280" w:after="80"/>
      </w:pPr>
      <w:r>
        <w:rPr>
          <w:b/>
          <w:color w:val="2E74B5"/>
          <w:sz w:val="26"/>
        </w:rPr>
        <w:t>三、表一：ec_sku_costs（每个 SKU 一条）</w:t>
      </w:r>
    </w:p>
    <w:p>
      <w:pPr>
        <w:spacing w:before="40" w:after="80" w:line="320" w:lineRule="exact"/>
      </w:pPr>
      <w:r>
        <w:rPr>
          <w:sz w:val="21"/>
        </w:rPr>
        <w:t>存采购链路中不随平台变化的固定成本。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03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字段</w:t>
            </w:r>
          </w:p>
        </w:tc>
        <w:tc>
          <w:tcPr>
            <w:tcW w:type="dxa" w:w="1633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类型</w:t>
            </w:r>
          </w:p>
        </w:tc>
        <w:tc>
          <w:tcPr>
            <w:tcW w:type="dxa" w:w="4536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说明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offer_id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string, 唯一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SKU 编码，如 KJ-228-BK</w:t>
            </w:r>
          </w:p>
        </w:tc>
      </w:tr>
      <w:tr>
        <w:tc>
          <w:tcPr>
            <w:tcW w:type="dxa" w:w="290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product_name</w:t>
            </w:r>
          </w:p>
        </w:tc>
        <w:tc>
          <w:tcPr>
            <w:tcW w:type="dxa" w:w="163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type="dxa" w:w="45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商品名称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purchase_price_cny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国内采货价 / 件（含税到火车站）</w:t>
            </w:r>
          </w:p>
        </w:tc>
      </w:tr>
      <w:tr>
        <w:tc>
          <w:tcPr>
            <w:tcW w:type="dxa" w:w="290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freight_to_by_cny</w:t>
            </w:r>
          </w:p>
        </w:tc>
        <w:tc>
          <w:tcPr>
            <w:tcW w:type="dxa" w:w="163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到白俄运费 / 件（按外箱体积换算）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customs_misc_cny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清关杂费 / 件</w:t>
            </w:r>
          </w:p>
        </w:tc>
      </w:tr>
      <w:tr>
        <w:tc>
          <w:tcPr>
            <w:tcW w:type="dxa" w:w="290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customs_duty_cny</w:t>
            </w:r>
          </w:p>
        </w:tc>
        <w:tc>
          <w:tcPr>
            <w:tcW w:type="dxa" w:w="163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关税 / 件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import_vat_cny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进口增值税 / 件（通常为前四项合计 × 20%）</w:t>
            </w:r>
          </w:p>
        </w:tc>
      </w:tr>
      <w:tr>
        <w:tc>
          <w:tcPr>
            <w:tcW w:type="dxa" w:w="290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goods_cost_cny</w:t>
            </w:r>
          </w:p>
        </w:tc>
        <w:tc>
          <w:tcPr>
            <w:tcW w:type="dxa" w:w="163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货物成本 / 件（以上五项合计，冗余存储便于直接读取）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pkg_length_cm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外包装长（cm）</w:t>
            </w:r>
          </w:p>
        </w:tc>
      </w:tr>
      <w:tr>
        <w:tc>
          <w:tcPr>
            <w:tcW w:type="dxa" w:w="290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pkg_width_cm</w:t>
            </w:r>
          </w:p>
        </w:tc>
        <w:tc>
          <w:tcPr>
            <w:tcW w:type="dxa" w:w="163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外包装宽（cm）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pkg_height_cm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外包装高（cm）</w:t>
            </w:r>
          </w:p>
        </w:tc>
      </w:tr>
      <w:tr>
        <w:tc>
          <w:tcPr>
            <w:tcW w:type="dxa" w:w="290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pkg_volume_l</w:t>
            </w:r>
          </w:p>
        </w:tc>
        <w:tc>
          <w:tcPr>
            <w:tcW w:type="dxa" w:w="163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包装容量（L），用于计算平台运费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damage_rate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货损率，如 0.01</w:t>
            </w:r>
          </w:p>
        </w:tc>
      </w:tr>
      <w:tr>
        <w:tc>
          <w:tcPr>
            <w:tcW w:type="dxa" w:w="290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misc_cost_cny</w:t>
            </w:r>
          </w:p>
        </w:tc>
        <w:tc>
          <w:tcPr>
            <w:tcW w:type="dxa" w:w="163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杂费 / 件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memo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备注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26"/>
        </w:rPr>
        <w:t>四、表二：ec_sku_platform_costs（每个 SKU × 场景一条）</w:t>
      </w:r>
    </w:p>
    <w:p>
      <w:pPr>
        <w:spacing w:before="40" w:after="80" w:line="320" w:lineRule="exact"/>
      </w:pPr>
      <w:r>
        <w:rPr>
          <w:sz w:val="21"/>
        </w:rPr>
        <w:t>唯一索引：(offer_id, platform, delivery_mode, company_type)</w:t>
      </w:r>
    </w:p>
    <w:p>
      <w:pPr>
        <w:spacing w:before="40" w:after="80" w:line="320" w:lineRule="exact"/>
      </w:pPr>
      <w:r>
        <w:rPr>
          <w:sz w:val="21"/>
        </w:rPr>
        <w:t>每个 SKU 最多有 8 个场景（2 平台 × 2 配送模式 × 2 公司类型），实际常用 4～6 个。</w:t>
      </w:r>
    </w:p>
    <w:p>
      <w:pPr>
        <w:spacing w:before="200" w:after="40"/>
      </w:pPr>
      <w:r>
        <w:rPr>
          <w:b/>
          <w:color w:val="1F497D"/>
          <w:sz w:val="22"/>
        </w:rPr>
        <w:t>4.1 维度字段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49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字段</w:t>
            </w:r>
          </w:p>
        </w:tc>
        <w:tc>
          <w:tcPr>
            <w:tcW w:type="dxa" w:w="1361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类型</w:t>
            </w:r>
          </w:p>
        </w:tc>
        <w:tc>
          <w:tcPr>
            <w:tcW w:type="dxa" w:w="1996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枚举值</w:t>
            </w:r>
          </w:p>
        </w:tc>
        <w:tc>
          <w:tcPr>
            <w:tcW w:type="dxa" w:w="3266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说明</w:t>
            </w:r>
          </w:p>
        </w:tc>
      </w:tr>
      <w:tr>
        <w:tc>
          <w:tcPr>
            <w:tcW w:type="dxa" w:w="24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offer_id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type="dxa" w:w="19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32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关联 ec_sku_costs</w:t>
            </w:r>
          </w:p>
        </w:tc>
      </w:tr>
      <w:tr>
        <w:tc>
          <w:tcPr>
            <w:tcW w:type="dxa" w:w="244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platform</w:t>
            </w:r>
          </w:p>
        </w:tc>
        <w:tc>
          <w:tcPr>
            <w:tcW w:type="dxa" w:w="1361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type="dxa" w:w="19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wb / ozon</w:t>
            </w:r>
          </w:p>
        </w:tc>
        <w:tc>
          <w:tcPr>
            <w:tcW w:type="dxa" w:w="326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平台</w:t>
            </w:r>
          </w:p>
        </w:tc>
      </w:tr>
      <w:tr>
        <w:tc>
          <w:tcPr>
            <w:tcW w:type="dxa" w:w="24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delivery_mode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type="dxa" w:w="19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fbo / fbs</w:t>
            </w:r>
          </w:p>
        </w:tc>
        <w:tc>
          <w:tcPr>
            <w:tcW w:type="dxa" w:w="32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配送模式</w:t>
            </w:r>
          </w:p>
        </w:tc>
      </w:tr>
      <w:tr>
        <w:tc>
          <w:tcPr>
            <w:tcW w:type="dxa" w:w="244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company_type</w:t>
            </w:r>
          </w:p>
        </w:tc>
        <w:tc>
          <w:tcPr>
            <w:tcW w:type="dxa" w:w="1361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type="dxa" w:w="19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general / small</w:t>
            </w:r>
          </w:p>
        </w:tc>
        <w:tc>
          <w:tcPr>
            <w:tcW w:type="dxa" w:w="326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一般纳税人 / 小规模</w:t>
            </w:r>
          </w:p>
        </w:tc>
      </w:tr>
    </w:tbl>
    <w:p/>
    <w:p>
      <w:pPr>
        <w:spacing w:before="200" w:after="40"/>
      </w:pPr>
      <w:r>
        <w:rPr>
          <w:b/>
          <w:color w:val="1F497D"/>
          <w:sz w:val="22"/>
        </w:rPr>
        <w:t>4.2 平台运费参数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03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字段</w:t>
            </w:r>
          </w:p>
        </w:tc>
        <w:tc>
          <w:tcPr>
            <w:tcW w:type="dxa" w:w="1633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类型</w:t>
            </w:r>
          </w:p>
        </w:tc>
        <w:tc>
          <w:tcPr>
            <w:tcW w:type="dxa" w:w="4536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说明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base_logistics_rub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基础运费（RUB），WB 按包装体积计算得出</w:t>
            </w:r>
          </w:p>
        </w:tc>
      </w:tr>
      <w:tr>
        <w:tc>
          <w:tcPr>
            <w:tcW w:type="dxa" w:w="290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logistics_coeff</w:t>
            </w:r>
          </w:p>
        </w:tc>
        <w:tc>
          <w:tcPr>
            <w:tcW w:type="dxa" w:w="163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仓库运费系数，如 1.55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fbo_delivery_cny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FBO 送仓费（CNY）；FBS 填 0</w:t>
            </w:r>
          </w:p>
        </w:tc>
      </w:tr>
    </w:tbl>
    <w:p/>
    <w:p>
      <w:pPr>
        <w:spacing w:before="20" w:after="20"/>
        <w:ind w:left="454"/>
        <w:pBdr>
          <w:left w:val="single" w:sz="12" w:space="6" w:color="2E74B5"/>
        </w:pBdr>
      </w:pPr>
      <w:r>
        <w:rPr>
          <w:i/>
          <w:color w:val="444444"/>
          <w:sz w:val="20"/>
        </w:rPr>
        <w:t>平台运费 = base_logistics_rub × logistics_coeff ÷ 汇率 + fbo_delivery_cny</w:t>
      </w:r>
    </w:p>
    <w:p>
      <w:pPr>
        <w:spacing w:before="200" w:after="40"/>
      </w:pPr>
      <w:r>
        <w:rPr>
          <w:b/>
          <w:color w:val="1F497D"/>
          <w:sz w:val="22"/>
        </w:rPr>
        <w:t>4.3 退货参数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03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字段</w:t>
            </w:r>
          </w:p>
        </w:tc>
        <w:tc>
          <w:tcPr>
            <w:tcW w:type="dxa" w:w="1633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类型</w:t>
            </w:r>
          </w:p>
        </w:tc>
        <w:tc>
          <w:tcPr>
            <w:tcW w:type="dxa" w:w="4536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说明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return_rate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退货率，如 0.10（即 10% 退货）</w:t>
            </w:r>
          </w:p>
        </w:tc>
      </w:tr>
      <w:tr>
        <w:tc>
          <w:tcPr>
            <w:tcW w:type="dxa" w:w="290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return_trip_cny</w:t>
            </w:r>
          </w:p>
        </w:tc>
        <w:tc>
          <w:tcPr>
            <w:tcW w:type="dxa" w:w="163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退货返程费 / 次（CNY）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return_freight_cny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退货运费 / 次（CNY）</w:t>
            </w:r>
          </w:p>
        </w:tc>
      </w:tr>
    </w:tbl>
    <w:p/>
    <w:p>
      <w:pPr>
        <w:spacing w:before="20" w:after="20"/>
        <w:ind w:left="454"/>
        <w:pBdr>
          <w:left w:val="single" w:sz="12" w:space="6" w:color="2E74B5"/>
        </w:pBdr>
      </w:pPr>
      <w:r>
        <w:rPr>
          <w:i/>
          <w:color w:val="444444"/>
          <w:sz w:val="20"/>
        </w:rPr>
        <w:t>退货分摊 / 件 = （平台运费 + 返程费 + 退货运费）× 退货率 ÷（1 − 退货率）</w:t>
      </w:r>
    </w:p>
    <w:p>
      <w:pPr>
        <w:spacing w:before="20" w:after="20"/>
        <w:ind w:left="454"/>
        <w:pBdr>
          <w:left w:val="single" w:sz="12" w:space="6" w:color="2E74B5"/>
        </w:pBdr>
      </w:pPr>
      <w:r>
        <w:rPr>
          <w:i/>
          <w:color w:val="444444"/>
          <w:sz w:val="20"/>
        </w:rPr>
        <w:t>逻辑：发 10 件，9 件成交，1 件退货；9 件成交共同分摊 1 次退货产生的全部费用。</w:t>
      </w:r>
    </w:p>
    <w:p>
      <w:pPr>
        <w:spacing w:before="200" w:after="40"/>
      </w:pPr>
      <w:r>
        <w:rPr>
          <w:b/>
          <w:color w:val="1F497D"/>
          <w:sz w:val="22"/>
        </w:rPr>
        <w:t>4.4 其他平台费用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03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字段</w:t>
            </w:r>
          </w:p>
        </w:tc>
        <w:tc>
          <w:tcPr>
            <w:tcW w:type="dxa" w:w="1633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类型</w:t>
            </w:r>
          </w:p>
        </w:tc>
        <w:tc>
          <w:tcPr>
            <w:tcW w:type="dxa" w:w="4536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说明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storage_30d_cny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30 天存储费（CNY）；FBS 填 0</w:t>
            </w:r>
          </w:p>
        </w:tc>
      </w:tr>
      <w:tr>
        <w:tc>
          <w:tcPr>
            <w:tcW w:type="dxa" w:w="290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acquiring_rate</w:t>
            </w:r>
          </w:p>
        </w:tc>
        <w:tc>
          <w:tcPr>
            <w:tcW w:type="dxa" w:w="163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收单费率，如 0.017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commission_rate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平台佣金率（按商品类目不同，WB 约 21%，OZON 约 7.5%）</w:t>
            </w:r>
          </w:p>
        </w:tc>
      </w:tr>
      <w:tr>
        <w:tc>
          <w:tcPr>
            <w:tcW w:type="dxa" w:w="290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ad_spend_rate</w:t>
            </w:r>
          </w:p>
        </w:tc>
        <w:tc>
          <w:tcPr>
            <w:tcW w:type="dxa" w:w="163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广告费率（占售价比例），建议控制在 10% 以内</w:t>
            </w:r>
          </w:p>
        </w:tc>
      </w:tr>
    </w:tbl>
    <w:p/>
    <w:p>
      <w:pPr>
        <w:spacing w:before="200" w:after="40"/>
      </w:pPr>
      <w:r>
        <w:rPr>
          <w:b/>
          <w:color w:val="1F497D"/>
          <w:sz w:val="22"/>
        </w:rPr>
        <w:t>4.5 税务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03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字段</w:t>
            </w:r>
          </w:p>
        </w:tc>
        <w:tc>
          <w:tcPr>
            <w:tcW w:type="dxa" w:w="1633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类型</w:t>
            </w:r>
          </w:p>
        </w:tc>
        <w:tc>
          <w:tcPr>
            <w:tcW w:type="dxa" w:w="4536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说明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sales_tax_rate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销售税率：一般纳税人 0.20（增值税），小规模 0.06（营业税）</w:t>
            </w:r>
          </w:p>
        </w:tc>
      </w:tr>
      <w:tr>
        <w:tc>
          <w:tcPr>
            <w:tcW w:type="dxa" w:w="290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import_vat_deductible</w:t>
            </w:r>
          </w:p>
        </w:tc>
        <w:tc>
          <w:tcPr>
            <w:tcW w:type="dxa" w:w="163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boolean</w:t>
            </w:r>
          </w:p>
        </w:tc>
        <w:tc>
          <w:tcPr>
            <w:tcW w:type="dxa" w:w="45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进口增值税是否可抵扣：一般纳税人 true，小规模 false</w:t>
            </w:r>
          </w:p>
        </w:tc>
      </w:tr>
    </w:tbl>
    <w:p/>
    <w:p>
      <w:pPr>
        <w:spacing w:before="200" w:after="40"/>
      </w:pPr>
      <w:r>
        <w:rPr>
          <w:b/>
          <w:color w:val="1F497D"/>
          <w:sz w:val="22"/>
        </w:rPr>
        <w:t>4.6 汇率与目标价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03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字段</w:t>
            </w:r>
          </w:p>
        </w:tc>
        <w:tc>
          <w:tcPr>
            <w:tcW w:type="dxa" w:w="1633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类型</w:t>
            </w:r>
          </w:p>
        </w:tc>
        <w:tc>
          <w:tcPr>
            <w:tcW w:type="dxa" w:w="4536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说明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exchange_rate_rub_cny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卢布 / 人民币汇率，定期手动更新</w:t>
            </w:r>
          </w:p>
        </w:tc>
      </w:tr>
      <w:tr>
        <w:tc>
          <w:tcPr>
            <w:tcW w:type="dxa" w:w="290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target_price_rub</w:t>
            </w:r>
          </w:p>
        </w:tc>
        <w:tc>
          <w:tcPr>
            <w:tcW w:type="dxa" w:w="163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目标售价（RUB）</w:t>
            </w:r>
          </w:p>
        </w:tc>
      </w:tr>
      <w:tr>
        <w:tc>
          <w:tcPr>
            <w:tcW w:type="dxa" w:w="29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min_price_rub</w:t>
            </w:r>
          </w:p>
        </w:tc>
        <w:tc>
          <w:tcPr>
            <w:tcW w:type="dxa" w:w="16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decimal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最低可接受售价（RUB）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26"/>
        </w:rPr>
        <w:t>五、计算公式（运行时计算，不落库）</w:t>
      </w:r>
    </w:p>
    <w:p>
      <w:pPr>
        <w:spacing w:before="40" w:after="80" w:line="320" w:lineRule="exact"/>
      </w:pPr>
      <w:r>
        <w:rPr>
          <w:sz w:val="21"/>
        </w:rPr>
        <w:t>以下字段由代码根据以上参数实时计算，不存入数据库：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>revenue_cny          = target_price_rub ÷ exchange_rate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>platform_freight_cny = base_logistics_rub × logistics_coeff ÷ exchange_rate + fbo_delivery_cny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>return_cost_cny      = (platform_freight + return_trip + return_freight)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 xml:space="preserve">                       × return_rate ÷ (1 − return_rate)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>acquiring_cny        = revenue × acquiring_rate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>commission_cny       = revenue × commission_rate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>ad_spend_cny         = revenue × ad_spend_rate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>sales_tax_cny        = revenue × sales_tax_rate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>damage_cost_cny      = goods_cost × damage_rate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>import_vat_offset    = import_vat_deductible ? import_vat_cny : 0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>total_cost_cny = goods_cost + platform_freight + return_cost + storage_30d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 xml:space="preserve">               + acquiring + commission + ad_spend + sales_tax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 xml:space="preserve">               + damage_cost + misc_cost − import_vat_offset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>profit_cny  = revenue_cny − total_cost_cny</w:t>
      </w:r>
    </w:p>
    <w:p>
      <w:pPr>
        <w:spacing w:before="0" w:after="0"/>
        <w:ind w:left="283" w:right="283"/>
        <w:shd w:val="clear" w:color="auto" w:fill="F0F0F0"/>
      </w:pPr>
      <w:r>
        <w:rPr>
          <w:rFonts w:ascii="Courier New" w:hAnsi="Courier New"/>
          <w:color w:val="595959"/>
          <w:sz w:val="18"/>
        </w:rPr>
        <w:t>margin      = profit_cny ÷ revenue_cny</w:t>
      </w:r>
    </w:p>
    <w:p/>
    <w:p>
      <w:pPr>
        <w:spacing w:before="280" w:after="80"/>
      </w:pPr>
      <w:r>
        <w:rPr>
          <w:b/>
          <w:color w:val="2E74B5"/>
          <w:sz w:val="26"/>
        </w:rPr>
        <w:t>六、场景示例</w:t>
      </w:r>
    </w:p>
    <w:p>
      <w:pPr>
        <w:spacing w:before="40" w:after="80" w:line="320" w:lineRule="exact"/>
      </w:pPr>
      <w:r>
        <w:rPr>
          <w:sz w:val="21"/>
        </w:rPr>
        <w:t>以 KJ-228-SV（毛巾架）为例，OZON / FBO / 一般纳税人场景：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443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项目</w:t>
            </w:r>
          </w:p>
        </w:tc>
        <w:tc>
          <w:tcPr>
            <w:tcW w:type="dxa" w:w="3629"/>
            <w:shd w:val="clear" w:color="auto" w:fill="BDD7EE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金额（CNY）</w:t>
            </w:r>
          </w:p>
        </w:tc>
      </w:tr>
      <w:tr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货物成本</w:t>
            </w:r>
          </w:p>
        </w:tc>
        <w:tc>
          <w:tcPr>
            <w:tcW w:type="dxa" w:w="362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454.1</w:t>
            </w:r>
          </w:p>
        </w:tc>
      </w:tr>
      <w:tr>
        <w:tc>
          <w:tcPr>
            <w:tcW w:type="dxa" w:w="544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平台运费（FBO）</w:t>
            </w:r>
          </w:p>
        </w:tc>
        <w:tc>
          <w:tcPr>
            <w:tcW w:type="dxa" w:w="362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45.0</w:t>
            </w:r>
          </w:p>
        </w:tc>
      </w:tr>
      <w:tr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退货分摊</w:t>
            </w:r>
          </w:p>
        </w:tc>
        <w:tc>
          <w:tcPr>
            <w:tcW w:type="dxa" w:w="362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5.8</w:t>
            </w:r>
          </w:p>
        </w:tc>
      </w:tr>
      <w:tr>
        <w:tc>
          <w:tcPr>
            <w:tcW w:type="dxa" w:w="544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存储费（30天）</w:t>
            </w:r>
          </w:p>
        </w:tc>
        <w:tc>
          <w:tcPr>
            <w:tcW w:type="dxa" w:w="362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收单费</w:t>
            </w:r>
          </w:p>
        </w:tc>
        <w:tc>
          <w:tcPr>
            <w:tcW w:type="dxa" w:w="362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15.0</w:t>
            </w:r>
          </w:p>
        </w:tc>
      </w:tr>
      <w:tr>
        <w:tc>
          <w:tcPr>
            <w:tcW w:type="dxa" w:w="544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平台佣金（21%）</w:t>
            </w:r>
          </w:p>
        </w:tc>
        <w:tc>
          <w:tcPr>
            <w:tcW w:type="dxa" w:w="362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210.0</w:t>
            </w:r>
          </w:p>
        </w:tc>
      </w:tr>
      <w:tr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广告费</w:t>
            </w:r>
          </w:p>
        </w:tc>
        <w:tc>
          <w:tcPr>
            <w:tcW w:type="dxa" w:w="362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42.9</w:t>
            </w:r>
          </w:p>
        </w:tc>
      </w:tr>
      <w:tr>
        <w:tc>
          <w:tcPr>
            <w:tcW w:type="dxa" w:w="544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销售增值税（20%）</w:t>
            </w:r>
          </w:p>
        </w:tc>
        <w:tc>
          <w:tcPr>
            <w:tcW w:type="dxa" w:w="362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94.9</w:t>
            </w:r>
          </w:p>
        </w:tc>
      </w:tr>
      <w:tr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杂费</w:t>
            </w:r>
          </w:p>
        </w:tc>
        <w:tc>
          <w:tcPr>
            <w:tcW w:type="dxa" w:w="362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2.0</w:t>
            </w:r>
          </w:p>
        </w:tc>
      </w:tr>
      <w:tr>
        <w:tc>
          <w:tcPr>
            <w:tcW w:type="dxa" w:w="544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进项税抵扣</w:t>
            </w:r>
          </w:p>
        </w:tc>
        <w:tc>
          <w:tcPr>
            <w:tcW w:type="dxa" w:w="362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−71.5</w:t>
            </w:r>
          </w:p>
        </w:tc>
      </w:tr>
      <w:tr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总成本</w:t>
            </w:r>
          </w:p>
        </w:tc>
        <w:tc>
          <w:tcPr>
            <w:tcW w:type="dxa" w:w="362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881</w:t>
            </w:r>
          </w:p>
        </w:tc>
      </w:tr>
      <w:tr>
        <w:tc>
          <w:tcPr>
            <w:tcW w:type="dxa" w:w="544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售价（11681 RUB ÷ 11.7）</w:t>
            </w:r>
          </w:p>
        </w:tc>
        <w:tc>
          <w:tcPr>
            <w:tcW w:type="dxa" w:w="362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998</w:t>
            </w:r>
          </w:p>
        </w:tc>
      </w:tr>
      <w:tr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利润</w:t>
            </w:r>
          </w:p>
        </w:tc>
        <w:tc>
          <w:tcPr>
            <w:tcW w:type="dxa" w:w="362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117（11.76%）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26"/>
        </w:rPr>
        <w:t>七、待确认问题</w:t>
      </w:r>
    </w:p>
    <w:p>
      <w:pPr>
        <w:spacing w:before="80" w:after="40"/>
        <w:ind w:left="170"/>
      </w:pPr>
      <w:r>
        <w:rPr>
          <w:b/>
          <w:sz w:val="21"/>
        </w:rPr>
        <w:t>1. WB 运费算法：</w:t>
      </w:r>
      <w:r>
        <w:rPr>
          <w:sz w:val="21"/>
        </w:rPr>
        <w:t>WB 运费 = 首升费用 + 第二升起费用，需确认各仓库的具体费率参数是否需要单独维护。</w:t>
      </w:r>
    </w:p>
    <w:p>
      <w:pPr>
        <w:spacing w:before="80" w:after="40"/>
        <w:ind w:left="170"/>
      </w:pPr>
      <w:r>
        <w:rPr>
          <w:b/>
          <w:sz w:val="21"/>
        </w:rPr>
        <w:t>2. 汇率更新频率：</w:t>
      </w:r>
      <w:r>
        <w:rPr>
          <w:sz w:val="21"/>
        </w:rPr>
        <w:t>汇率字段目前存在每一行，更新时需批量修改。如对实时性要求高，可考虑提取为独立配置表。</w:t>
      </w:r>
    </w:p>
    <w:p>
      <w:pPr>
        <w:spacing w:before="80" w:after="40"/>
        <w:ind w:left="170"/>
      </w:pPr>
      <w:r>
        <w:rPr>
          <w:b/>
          <w:sz w:val="21"/>
        </w:rPr>
        <w:t>3. 历史成本留存：</w:t>
      </w:r>
      <w:r>
        <w:rPr>
          <w:sz w:val="21"/>
        </w:rPr>
        <w:t>成本数据变化后是否需要保留历史版本？例如进货价涨价后，老库存应按旧成本还是新成本核算利润。</w:t>
      </w:r>
    </w:p>
    <w:p>
      <w:pPr>
        <w:spacing w:before="80" w:after="40"/>
        <w:ind w:left="170"/>
      </w:pPr>
      <w:r>
        <w:rPr>
          <w:b/>
          <w:sz w:val="21"/>
        </w:rPr>
        <w:t>4. OZON-Domos 账号：</w:t>
      </w:r>
      <w:r>
        <w:rPr>
          <w:sz w:val="21"/>
        </w:rPr>
        <w:t>该店铺目前未在数据库中，需补录凭证后方可在报表中填入真实数据。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