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0"/>
          <w:szCs w:val="40"/>
        </w:rPr>
        <w:t xml:space="preserve">VELOOP REWARDS</w:t>
      </w:r>
    </w:p>
    <w:p>
      <w:pPr>
        <w:spacing w:after="40"/>
        <w:jc w:val="center"/>
      </w:pPr>
      <w:r>
        <w:rPr>
          <w:b/>
          <w:bCs/>
          <w:color w:val="2E5E8C"/>
          <w:sz w:val="25"/>
          <w:szCs w:val="25"/>
        </w:rPr>
        <w:t xml:space="preserve">Deliverable 01 — Executive Summary</w:t>
      </w:r>
    </w:p>
    <w:p>
      <w:pPr>
        <w:spacing w:after="170"/>
        <w:jc w:val="center"/>
      </w:pPr>
      <w:r>
        <w:rPr>
          <w:color w:val="555555"/>
          <w:sz w:val="20"/>
          <w:szCs w:val="20"/>
        </w:rPr>
        <w:t xml:space="preserve">Data Analyst Internship — Task 01  ·  Jiya Tejwani  ·  2026-10-23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F3CF" w:color="auto" w:val="clear"/>
            <w:tcMar>
              <w:top w:type="dxa" w:w="95"/>
              <w:left w:type="dxa" w:w="150"/>
              <w:bottom w:type="dxa" w:w="95"/>
              <w:right w:type="dxa" w:w="150"/>
            </w:tcMar>
          </w:tcPr>
          <w:p>
            <w:r>
              <w:rPr>
                <w:b/>
                <w:bCs/>
                <w:color w:val="7D6608"/>
                <w:sz w:val="18"/>
                <w:szCs w:val="18"/>
              </w:rPr>
              <w:t xml:space="preserve">DATA AUTHENTICITY NOTICE — Based on SIMULATED / FICTIONAL data. No figure here represents actual VELOOP users, earnings, withdrawals, revenue, retention or performance. Proposed structures do not exist yet; unverified facts are marked To-Be-Verified.</w:t>
            </w:r>
          </w:p>
        </w:tc>
      </w:tr>
    </w:tbl>
    <w:p>
      <w:pPr>
        <w:spacing w:after="110"/>
      </w:pPr>
    </w:p>
    <w:p>
      <w:pPr>
        <w:pStyle w:val="Heading1"/>
        <w:spacing w:after="110" w:before="240"/>
      </w:pPr>
      <w:r>
        <w:rPr>
          <w:b/>
          <w:bCs/>
          <w:color w:val="1F3A5F"/>
          <w:sz w:val="27"/>
          <w:szCs w:val="27"/>
        </w:rPr>
        <w:t xml:space="preserve">What was investigated</w:t>
      </w:r>
    </w:p>
    <w:p>
      <w:pPr>
        <w:spacing w:after="110"/>
      </w:pPr>
      <w:r>
        <w:rPr>
          <w:sz w:val="21"/>
          <w:szCs w:val="21"/>
        </w:rPr>
        <w:t xml:space="preserve">VELOOP Rewards is an online rewards-and-engagement product in early development that does not yet hold the production data required for conventional product-performance analysis. This project investigated what analytics VELOOP will eventually need, audited what its simulated dataset can support today, and specified what must be built so meaningful analysis becomes possible once real activity exists. The work spans 21 deliverables: a product-data audit, coverage matrix, four domain specifications, an event tracking plan, data dictionary, logical data model, KPI catalogue, data profiling and quality audit, a live dashboard, developer handoff, pipeline, governance, readiness assessment, backlog and this summary.</w:t>
      </w:r>
    </w:p>
    <w:p>
      <w:pPr>
        <w:pStyle w:val="Heading1"/>
        <w:spacing w:after="110" w:before="240"/>
      </w:pPr>
      <w:r>
        <w:rPr>
          <w:b/>
          <w:bCs/>
          <w:color w:val="1F3A5F"/>
          <w:sz w:val="27"/>
          <w:szCs w:val="27"/>
        </w:rPr>
        <w:t xml:space="preserve">What was discovered</w:t>
      </w:r>
    </w:p>
    <w:p>
      <w:pPr>
        <w:spacing w:after="110"/>
      </w:pPr>
      <w:r>
        <w:rPr>
          <w:sz w:val="21"/>
          <w:szCs w:val="21"/>
        </w:rPr>
        <w:t xml:space="preserve">The supplied simulated data is a strong user-and-engagement dataset (1,000 users, 7,913 sessions, 35,704 events, 9,846 task attempts) that is internally consistent — its behavioural tables join cleanly with zero orphan keys. Two findings shape everything:</w:t>
      </w:r>
    </w:p>
    <w:p>
      <w:pPr>
        <w:pStyle w:val="ListParagraph"/>
        <w:numPr>
          <w:ilvl w:val="0"/>
          <w:numId w:val="2"/>
        </w:numPr>
        <w:spacing w:after="46"/>
      </w:pPr>
      <w:r>
        <w:rPr>
          <w:sz w:val="21"/>
          <w:szCs w:val="21"/>
        </w:rPr>
        <w:t xml:space="preserve">The two supplied files are two different simulated populations. They reuse the same user-ID scheme, but zero of 1,000 shared IDs map to the same person, so they cannot be joined on user_id.</w:t>
      </w:r>
    </w:p>
    <w:p>
      <w:pPr>
        <w:pStyle w:val="ListParagraph"/>
        <w:numPr>
          <w:ilvl w:val="0"/>
          <w:numId w:val="2"/>
        </w:numPr>
        <w:spacing w:after="46"/>
      </w:pPr>
      <w:r>
        <w:rPr>
          <w:sz w:val="21"/>
          <w:szCs w:val="21"/>
        </w:rPr>
        <w:t xml:space="preserve">The entire monetisation layer is absent. There is no rewards ledger, wallet, withdrawals or referral-lifecycle table, and no monetary amount field anywhere. Only 7 of 20 sampled KPIs are computable today.</w:t>
      </w:r>
    </w:p>
    <w:p>
      <w:pPr>
        <w:spacing w:after="110"/>
      </w:pPr>
      <w:r>
        <w:rPr>
          <w:sz w:val="21"/>
          <w:szCs w:val="21"/>
        </w:rPr>
        <w:t xml:space="preserve">The data-quality audit confirmed the dataset is deliberately realistic (not flattering): it contains failures, abandonment, decaying retention, inactive users, duplicates, a malformed date and casing inconsistencies — all surfaced rather than hidden.</w:t>
      </w:r>
    </w:p>
    <w:p>
      <w:pPr>
        <w:pStyle w:val="Heading1"/>
        <w:spacing w:after="110" w:before="240"/>
      </w:pPr>
      <w:r>
        <w:rPr>
          <w:b/>
          <w:bCs/>
          <w:color w:val="1F3A5F"/>
          <w:sz w:val="27"/>
          <w:szCs w:val="27"/>
        </w:rPr>
        <w:t xml:space="preserve">What is currently unknown</w:t>
      </w:r>
    </w:p>
    <w:p>
      <w:pPr>
        <w:spacing w:after="110"/>
      </w:pPr>
      <w:r>
        <w:rPr>
          <w:sz w:val="21"/>
          <w:szCs w:val="21"/>
        </w:rPr>
        <w:t xml:space="preserve">Production implementation status is unverified: whether a stable app-wide user_id exists, whether the app emits task-completion or reward events, whether wallet/withdrawal/referral systems exist, and the live currencies (XP is present; Gems/Tokens/Spins are named but absent). All such unknowns are recorded in the Source &amp; Verification Register (#19) rather than assumed.</w:t>
      </w:r>
    </w:p>
    <w:p>
      <w:pPr>
        <w:pStyle w:val="Heading1"/>
        <w:spacing w:after="110" w:before="240"/>
      </w:pPr>
      <w:r>
        <w:rPr>
          <w:b/>
          <w:bCs/>
          <w:color w:val="1F3A5F"/>
          <w:sz w:val="27"/>
          <w:szCs w:val="27"/>
        </w:rPr>
        <w:t xml:space="preserve">What VELOOP should implement</w:t>
      </w:r>
    </w:p>
    <w:p>
      <w:pPr>
        <w:spacing w:after="110"/>
      </w:pPr>
      <w:r>
        <w:rPr>
          <w:sz w:val="21"/>
          <w:szCs w:val="21"/>
        </w:rPr>
        <w:t xml:space="preserve">In priority order (detailed in the Implementation Backlog, #20): a stable user_id and a transaction ID as foundations; the four missing monetisation tables with explicit amount and currency fields; core event instrumentation per the Developer Handoff (#15); idempotent ingestion and the data-quality controls (Work Package L); and the account-lifecycle and onboarding events needed for churn and activation funnels.</w:t>
      </w:r>
    </w:p>
    <w:p>
      <w:pPr>
        <w:pStyle w:val="Heading1"/>
        <w:spacing w:after="110" w:before="240"/>
      </w:pPr>
      <w:r>
        <w:rPr>
          <w:b/>
          <w:bCs/>
          <w:color w:val="1F3A5F"/>
          <w:sz w:val="27"/>
          <w:szCs w:val="27"/>
        </w:rPr>
        <w:t xml:space="preserve">Major risks</w:t>
      </w:r>
    </w:p>
    <w:p>
      <w:pPr>
        <w:pStyle w:val="ListParagraph"/>
        <w:numPr>
          <w:ilvl w:val="0"/>
          <w:numId w:val="2"/>
        </w:numPr>
        <w:spacing w:after="46"/>
      </w:pPr>
      <w:r>
        <w:rPr>
          <w:sz w:val="21"/>
          <w:szCs w:val="21"/>
        </w:rPr>
        <w:t xml:space="preserve">Without a stable user_id, cross-event analysis and reliable joins cannot be guaranteed.</w:t>
      </w:r>
    </w:p>
    <w:p>
      <w:pPr>
        <w:pStyle w:val="ListParagraph"/>
        <w:numPr>
          <w:ilvl w:val="0"/>
          <w:numId w:val="2"/>
        </w:numPr>
        <w:spacing w:after="46"/>
      </w:pPr>
      <w:r>
        <w:rPr>
          <w:sz w:val="21"/>
          <w:szCs w:val="21"/>
        </w:rPr>
        <w:t xml:space="preserve">Without transaction IDs and a reward/wallet ledger, value and payout reporting is impossible and deduplication is unsafe.</w:t>
      </w:r>
    </w:p>
    <w:p>
      <w:pPr>
        <w:pStyle w:val="ListParagraph"/>
        <w:numPr>
          <w:ilvl w:val="0"/>
          <w:numId w:val="2"/>
        </w:numPr>
        <w:spacing w:after="46"/>
      </w:pPr>
      <w:r>
        <w:rPr>
          <w:sz w:val="21"/>
          <w:szCs w:val="21"/>
        </w:rPr>
        <w:t xml:space="preserve">Without ingestion-level quality controls, the duplicate/malformed/orphan issues seen in the audit will reach production reporting.</w:t>
      </w:r>
    </w:p>
    <w:p>
      <w:pPr>
        <w:pStyle w:val="Heading1"/>
        <w:spacing w:after="110" w:before="240"/>
      </w:pPr>
      <w:r>
        <w:rPr>
          <w:b/>
          <w:bCs/>
          <w:color w:val="1F3A5F"/>
          <w:sz w:val="27"/>
          <w:szCs w:val="27"/>
        </w:rPr>
        <w:t xml:space="preserve">Major priorities</w:t>
      </w:r>
    </w:p>
    <w:p>
      <w:pPr>
        <w:spacing w:after="110"/>
      </w:pPr>
      <w:r>
        <w:rPr>
          <w:sz w:val="21"/>
          <w:szCs w:val="21"/>
        </w:rPr>
        <w:t xml:space="preserve">Build the measurement foundation before the dashboards: stable identifiers, the monetisation tables, and event instrumentation are Critical and pre-launch. The analytical design — model, dictionary, KPIs, events, documentation — is already complete and ready; the gap is production instrumentation and the monetisation data, not analytical design.</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abstractNum w:abstractNumId="3" w15:restartNumberingAfterBreak="0">
    <w:multiLevelType w:val="hybridMultilevel"/>
    <w:lvl w:ilvl="0" w: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2026-10-23T16:58:06.151Z</dcterms:created>
  <dcterms:modified xsi:type="dcterms:W3CDTF">2026-10-23T16:58:06.151Z</dcterms:modified>
</cp:coreProperties>
</file>

<file path=docProps/custom.xml><?xml version="1.0" encoding="utf-8"?>
<Properties xmlns="http://schemas.openxmlformats.org/officeDocument/2006/custom-properties" xmlns:vt="http://schemas.openxmlformats.org/officeDocument/2006/docPropsVTypes"/>
</file>