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 xml:space="preserve">VELOOP REWARDS</w:t>
      </w:r>
    </w:p>
    <w:p>
      <w:pPr>
        <w:spacing w:after="40"/>
        <w:jc w:val="center"/>
      </w:pPr>
      <w:r>
        <w:rPr>
          <w:b/>
          <w:bCs/>
          <w:color w:val="2E5E8C"/>
          <w:sz w:val="25"/>
          <w:szCs w:val="25"/>
        </w:rPr>
        <w:t xml:space="preserve">Deliverable 04 — User &amp; Account Analytics Specification</w:t>
      </w:r>
    </w:p>
    <w:p>
      <w:pPr>
        <w:spacing w:after="180"/>
        <w:jc w:val="center"/>
      </w:pPr>
      <w:r>
        <w:rPr>
          <w:color w:val="555555"/>
          <w:sz w:val="20"/>
          <w:szCs w:val="20"/>
        </w:rPr>
        <w:t xml:space="preserve">Data Analyst Internship — Task 01 (Work Package B)  ·  Jiya Tejwani  ·  2026-10-22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3C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7D6608"/>
                <w:sz w:val="18"/>
                <w:szCs w:val="18"/>
              </w:rPr>
              <w:t xml:space="preserve">DATA AUTHENTICITY NOTICE — This specification is designed over SIMULATED / FICTIONAL data. Field statuses distinguish what exists in the simulated set (Confirmed) from what needs engineering confirmation (To-Be-Verified) or must be built (Proposed).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A5F"/>
          <w:sz w:val="28"/>
          <w:szCs w:val="28"/>
        </w:rPr>
        <w:t xml:space="preserve">1. Objective</w:t>
      </w:r>
    </w:p>
    <w:p>
      <w:pPr>
        <w:spacing w:after="120"/>
      </w:pPr>
      <w:r>
        <w:rPr>
          <w:sz w:val="21"/>
          <w:szCs w:val="21"/>
        </w:rPr>
        <w:t xml:space="preserve">Design the analytical structure required to understand the VELOOP user lifecycle — from acquisition through registration, login, onboarding, and the account lifecycle — so that user-level reporting (acquisition, activation, engagement, retention, churn) becomes possible once production data exists. This specification defines the identifiers, the fields, and their readiness.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8"/>
          <w:szCs w:val="28"/>
        </w:rPr>
        <w:t xml:space="preserve">2. User Lifecycle — Required Data by Stage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3"/>
          <w:szCs w:val="23"/>
        </w:rPr>
        <w:t xml:space="preserve">Registration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user_id (stable identifier)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registration_timestamp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registration source (acquisition channel)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device / platform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relevant acquisition information (referral code, campaign where available)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3"/>
          <w:szCs w:val="23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login event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login timestamp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session identifier (to group events into a visit)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device / platform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3"/>
          <w:szCs w:val="23"/>
        </w:rPr>
        <w:t xml:space="preserve">Onboarding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onboarding started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onboarding completed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important activation milestones (first login, first task, first reward)</w:t>
      </w:r>
    </w:p>
    <w:p>
      <w:pPr>
        <w:pStyle w:val="Heading2"/>
        <w:spacing w:after="70" w:before="160"/>
      </w:pPr>
      <w:r>
        <w:rPr>
          <w:b/>
          <w:bCs/>
          <w:color w:val="2E5E8C"/>
          <w:sz w:val="23"/>
          <w:szCs w:val="23"/>
        </w:rPr>
        <w:t xml:space="preserve">Account Lifecycle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account created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current account status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status changes (with reason and timestamp)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last activity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relevant lifecycle timestamps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8"/>
          <w:szCs w:val="28"/>
        </w:rPr>
        <w:t xml:space="preserve">3. User Identity Requirements (B1)</w:t>
      </w:r>
    </w:p>
    <w:p>
      <w:pPr>
        <w:spacing w:after="120"/>
      </w:pPr>
      <w:r>
        <w:rPr>
          <w:sz w:val="21"/>
          <w:szCs w:val="21"/>
        </w:rPr>
        <w:t xml:space="preserve">Four identifiers underpin all user analytics. Each answers a different analytical question, and each must be stable and unique in its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50"/>
        <w:gridCol w:w="3610"/>
        <w:gridCol w:w="120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Identifier</w:t>
            </w:r>
          </w:p>
        </w:tc>
        <w:tc>
          <w:tcPr>
            <w:tcW w:type="dxa" w:w="285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361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 it is needed</w:t>
            </w:r>
          </w:p>
        </w:tc>
        <w:tc>
          <w:tcPr>
            <w:tcW w:type="dxa" w:w="120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7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Stable user_id</w:t>
            </w:r>
          </w:p>
        </w:tc>
        <w:tc>
          <w:tcPr>
            <w:tcW w:type="dxa" w:w="28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One persistent ID per user, unchanged across devices and sessions</w:t>
            </w:r>
          </w:p>
        </w:tc>
        <w:tc>
          <w:tcPr>
            <w:tcW w:type="dxa" w:w="361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foundation of every per-user metric — retention, lifetime value, cohorts — and the join key across all tables. Without it, a user cannot be followed over time and tables cannot be linked.</w:t>
            </w:r>
          </w:p>
        </w:tc>
        <w:tc>
          <w:tcPr>
            <w:tcW w:type="dxa" w:w="12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B9770E"/>
                <w:sz w:val="17"/>
                <w:szCs w:val="17"/>
              </w:rPr>
              <w:t xml:space="preserve">To-Be-Verified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event_id</w:t>
            </w:r>
          </w:p>
        </w:tc>
        <w:tc>
          <w:tcPr>
            <w:tcW w:type="dxa" w:w="28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globally unique ID on every event</w:t>
            </w:r>
          </w:p>
        </w:tc>
        <w:tc>
          <w:tcPr>
            <w:tcW w:type="dxa" w:w="361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Idempotency and de-duplication: it lets the pipeline drop duplicate deliveries so events are not double-counted, and it anchors event-level analysis.</w:t>
            </w:r>
          </w:p>
        </w:tc>
        <w:tc>
          <w:tcPr>
            <w:tcW w:type="dxa" w:w="12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session_id</w:t>
            </w:r>
          </w:p>
        </w:tc>
        <w:tc>
          <w:tcPr>
            <w:tcW w:type="dxa" w:w="28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unique ID per visit that groups the events within it</w:t>
            </w:r>
          </w:p>
        </w:tc>
        <w:tc>
          <w:tcPr>
            <w:tcW w:type="dxa" w:w="361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Enables session-level analysis — duration, depth, entry and exit points — and separates one visit from another.</w:t>
            </w:r>
          </w:p>
        </w:tc>
        <w:tc>
          <w:tcPr>
            <w:tcW w:type="dxa" w:w="12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transaction_id</w:t>
            </w:r>
          </w:p>
        </w:tc>
        <w:tc>
          <w:tcPr>
            <w:tcW w:type="dxa" w:w="28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unique ID per value movement (reward, wallet, withdrawal)</w:t>
            </w:r>
          </w:p>
        </w:tc>
        <w:tc>
          <w:tcPr>
            <w:tcW w:type="dxa" w:w="361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Reconciliation and integrity of value: it de-duplicates financial events and traces each rupee/credit back to its cause. Essential before any wallet or withdrawal reporting is trustworthy.</w:t>
            </w:r>
          </w:p>
        </w:tc>
        <w:tc>
          <w:tcPr>
            <w:tcW w:type="dxa" w:w="12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A5F"/>
          <w:sz w:val="28"/>
          <w:szCs w:val="28"/>
        </w:rPr>
        <w:t xml:space="preserve">4. User Analytics Specification (B2)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Field-level requirements for the user and account domain. 'Required?' marks whether the field must be present for the user record to be analytically usable.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950"/>
        <w:gridCol w:w="2050"/>
        <w:gridCol w:w="1100"/>
        <w:gridCol w:w="1750"/>
        <w:gridCol w:w="1300"/>
      </w:tblGrid>
      <w:tr>
        <w:trPr>
          <w:tblHeader/>
        </w:trPr>
        <w:tc>
          <w:tcPr>
            <w:tcW w:type="dxa" w:w="175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90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5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205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10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75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  <w:tc>
          <w:tcPr>
            <w:tcW w:type="dxa" w:w="1300"/>
            <w:shd w:fill="1F3A5F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user_id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Primary key; all per-user metrics &amp; joins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unique, non-null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registration_timestamp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Cohorts, tenure, acquisition trend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ISO-8601 UTC; not future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acquisition_source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Acquisition-channel analysis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Attribution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controlled list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referral_source_detail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acquisition detail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Attribution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controlled list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account_created_via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Registration-method analysis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controlled list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primary_device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Device segmentation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controlled list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platform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Platform segmentation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controlled list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session_id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 session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Group events into visits; session analytics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Session svc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login_timestamp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 login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Active-user base; recency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ISO-8601 UTC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B9770E"/>
                <w:sz w:val="17"/>
                <w:szCs w:val="17"/>
              </w:rPr>
              <w:t xml:space="preserve">To-Be-Verified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last_login_datetime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Recency / active status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ISO-8601 UTC (nullable)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onboarding_status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Activation rate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 Started/Started/Completed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onboarding_started_at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Activation-funnel entry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ISO-8601 UTC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B9770E"/>
                <w:sz w:val="17"/>
                <w:szCs w:val="17"/>
              </w:rPr>
              <w:t xml:space="preserve">To-Be-Verified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onboarding_completed_at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Activation-funnel completion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ISO-8601 UTC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B9770E"/>
                <w:sz w:val="17"/>
                <w:szCs w:val="17"/>
              </w:rPr>
              <w:t xml:space="preserve">To-Be-Verified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account_status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Churn &amp; risk analysis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Active/Inactive/Suspended/Pending Verification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status_changed_at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Lifecycle transitions over time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ISO-8601 UTC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status_change_reason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Churn / suspension diagnosis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controlled list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verification_status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Verification funnel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Verified/Pending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verified_at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Verification time-to-complete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ISO-8601 UTC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B9770E"/>
                <w:sz w:val="17"/>
                <w:szCs w:val="17"/>
              </w:rPr>
              <w:t xml:space="preserve">To-Be-Verified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last_activity_date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Recency / dormancy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Derived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 date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age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Demographic segmentation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Profile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13–100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gender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Demographic segmentation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Profile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Male/Female/Prefer not to say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state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Geographic analysis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Profile / IP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controlled list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country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Geographic analysis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Profile / IP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controlled list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consent_status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Governance gating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Consent flow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Accepted/Pending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marketing_opt_in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Marketing eligibility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Consent flow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Yes/No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referral_code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linkage key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event_id</w:t>
            </w:r>
          </w:p>
        </w:tc>
        <w:tc>
          <w:tcPr>
            <w:tcW w:type="dxa" w:w="9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 event</w:t>
            </w:r>
          </w:p>
        </w:tc>
        <w:tc>
          <w:tcPr>
            <w:tcW w:type="dxa" w:w="20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Event de-duplication / idempotency</w:t>
            </w:r>
          </w:p>
        </w:tc>
        <w:tc>
          <w:tcPr>
            <w:tcW w:type="dxa" w:w="11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Pipeline</w:t>
            </w:r>
          </w:p>
        </w:tc>
        <w:tc>
          <w:tcPr>
            <w:tcW w:type="dxa" w:w="175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</w:t>
            </w:r>
          </w:p>
        </w:tc>
        <w:tc>
          <w:tcPr>
            <w:tcW w:type="dxa" w:w="1300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transaction_id</w:t>
            </w:r>
          </w:p>
        </w:tc>
        <w:tc>
          <w:tcPr>
            <w:tcW w:type="dxa" w:w="9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 transaction</w:t>
            </w:r>
          </w:p>
        </w:tc>
        <w:tc>
          <w:tcPr>
            <w:tcW w:type="dxa" w:w="20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Value-event reconciliation</w:t>
            </w:r>
          </w:p>
        </w:tc>
        <w:tc>
          <w:tcPr>
            <w:tcW w:type="dxa" w:w="11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</w:t>
            </w:r>
          </w:p>
        </w:tc>
        <w:tc>
          <w:tcPr>
            <w:tcW w:type="dxa" w:w="175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</w:t>
            </w:r>
          </w:p>
        </w:tc>
        <w:tc>
          <w:tcPr>
            <w:tcW w:type="dxa" w:w="1300"/>
            <w:shd w:fill="EEF2F7" w:color="auto" w:val="clear"/>
            <w:tcMar>
              <w:top w:type="dxa" w:w="36"/>
              <w:left w:type="dxa" w:w="64"/>
              <w:bottom w:type="dxa" w:w="36"/>
              <w:right w:type="dxa" w:w="64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A5F"/>
          <w:sz w:val="28"/>
          <w:szCs w:val="28"/>
        </w:rPr>
        <w:t xml:space="preserve">5. Minimal Personal Data (privacy by design)</w:t>
      </w:r>
    </w:p>
    <w:p>
      <w:pPr>
        <w:spacing w:after="120"/>
      </w:pPr>
      <w:r>
        <w:rPr>
          <w:sz w:val="21"/>
          <w:szCs w:val="21"/>
        </w:rPr>
        <w:t xml:space="preserve">Per the brief, unnecessary personal information is not requested. User analytics runs on a stable user_id plus analytical attributes (channel, device, status, activity), never on identifying content. Two fields are personally identifying and are treated as Restricted — used only for account function and verification, and excluded from analytical datasets: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full_name — Restricted; identity display only.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email — Restricted; verification &amp; account recovery only.</w:t>
      </w:r>
    </w:p>
    <w:p>
      <w:pPr>
        <w:spacing w:after="120"/>
      </w:pPr>
      <w:r>
        <w:rPr>
          <w:sz w:val="21"/>
          <w:szCs w:val="21"/>
        </w:rPr>
        <w:t xml:space="preserve">No financial, health, precise-location or other sensitive personal data is collected for analytics. Consent status gates any processing, and marketing eligibility follows marketing_opt_in.</w:t>
      </w:r>
    </w:p>
    <w:p>
      <w:pPr>
        <w:pStyle w:val="Heading1"/>
        <w:spacing w:after="120" w:before="260"/>
      </w:pPr>
      <w:r>
        <w:rPr>
          <w:b/>
          <w:bCs/>
          <w:color w:val="1F3A5F"/>
          <w:sz w:val="28"/>
          <w:szCs w:val="28"/>
        </w:rPr>
        <w:t xml:space="preserve">6. Readiness Summary</w:t>
      </w:r>
    </w:p>
    <w:p>
      <w:pPr>
        <w:spacing w:after="120"/>
      </w:pPr>
      <w:r>
        <w:rPr>
          <w:sz w:val="21"/>
          <w:szCs w:val="21"/>
        </w:rPr>
        <w:t xml:space="preserve">Most user-domain fields are Confirmed (present in the simulated data). The gaps are the lifecycle-timing fields — onboarding timestamps, verified_at, and especially the account status-change log and transaction_id — which are To-Be-Verified or Proposed. These are the prerequisites for a full activation funnel and churn analysis, and are carried in the Source &amp; Verification Register (#19) and the Coverage Matrix (#3).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2026-10-21T18:45:51.106Z</dcterms:created>
  <dcterms:modified xsi:type="dcterms:W3CDTF">2026-10-21T18:45:51.117Z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