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VELOOP REWARDS</w:t>
      </w:r>
    </w:p>
    <w:p>
      <w:pPr>
        <w:spacing w:after="40"/>
        <w:jc w:val="center"/>
      </w:pPr>
      <w:r>
        <w:rPr>
          <w:b/>
          <w:bCs/>
          <w:color w:val="2E5E8C"/>
          <w:sz w:val="25"/>
          <w:szCs w:val="25"/>
        </w:rPr>
        <w:t xml:space="preserve">Deliverable 16 — Data Pipeline &amp; Operating Model</w:t>
      </w:r>
    </w:p>
    <w:p>
      <w:pPr>
        <w:spacing w:after="170"/>
        <w:jc w:val="center"/>
      </w:pPr>
      <w:r>
        <w:rPr>
          <w:color w:val="555555"/>
          <w:sz w:val="20"/>
          <w:szCs w:val="20"/>
        </w:rPr>
        <w:t xml:space="preserve">Data Analyst Internship — Task 01 (Work Package O)  ·  Jiya Tejwani  ·  2026-10-23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CF" w:color="auto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7D6608"/>
                <w:sz w:val="18"/>
                <w:szCs w:val="18"/>
              </w:rPr>
              <w:t xml:space="preserve">DATA AUTHENTICITY NOTICE — Based on SIMULATED / FICTIONAL data. No figure here represents actual VELOOP users, earnings, withdrawals, revenue, retention or performance. Proposed structures do not exist yet; unverified facts are marked To-Be-Verified.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1. Objective &amp; Principle</w:t>
      </w:r>
    </w:p>
    <w:p>
      <w:pPr>
        <w:spacing w:after="110"/>
      </w:pPr>
      <w:r>
        <w:rPr>
          <w:sz w:val="21"/>
          <w:szCs w:val="21"/>
        </w:rPr>
        <w:t xml:space="preserve">Design a practical analytics flow for a developing product. The guiding principle is right-sizing: do not recommend expensive infrastructure because it sounds professional. The architecture below is lean enough for VELOOP's current stage and scales only where justified by real volume.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2. Architecture</w:t>
      </w:r>
    </w:p>
    <w:p>
      <w:pPr>
        <w:spacing w:after="40" w:before="40"/>
        <w:jc w:val="center"/>
      </w:pPr>
      <w:r>
        <w:drawing>
          <wp:inline distT="0" distB="0" distL="0" distR="0">
            <wp:extent cx="61912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3. Stage-by-Stage Documentation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360"/>
        <w:gridCol w:w="12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6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36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Practical approach (right-sized)</w:t>
            </w:r>
          </w:p>
        </w:tc>
        <w:tc>
          <w:tcPr>
            <w:tcW w:type="dxa" w:w="12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Source systems / event producers</w:t>
            </w:r>
          </w:p>
        </w:tc>
        <w:tc>
          <w:tcPr>
            <w:tcW w:type="dxa" w:w="26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app and backend services emit events via a lightweight SDK</w:t>
            </w:r>
          </w:p>
        </w:tc>
        <w:tc>
          <w:tcPr>
            <w:tcW w:type="dxa" w:w="3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Thin client + server SDK; no heavyweight agent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6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 ingestion endpoint receives events</w:t>
            </w:r>
          </w:p>
        </w:tc>
        <w:tc>
          <w:tcPr>
            <w:tcW w:type="dxa" w:w="3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single managed ingestion API; batch where possible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</w:tr>
      <w:tr>
        <w:tc>
          <w:tcPr>
            <w:tcW w:type="dxa" w:w="1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Raw data storage</w:t>
            </w:r>
          </w:p>
        </w:tc>
        <w:tc>
          <w:tcPr>
            <w:tcW w:type="dxa" w:w="26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Immutable landing zone for raw events</w:t>
            </w:r>
          </w:p>
        </w:tc>
        <w:tc>
          <w:tcPr>
            <w:tcW w:type="dxa" w:w="3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Cheap object storage (append-only), partitioned by date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Eng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6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Quality controls applied before modelling</w:t>
            </w:r>
          </w:p>
        </w:tc>
        <w:tc>
          <w:tcPr>
            <w:tcW w:type="dxa" w:w="3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WP-L control framework at ingestion (schema, dedup, enums)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/ Eng</w:t>
            </w:r>
          </w:p>
        </w:tc>
      </w:tr>
      <w:tr>
        <w:tc>
          <w:tcPr>
            <w:tcW w:type="dxa" w:w="1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Transformation</w:t>
            </w:r>
          </w:p>
        </w:tc>
        <w:tc>
          <w:tcPr>
            <w:tcW w:type="dxa" w:w="26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Clean, deduplicate, model into entities</w:t>
            </w:r>
          </w:p>
        </w:tc>
        <w:tc>
          <w:tcPr>
            <w:tcW w:type="dxa" w:w="3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SQL / dbt-style models; no bespoke engine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Analytical layer</w:t>
            </w:r>
          </w:p>
        </w:tc>
        <w:tc>
          <w:tcPr>
            <w:tcW w:type="dxa" w:w="26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Modelled tables &amp; marts for querying</w:t>
            </w:r>
          </w:p>
        </w:tc>
        <w:tc>
          <w:tcPr>
            <w:tcW w:type="dxa" w:w="3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One analytical warehouse (start small, scale on volume)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Eng</w:t>
            </w:r>
          </w:p>
        </w:tc>
      </w:tr>
      <w:tr>
        <w:tc>
          <w:tcPr>
            <w:tcW w:type="dxa" w:w="1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/ BI</w:t>
            </w:r>
          </w:p>
        </w:tc>
        <w:tc>
          <w:tcPr>
            <w:tcW w:type="dxa" w:w="26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Serves the dashboards (#14)</w:t>
            </w:r>
          </w:p>
        </w:tc>
        <w:tc>
          <w:tcPr>
            <w:tcW w:type="dxa" w:w="3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single BI tool reading the analytical layer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</w:tr>
      <w:tr>
        <w:tc>
          <w:tcPr>
            <w:tcW w:type="dxa" w:w="1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reporting</w:t>
            </w:r>
          </w:p>
        </w:tc>
        <w:tc>
          <w:tcPr>
            <w:tcW w:type="dxa" w:w="26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Scheduled reports for stakeholders</w:t>
            </w:r>
          </w:p>
        </w:tc>
        <w:tc>
          <w:tcPr>
            <w:tcW w:type="dxa" w:w="3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Generated from the same marts; no duplicate logic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</w:tr>
    </w:tbl>
    <w:p>
      <w:pPr>
        <w:spacing w:after="110"/>
      </w:pPr>
    </w:p>
    <w:p>
      <w:pPr>
        <w:pStyle w:val="Heading2"/>
        <w:spacing w:after="65" w:before="150"/>
      </w:pPr>
      <w:r>
        <w:rPr>
          <w:b/>
          <w:bCs/>
          <w:color w:val="2E5E8C"/>
          <w:sz w:val="22"/>
          <w:szCs w:val="22"/>
        </w:rPr>
        <w:t xml:space="preserve">Refresh</w:t>
      </w:r>
    </w:p>
    <w:p>
      <w:pPr>
        <w:spacing w:after="110"/>
      </w:pPr>
      <w:r>
        <w:rPr>
          <w:sz w:val="21"/>
          <w:szCs w:val="21"/>
        </w:rPr>
        <w:t xml:space="preserve">Daily batch is sufficient for the current stage; move specific high-value events (e.g. withdrawals) to near-real-time only when payout monitoring justifies it. Dashboards state their own refresh cadence (see #14).</w:t>
      </w:r>
    </w:p>
    <w:p>
      <w:pPr>
        <w:pStyle w:val="Heading2"/>
        <w:spacing w:after="65" w:before="150"/>
      </w:pPr>
      <w:r>
        <w:rPr>
          <w:b/>
          <w:bCs/>
          <w:color w:val="2E5E8C"/>
          <w:sz w:val="22"/>
          <w:szCs w:val="22"/>
        </w:rPr>
        <w:t xml:space="preserve">Monitoring &amp; failure handling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Freshness and row-count monitors per dataset, compared to a rolling baseline.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A dead-letter queue for events that fail validation, so nothing is silently dropped.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Alerts to the owning team on failures; dashboard refresh holds if an upstream check fails, rather than publishing bad data.</w:t>
      </w:r>
    </w:p>
    <w:p>
      <w:pPr>
        <w:pStyle w:val="Heading2"/>
        <w:spacing w:after="65" w:before="150"/>
      </w:pPr>
      <w:r>
        <w:rPr>
          <w:b/>
          <w:bCs/>
          <w:color w:val="2E5E8C"/>
          <w:sz w:val="22"/>
          <w:szCs w:val="22"/>
        </w:rPr>
        <w:t xml:space="preserve">Ownership (operating model)</w:t>
      </w:r>
    </w:p>
    <w:p>
      <w:pPr>
        <w:spacing w:after="110"/>
      </w:pPr>
      <w:r>
        <w:rPr>
          <w:sz w:val="21"/>
          <w:szCs w:val="21"/>
        </w:rPr>
        <w:t xml:space="preserve">Engineering owns event production and collection; Data Engineering owns storage, validation and the analytical layer; Analytics owns the dashboards and reporting. Each stage has a single accountable owner (table above) so failures have a clear escalation path.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0929e474510454eee61539b9691e84ce03873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2026-10-23T16:58:05.969Z</dcterms:created>
  <dcterms:modified xsi:type="dcterms:W3CDTF">2026-10-23T16:58:05.975Z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