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A5F"/>
          <w:sz w:val="40"/>
          <w:szCs w:val="40"/>
        </w:rPr>
        <w:t xml:space="preserve">VELOOP REWARDS</w:t>
      </w:r>
    </w:p>
    <w:p>
      <w:pPr>
        <w:spacing w:after="40"/>
        <w:jc w:val="center"/>
      </w:pPr>
      <w:r>
        <w:rPr>
          <w:b/>
          <w:bCs/>
          <w:color w:val="2E5E8C"/>
          <w:sz w:val="25"/>
          <w:szCs w:val="25"/>
        </w:rPr>
        <w:t xml:space="preserve">Deliverable 17 — Data Access, Privacy &amp; Governance</w:t>
      </w:r>
    </w:p>
    <w:p>
      <w:pPr>
        <w:spacing w:after="170"/>
        <w:jc w:val="center"/>
      </w:pPr>
      <w:r>
        <w:rPr>
          <w:color w:val="555555"/>
          <w:sz w:val="20"/>
          <w:szCs w:val="20"/>
        </w:rPr>
        <w:t xml:space="preserve">Data Analyst Internship — Task 01 (Work Package P)  ·  Jiya Tejwani  ·  2026-10-23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CF3CF" w:color="auto" w:val="clear"/>
            <w:tcMar>
              <w:top w:type="dxa" w:w="95"/>
              <w:left w:type="dxa" w:w="150"/>
              <w:bottom w:type="dxa" w:w="95"/>
              <w:right w:type="dxa" w:w="150"/>
            </w:tcMar>
          </w:tcPr>
          <w:p>
            <w:r>
              <w:rPr>
                <w:b/>
                <w:bCs/>
                <w:color w:val="7D6608"/>
                <w:sz w:val="18"/>
                <w:szCs w:val="18"/>
              </w:rPr>
              <w:t xml:space="preserve">DATA AUTHENTICITY NOTICE — Based on SIMULATED / FICTIONAL data. No figure here represents actual VELOOP users, earnings, withdrawals, revenue, retention or performance. Proposed structures do not exist yet; unverified facts are marked To-Be-Verified.</w:t>
            </w:r>
          </w:p>
        </w:tc>
      </w:tr>
    </w:tbl>
    <w:p>
      <w:pPr>
        <w:spacing w:after="110"/>
      </w:pPr>
    </w:p>
    <w:p>
      <w:pPr>
        <w:pStyle w:val="Heading1"/>
        <w:spacing w:after="110" w:before="240"/>
      </w:pPr>
      <w:r>
        <w:rPr>
          <w:b/>
          <w:bCs/>
          <w:color w:val="1F3A5F"/>
          <w:sz w:val="27"/>
          <w:szCs w:val="27"/>
        </w:rPr>
        <w:t xml:space="preserve">1. Objective</w:t>
      </w:r>
    </w:p>
    <w:p>
      <w:pPr>
        <w:spacing w:after="110"/>
      </w:pPr>
      <w:r>
        <w:rPr>
          <w:sz w:val="21"/>
          <w:szCs w:val="21"/>
        </w:rPr>
        <w:t xml:space="preserve">Define a basic access model and the data-handling rules that keep analytics useful without over-exposing sensitive information. VELOOP analytics should run on identifiers and analytical attributes, not on raw personal data.</w:t>
      </w:r>
    </w:p>
    <w:p>
      <w:pPr>
        <w:pStyle w:val="Heading1"/>
        <w:spacing w:after="110" w:before="240"/>
      </w:pPr>
      <w:r>
        <w:rPr>
          <w:b/>
          <w:bCs/>
          <w:color w:val="1F3A5F"/>
          <w:sz w:val="27"/>
          <w:szCs w:val="27"/>
        </w:rPr>
        <w:t xml:space="preserve">2. Access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00"/>
        <w:gridCol w:w="2900"/>
        <w:gridCol w:w="2360"/>
      </w:tblGrid>
      <w:tr>
        <w:trPr>
          <w:tblHeader/>
        </w:trPr>
        <w:tc>
          <w:tcPr>
            <w:tcW w:type="dxa" w:w="1700"/>
            <w:shd w:fill="1F3A5F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2400"/>
            <w:shd w:fill="1F3A5F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Access level</w:t>
            </w:r>
          </w:p>
        </w:tc>
        <w:tc>
          <w:tcPr>
            <w:tcW w:type="dxa" w:w="2900"/>
            <w:shd w:fill="1F3A5F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May see</w:t>
            </w:r>
          </w:p>
        </w:tc>
        <w:tc>
          <w:tcPr>
            <w:tcW w:type="dxa" w:w="2360"/>
            <w:shd w:fill="1F3A5F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Must not see</w:t>
            </w:r>
          </w:p>
        </w:tc>
      </w:tr>
      <w:tr>
        <w:tc>
          <w:tcPr>
            <w:tcW w:type="dxa" w:w="170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Engineering</w:t>
            </w:r>
          </w:p>
        </w:tc>
        <w:tc>
          <w:tcPr>
            <w:tcW w:type="dxa" w:w="240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Technical implementation</w:t>
            </w:r>
          </w:p>
        </w:tc>
        <w:tc>
          <w:tcPr>
            <w:tcW w:type="dxa" w:w="290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Event schemas, raw/validated data for debugging</w:t>
            </w:r>
          </w:p>
        </w:tc>
        <w:tc>
          <w:tcPr>
            <w:tcW w:type="dxa" w:w="236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Analytical PII beyond operational need</w:t>
            </w:r>
          </w:p>
        </w:tc>
      </w:tr>
      <w:tr>
        <w:tc>
          <w:tcPr>
            <w:tcW w:type="dxa" w:w="170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Data Analyst</w:t>
            </w:r>
          </w:p>
        </w:tc>
        <w:tc>
          <w:tcPr>
            <w:tcW w:type="dxa" w:w="240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Approved analytical datasets</w:t>
            </w:r>
          </w:p>
        </w:tc>
        <w:tc>
          <w:tcPr>
            <w:tcW w:type="dxa" w:w="290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IDs + analytical attributes (no raw PII)</w:t>
            </w:r>
          </w:p>
        </w:tc>
        <w:tc>
          <w:tcPr>
            <w:tcW w:type="dxa" w:w="236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Raw personal data, credentials</w:t>
            </w:r>
          </w:p>
        </w:tc>
      </w:tr>
      <w:tr>
        <w:tc>
          <w:tcPr>
            <w:tcW w:type="dxa" w:w="170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Product / Operations</w:t>
            </w:r>
          </w:p>
        </w:tc>
        <w:tc>
          <w:tcPr>
            <w:tcW w:type="dxa" w:w="240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Aggregated business reporting</w:t>
            </w:r>
          </w:p>
        </w:tc>
        <w:tc>
          <w:tcPr>
            <w:tcW w:type="dxa" w:w="290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Aggregated metrics &amp; dashboards</w:t>
            </w:r>
          </w:p>
        </w:tc>
        <w:tc>
          <w:tcPr>
            <w:tcW w:type="dxa" w:w="236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Row-level personal data</w:t>
            </w:r>
          </w:p>
        </w:tc>
      </w:tr>
      <w:tr>
        <w:tc>
          <w:tcPr>
            <w:tcW w:type="dxa" w:w="170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Content Team</w:t>
            </w:r>
          </w:p>
        </w:tc>
        <w:tc>
          <w:tcPr>
            <w:tcW w:type="dxa" w:w="240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Aggregated content performance</w:t>
            </w:r>
          </w:p>
        </w:tc>
        <w:tc>
          <w:tcPr>
            <w:tcW w:type="dxa" w:w="290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Content/feature engagement aggregates</w:t>
            </w:r>
          </w:p>
        </w:tc>
        <w:tc>
          <w:tcPr>
            <w:tcW w:type="dxa" w:w="236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Individual user records</w:t>
            </w:r>
          </w:p>
        </w:tc>
      </w:tr>
      <w:tr>
        <w:tc>
          <w:tcPr>
            <w:tcW w:type="dxa" w:w="170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Intern</w:t>
            </w:r>
          </w:p>
        </w:tc>
        <w:tc>
          <w:tcPr>
            <w:tcW w:type="dxa" w:w="240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Sanitised datasets only</w:t>
            </w:r>
          </w:p>
        </w:tc>
        <w:tc>
          <w:tcPr>
            <w:tcW w:type="dxa" w:w="290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Approved, de-identified analytical extracts</w:t>
            </w:r>
          </w:p>
        </w:tc>
        <w:tc>
          <w:tcPr>
            <w:tcW w:type="dxa" w:w="236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Any restricted or raw PII</w:t>
            </w:r>
          </w:p>
        </w:tc>
      </w:tr>
    </w:tbl>
    <w:p>
      <w:pPr>
        <w:spacing w:after="110"/>
      </w:pPr>
    </w:p>
    <w:p>
      <w:pPr>
        <w:pStyle w:val="Heading1"/>
        <w:spacing w:after="110" w:before="240"/>
      </w:pPr>
      <w:r>
        <w:rPr>
          <w:b/>
          <w:bCs/>
          <w:color w:val="1F3A5F"/>
          <w:sz w:val="27"/>
          <w:szCs w:val="27"/>
        </w:rPr>
        <w:t xml:space="preserve">3. Data Sensitivity Tiers</w:t>
      </w:r>
    </w:p>
    <w:p>
      <w:pPr>
        <w:spacing w:after="110"/>
      </w:pPr>
      <w:r>
        <w:rPr>
          <w:sz w:val="21"/>
          <w:szCs w:val="21"/>
        </w:rPr>
        <w:t xml:space="preserve">Every field in the Data Dictionary (#9) carries a sensitivity tier, enforced by the access model above:</w:t>
      </w:r>
    </w:p>
    <w:p>
      <w:pPr>
        <w:pStyle w:val="ListParagraph"/>
        <w:numPr>
          <w:ilvl w:val="0"/>
          <w:numId w:val="2"/>
        </w:numPr>
        <w:spacing w:after="46"/>
      </w:pPr>
      <w:r>
        <w:rPr>
          <w:sz w:val="21"/>
          <w:szCs w:val="21"/>
        </w:rPr>
        <w:t xml:space="preserve">Public — shareable, non-identifying (e.g. aggregate counts).</w:t>
      </w:r>
    </w:p>
    <w:p>
      <w:pPr>
        <w:pStyle w:val="ListParagraph"/>
        <w:numPr>
          <w:ilvl w:val="0"/>
          <w:numId w:val="2"/>
        </w:numPr>
        <w:spacing w:after="46"/>
      </w:pPr>
      <w:r>
        <w:rPr>
          <w:sz w:val="21"/>
          <w:szCs w:val="21"/>
        </w:rPr>
        <w:t xml:space="preserve">Internal — analytical attributes, no direct PII (e.g. acquisition_source, account_status). The default for analytics.</w:t>
      </w:r>
    </w:p>
    <w:p>
      <w:pPr>
        <w:pStyle w:val="ListParagraph"/>
        <w:numPr>
          <w:ilvl w:val="0"/>
          <w:numId w:val="2"/>
        </w:numPr>
        <w:spacing w:after="46"/>
      </w:pPr>
      <w:r>
        <w:rPr>
          <w:sz w:val="21"/>
          <w:szCs w:val="21"/>
        </w:rPr>
        <w:t xml:space="preserve">Restricted — PII or financial (e.g. full_name, email, payout amounts). Access-controlled; excluded from general analytical datasets.</w:t>
      </w:r>
    </w:p>
    <w:p>
      <w:pPr>
        <w:pStyle w:val="Heading1"/>
        <w:spacing w:after="110" w:before="240"/>
      </w:pPr>
      <w:r>
        <w:rPr>
          <w:b/>
          <w:bCs/>
          <w:color w:val="1F3A5F"/>
          <w:sz w:val="27"/>
          <w:szCs w:val="27"/>
        </w:rPr>
        <w:t xml:space="preserve">4. Information That Must Not Be Exposed</w:t>
      </w:r>
    </w:p>
    <w:p>
      <w:pPr>
        <w:spacing w:after="110"/>
      </w:pPr>
      <w:r>
        <w:rPr>
          <w:sz w:val="21"/>
          <w:szCs w:val="21"/>
        </w:rPr>
        <w:t xml:space="preserve">The following are never collected into analytics, never logged in events, and never requested:</w:t>
      </w:r>
    </w:p>
    <w:p>
      <w:pPr>
        <w:pStyle w:val="ListParagraph"/>
        <w:numPr>
          <w:ilvl w:val="0"/>
          <w:numId w:val="2"/>
        </w:numPr>
        <w:spacing w:after="46"/>
      </w:pPr>
      <w:r>
        <w:rPr>
          <w:sz w:val="21"/>
          <w:szCs w:val="21"/>
        </w:rPr>
        <w:t xml:space="preserve">passwords</w:t>
      </w:r>
    </w:p>
    <w:p>
      <w:pPr>
        <w:pStyle w:val="ListParagraph"/>
        <w:numPr>
          <w:ilvl w:val="0"/>
          <w:numId w:val="2"/>
        </w:numPr>
        <w:spacing w:after="46"/>
      </w:pPr>
      <w:r>
        <w:rPr>
          <w:sz w:val="21"/>
          <w:szCs w:val="21"/>
        </w:rPr>
        <w:t xml:space="preserve">authentication secrets</w:t>
      </w:r>
    </w:p>
    <w:p>
      <w:pPr>
        <w:pStyle w:val="ListParagraph"/>
        <w:numPr>
          <w:ilvl w:val="0"/>
          <w:numId w:val="2"/>
        </w:numPr>
        <w:spacing w:after="46"/>
      </w:pPr>
      <w:r>
        <w:rPr>
          <w:sz w:val="21"/>
          <w:szCs w:val="21"/>
        </w:rPr>
        <w:t xml:space="preserve">API keys</w:t>
      </w:r>
    </w:p>
    <w:p>
      <w:pPr>
        <w:pStyle w:val="ListParagraph"/>
        <w:numPr>
          <w:ilvl w:val="0"/>
          <w:numId w:val="2"/>
        </w:numPr>
        <w:spacing w:after="46"/>
      </w:pPr>
      <w:r>
        <w:rPr>
          <w:sz w:val="21"/>
          <w:szCs w:val="21"/>
        </w:rPr>
        <w:t xml:space="preserve">payment credentials</w:t>
      </w:r>
    </w:p>
    <w:p>
      <w:pPr>
        <w:pStyle w:val="ListParagraph"/>
        <w:numPr>
          <w:ilvl w:val="0"/>
          <w:numId w:val="2"/>
        </w:numPr>
        <w:spacing w:after="46"/>
      </w:pPr>
      <w:r>
        <w:rPr>
          <w:sz w:val="21"/>
          <w:szCs w:val="21"/>
        </w:rPr>
        <w:t xml:space="preserve">private credentials</w:t>
      </w:r>
    </w:p>
    <w:p>
      <w:pPr>
        <w:pStyle w:val="ListParagraph"/>
        <w:numPr>
          <w:ilvl w:val="0"/>
          <w:numId w:val="2"/>
        </w:numPr>
        <w:spacing w:after="46"/>
      </w:pPr>
      <w:r>
        <w:rPr>
          <w:sz w:val="21"/>
          <w:szCs w:val="21"/>
        </w:rPr>
        <w:t xml:space="preserve">sensitive security controls</w:t>
      </w:r>
    </w:p>
    <w:p>
      <w:pPr>
        <w:spacing w:after="110"/>
        <w:rPr>
          <w:i/>
          <w:iCs/>
          <w:color w:val="555555"/>
          <w:sz w:val="18"/>
          <w:szCs w:val="18"/>
        </w:rPr>
      </w:pPr>
      <w:r>
        <w:rPr>
          <w:i/>
          <w:iCs/>
          <w:color w:val="555555"/>
          <w:sz w:val="18"/>
          <w:szCs w:val="18"/>
        </w:rPr>
        <w:t xml:space="preserve">No confidential security mechanisms or fraud thresholds are invented or documented (per the integrity rules).</w:t>
      </w:r>
    </w:p>
    <w:p>
      <w:pPr>
        <w:pStyle w:val="Heading1"/>
        <w:spacing w:after="110" w:before="240"/>
      </w:pPr>
      <w:r>
        <w:rPr>
          <w:b/>
          <w:bCs/>
          <w:color w:val="1F3A5F"/>
          <w:sz w:val="27"/>
          <w:szCs w:val="27"/>
        </w:rPr>
        <w:t xml:space="preserve">5. Minimal Personal Data &amp; Consent</w:t>
      </w:r>
    </w:p>
    <w:p>
      <w:pPr>
        <w:spacing w:after="110"/>
      </w:pPr>
      <w:r>
        <w:rPr>
          <w:sz w:val="21"/>
          <w:szCs w:val="21"/>
        </w:rPr>
        <w:t xml:space="preserve">Analytics uses a stable user_id plus analytical attributes, never identifying content. full_name and email are Restricted and used only for account function and verification. Processing is gated by consent_status, and marketing eligibility follows marketing_opt_in. No unnecessary personal-data fields are added.</w:t>
      </w:r>
    </w:p>
    <w:p>
      <w:pPr>
        <w:pStyle w:val="Heading1"/>
        <w:spacing w:after="110" w:before="240"/>
      </w:pPr>
      <w:r>
        <w:rPr>
          <w:b/>
          <w:bCs/>
          <w:color w:val="1F3A5F"/>
          <w:sz w:val="27"/>
          <w:szCs w:val="27"/>
        </w:rPr>
        <w:t xml:space="preserve">6. Data Quality Governance</w:t>
      </w:r>
    </w:p>
    <w:p>
      <w:pPr>
        <w:spacing w:after="110"/>
      </w:pPr>
      <w:r>
        <w:rPr>
          <w:sz w:val="21"/>
          <w:szCs w:val="21"/>
        </w:rPr>
        <w:t xml:space="preserve">The Data Quality Control Framework (Work Package L) defines where each quality rule is enforced across the pipeline, and the Change Log (Work Package Q) records every analytics change — together these form the ongoing governance of trust in the data.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4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2026-10-23T16:58:06.113Z</dcterms:created>
  <dcterms:modified xsi:type="dcterms:W3CDTF">2026-10-23T16:58:06.113Z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