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3A5F"/>
          <w:sz w:val="40"/>
          <w:szCs w:val="40"/>
        </w:rPr>
        <w:t xml:space="preserve">VELOOP REWARDS</w:t>
      </w:r>
    </w:p>
    <w:p>
      <w:pPr>
        <w:spacing w:after="40"/>
        <w:jc w:val="center"/>
      </w:pPr>
      <w:r>
        <w:rPr>
          <w:b/>
          <w:bCs/>
          <w:color w:val="2E5E8C"/>
          <w:sz w:val="25"/>
          <w:szCs w:val="25"/>
        </w:rPr>
        <w:t xml:space="preserve">Deliverable 21 — Final Consolidated Report</w:t>
      </w:r>
    </w:p>
    <w:p>
      <w:pPr>
        <w:spacing w:after="170"/>
        <w:jc w:val="center"/>
      </w:pPr>
      <w:r>
        <w:rPr>
          <w:color w:val="555555"/>
          <w:sz w:val="20"/>
          <w:szCs w:val="20"/>
        </w:rPr>
        <w:t xml:space="preserve">Data Analyst Internship — Task 01  ·  Jiya Tejwani  ·  2026-10-23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CF3CF" w:color="auto" w:val="clear"/>
            <w:tcMar>
              <w:top w:type="dxa" w:w="95"/>
              <w:left w:type="dxa" w:w="150"/>
              <w:bottom w:type="dxa" w:w="95"/>
              <w:right w:type="dxa" w:w="150"/>
            </w:tcMar>
          </w:tcPr>
          <w:p>
            <w:r>
              <w:rPr>
                <w:b/>
                <w:bCs/>
                <w:color w:val="7D6608"/>
                <w:sz w:val="18"/>
                <w:szCs w:val="18"/>
              </w:rPr>
              <w:t xml:space="preserve">DATA AUTHENTICITY NOTICE — Based on SIMULATED / FICTIONAL data. No figure here represents actual VELOOP users, earnings, withdrawals, revenue, retention or performance. Proposed structures do not exist yet; unverified facts are marked To-Be-Verified.</w:t>
            </w:r>
          </w:p>
        </w:tc>
      </w:tr>
    </w:tbl>
    <w:p>
      <w:pPr>
        <w:spacing w:after="110"/>
      </w:pPr>
    </w:p>
    <w:p>
      <w:pPr>
        <w:pStyle w:val="Heading1"/>
        <w:spacing w:after="110" w:before="240"/>
      </w:pPr>
      <w:r>
        <w:rPr>
          <w:b/>
          <w:bCs/>
          <w:color w:val="1F3A5F"/>
          <w:sz w:val="27"/>
          <w:szCs w:val="27"/>
        </w:rPr>
        <w:t xml:space="preserve">1. Introduction</w:t>
      </w:r>
    </w:p>
    <w:p>
      <w:pPr>
        <w:spacing w:after="110"/>
      </w:pPr>
      <w:r>
        <w:rPr>
          <w:sz w:val="21"/>
          <w:szCs w:val="21"/>
        </w:rPr>
        <w:t xml:space="preserve">This report consolidates the VELOOP Rewards Product Analytics, Data Readiness &amp; Data Management Blueprint. VELOOP is a developing rewards-and-engagement product without the production data volume required for conventional analysis; the objective of this project is to build a reliable, traceable and reusable analytical foundation so that meaningful analysis is possible once real production activity exists. It answers: what should VELOOP collect, how should it be structured, how do we know it is trustworthy, what should management measure, what should engineering implement, and what should the future analytics team be able to see.</w:t>
      </w:r>
    </w:p>
    <w:p>
      <w:pPr>
        <w:pStyle w:val="Heading1"/>
        <w:spacing w:after="110" w:before="240"/>
      </w:pPr>
      <w:r>
        <w:rPr>
          <w:b/>
          <w:bCs/>
          <w:color w:val="1F3A5F"/>
          <w:sz w:val="27"/>
          <w:szCs w:val="27"/>
        </w:rPr>
        <w:t xml:space="preserve">2. Method &amp; Integrity Discipline</w:t>
      </w:r>
    </w:p>
    <w:p>
      <w:pPr>
        <w:spacing w:after="110"/>
      </w:pPr>
      <w:r>
        <w:rPr>
          <w:sz w:val="21"/>
          <w:szCs w:val="21"/>
        </w:rPr>
        <w:t xml:space="preserve">Both supplied workbooks were profiled programmatically; every conclusion traces to that profiling, to the task brief, or to a documented assumption. All simulated data is labelled as such throughout, and no fictional figure is presented as an actual VELOOP result. Facts, assumptions, proposed requirements and simulated data are kept distinct — Confirmed, To-Be-Verified and Proposed — and unknowns are recorded in the Source &amp; Verification Register rather than guessed.</w:t>
      </w:r>
    </w:p>
    <w:p>
      <w:pPr>
        <w:pStyle w:val="Heading1"/>
        <w:spacing w:after="110" w:before="240"/>
      </w:pPr>
      <w:r>
        <w:rPr>
          <w:b/>
          <w:bCs/>
          <w:color w:val="1F3A5F"/>
          <w:sz w:val="27"/>
          <w:szCs w:val="27"/>
        </w:rPr>
        <w:t xml:space="preserve">3. Key Findings</w:t>
      </w:r>
    </w:p>
    <w:p>
      <w:pPr>
        <w:pStyle w:val="ListParagraph"/>
        <w:numPr>
          <w:ilvl w:val="0"/>
          <w:numId w:val="2"/>
        </w:numPr>
        <w:spacing w:after="46"/>
      </w:pPr>
      <w:r>
        <w:rPr>
          <w:sz w:val="21"/>
          <w:szCs w:val="21"/>
        </w:rPr>
        <w:t xml:space="preserve">The two supplied files are different simulated populations and cannot be joined on user_id.</w:t>
      </w:r>
    </w:p>
    <w:p>
      <w:pPr>
        <w:pStyle w:val="ListParagraph"/>
        <w:numPr>
          <w:ilvl w:val="0"/>
          <w:numId w:val="2"/>
        </w:numPr>
        <w:spacing w:after="46"/>
      </w:pPr>
      <w:r>
        <w:rPr>
          <w:sz w:val="21"/>
          <w:szCs w:val="21"/>
        </w:rPr>
        <w:t xml:space="preserve">The entire monetisation layer (rewards ledger, wallet, withdrawals, referrals) is absent, and no monetary amount field exists; 7 of 20 sampled KPIs are computable today.</w:t>
      </w:r>
    </w:p>
    <w:p>
      <w:pPr>
        <w:pStyle w:val="ListParagraph"/>
        <w:numPr>
          <w:ilvl w:val="0"/>
          <w:numId w:val="2"/>
        </w:numPr>
        <w:spacing w:after="46"/>
      </w:pPr>
      <w:r>
        <w:rPr>
          <w:sz w:val="21"/>
          <w:szCs w:val="21"/>
        </w:rPr>
        <w:t xml:space="preserve">The behavioural data is internally consistent (zero orphan keys) and deliberately realistic — failures, pending, inactive users and injected quality defects are all present and surfaced.</w:t>
      </w:r>
    </w:p>
    <w:p>
      <w:pPr>
        <w:pStyle w:val="Heading1"/>
        <w:spacing w:after="110" w:before="240"/>
      </w:pPr>
      <w:r>
        <w:rPr>
          <w:b/>
          <w:bCs/>
          <w:color w:val="1F3A5F"/>
          <w:sz w:val="27"/>
          <w:szCs w:val="27"/>
        </w:rPr>
        <w:t xml:space="preserve">4. Readiness Verdict</w:t>
      </w:r>
    </w:p>
    <w:p>
      <w:pPr>
        <w:spacing w:after="110"/>
      </w:pPr>
      <w:r>
        <w:rPr>
          <w:sz w:val="21"/>
          <w:szCs w:val="21"/>
        </w:rPr>
        <w:t xml:space="preserve">The analytical foundation — product mapping (30 areas), 38 events, a 121-field dictionary, a 10-entity model, 37 KPIs, profiling, quality audit and a live dashboard — is complete and ready by design. Readiness classifies as 7 areas Confirmed, 8 To-Be-Verified and 15 Proposed. The gap is production instrumentation and the monetisation data, detailed in the Readiness Assessment (#18).</w:t>
      </w:r>
    </w:p>
    <w:p>
      <w:pPr>
        <w:pStyle w:val="Heading1"/>
        <w:spacing w:after="110" w:before="240"/>
      </w:pPr>
      <w:r>
        <w:rPr>
          <w:b/>
          <w:bCs/>
          <w:color w:val="1F3A5F"/>
          <w:sz w:val="27"/>
          <w:szCs w:val="27"/>
        </w:rPr>
        <w:t xml:space="preserve">5. Deliverables Index</w:t>
      </w:r>
    </w:p>
    <w:p>
      <w:pPr>
        <w:spacing w:after="110"/>
      </w:pPr>
      <w:r>
        <w:rPr>
          <w:sz w:val="21"/>
          <w:szCs w:val="21"/>
        </w:rPr>
        <w:t xml:space="preserve">The complete submission, each traceable to its work package:</w:t>
      </w:r>
    </w:p>
    <w:p>
      <w:pPr>
        <w:spacing w:after="30"/>
      </w:pPr>
      <w:r>
        <w:rPr>
          <w:b/>
          <w:bCs/>
          <w:color w:val="1F3A5F"/>
          <w:sz w:val="20"/>
          <w:szCs w:val="20"/>
        </w:rPr>
        <w:t xml:space="preserve">01 — </w:t>
      </w:r>
      <w:r>
        <w:rPr>
          <w:b/>
          <w:bCs/>
          <w:sz w:val="20"/>
          <w:szCs w:val="20"/>
        </w:rPr>
        <w:t xml:space="preserve">Executive Summary — </w:t>
      </w:r>
      <w:r>
        <w:rPr>
          <w:color w:val="444444"/>
          <w:sz w:val="20"/>
          <w:szCs w:val="20"/>
        </w:rPr>
        <w:t xml:space="preserve">2–4 page summary of investigation, findings, unknowns, priorities</w:t>
      </w:r>
    </w:p>
    <w:p>
      <w:pPr>
        <w:spacing w:after="30"/>
      </w:pPr>
      <w:r>
        <w:rPr>
          <w:b/>
          <w:bCs/>
          <w:color w:val="1F3A5F"/>
          <w:sz w:val="20"/>
          <w:szCs w:val="20"/>
        </w:rPr>
        <w:t xml:space="preserve">02 — </w:t>
      </w:r>
      <w:r>
        <w:rPr>
          <w:b/>
          <w:bCs/>
          <w:sz w:val="20"/>
          <w:szCs w:val="20"/>
        </w:rPr>
        <w:t xml:space="preserve">Product Data Audit — </w:t>
      </w:r>
      <w:r>
        <w:rPr>
          <w:color w:val="444444"/>
          <w:sz w:val="20"/>
          <w:szCs w:val="20"/>
        </w:rPr>
        <w:t xml:space="preserve">Readiness narrative — needs vs exists vs gap</w:t>
      </w:r>
    </w:p>
    <w:p>
      <w:pPr>
        <w:spacing w:after="30"/>
      </w:pPr>
      <w:r>
        <w:rPr>
          <w:b/>
          <w:bCs/>
          <w:color w:val="1F3A5F"/>
          <w:sz w:val="20"/>
          <w:szCs w:val="20"/>
        </w:rPr>
        <w:t xml:space="preserve">03 — </w:t>
      </w:r>
      <w:r>
        <w:rPr>
          <w:b/>
          <w:bCs/>
          <w:sz w:val="20"/>
          <w:szCs w:val="20"/>
        </w:rPr>
        <w:t xml:space="preserve">Data Coverage Matrix — </w:t>
      </w:r>
      <w:r>
        <w:rPr>
          <w:color w:val="444444"/>
          <w:sz w:val="20"/>
          <w:szCs w:val="20"/>
        </w:rPr>
        <w:t xml:space="preserve">30 product areas, 15 analytics gaps, priorities</w:t>
      </w:r>
    </w:p>
    <w:p>
      <w:pPr>
        <w:spacing w:after="30"/>
      </w:pPr>
      <w:r>
        <w:rPr>
          <w:b/>
          <w:bCs/>
          <w:color w:val="1F3A5F"/>
          <w:sz w:val="20"/>
          <w:szCs w:val="20"/>
        </w:rPr>
        <w:t xml:space="preserve">04 — </w:t>
      </w:r>
      <w:r>
        <w:rPr>
          <w:b/>
          <w:bCs/>
          <w:sz w:val="20"/>
          <w:szCs w:val="20"/>
        </w:rPr>
        <w:t xml:space="preserve">User &amp; Account Analytics Spec — </w:t>
      </w:r>
      <w:r>
        <w:rPr>
          <w:color w:val="444444"/>
          <w:sz w:val="20"/>
          <w:szCs w:val="20"/>
        </w:rPr>
        <w:t xml:space="preserve">Identity requirements (B1) + field spec (B2)</w:t>
      </w:r>
    </w:p>
    <w:p>
      <w:pPr>
        <w:spacing w:after="30"/>
      </w:pPr>
      <w:r>
        <w:rPr>
          <w:b/>
          <w:bCs/>
          <w:color w:val="1F3A5F"/>
          <w:sz w:val="20"/>
          <w:szCs w:val="20"/>
        </w:rPr>
        <w:t xml:space="preserve">05 — </w:t>
      </w:r>
      <w:r>
        <w:rPr>
          <w:b/>
          <w:bCs/>
          <w:sz w:val="20"/>
          <w:szCs w:val="20"/>
        </w:rPr>
        <w:t xml:space="preserve">Earning &amp; Reward Analytics — </w:t>
      </w:r>
      <w:r>
        <w:rPr>
          <w:color w:val="444444"/>
          <w:sz w:val="20"/>
          <w:szCs w:val="20"/>
        </w:rPr>
        <w:t xml:space="preserve">Task lifecycle, failure classification, reward events, 3rd-party</w:t>
      </w:r>
    </w:p>
    <w:p>
      <w:pPr>
        <w:spacing w:after="30"/>
      </w:pPr>
      <w:r>
        <w:rPr>
          <w:b/>
          <w:bCs/>
          <w:color w:val="1F3A5F"/>
          <w:sz w:val="20"/>
          <w:szCs w:val="20"/>
        </w:rPr>
        <w:t xml:space="preserve">06 — </w:t>
      </w:r>
      <w:r>
        <w:rPr>
          <w:b/>
          <w:bCs/>
          <w:sz w:val="20"/>
          <w:szCs w:val="20"/>
        </w:rPr>
        <w:t xml:space="preserve">Wallet &amp; Withdrawal Analytics — </w:t>
      </w:r>
      <w:r>
        <w:rPr>
          <w:color w:val="444444"/>
          <w:sz w:val="20"/>
          <w:szCs w:val="20"/>
        </w:rPr>
        <w:t xml:space="preserve">Transaction model, withdrawal lifecycle, 10 KPIs</w:t>
      </w:r>
    </w:p>
    <w:p>
      <w:pPr>
        <w:spacing w:after="30"/>
      </w:pPr>
      <w:r>
        <w:rPr>
          <w:b/>
          <w:bCs/>
          <w:color w:val="1F3A5F"/>
          <w:sz w:val="20"/>
          <w:szCs w:val="20"/>
        </w:rPr>
        <w:t xml:space="preserve">07 — </w:t>
      </w:r>
      <w:r>
        <w:rPr>
          <w:b/>
          <w:bCs/>
          <w:sz w:val="20"/>
          <w:szCs w:val="20"/>
        </w:rPr>
        <w:t xml:space="preserve">Referral &amp; Engagement Analytics — </w:t>
      </w:r>
      <w:r>
        <w:rPr>
          <w:color w:val="444444"/>
          <w:sz w:val="20"/>
          <w:szCs w:val="20"/>
        </w:rPr>
        <w:t xml:space="preserve">Referral lifecycle + engagement measurement</w:t>
      </w:r>
    </w:p>
    <w:p>
      <w:pPr>
        <w:spacing w:after="30"/>
      </w:pPr>
      <w:r>
        <w:rPr>
          <w:b/>
          <w:bCs/>
          <w:color w:val="1F3A5F"/>
          <w:sz w:val="20"/>
          <w:szCs w:val="20"/>
        </w:rPr>
        <w:t xml:space="preserve">08 — </w:t>
      </w:r>
      <w:r>
        <w:rPr>
          <w:b/>
          <w:bCs/>
          <w:sz w:val="20"/>
          <w:szCs w:val="20"/>
        </w:rPr>
        <w:t xml:space="preserve">Event Tracking Plan — </w:t>
      </w:r>
      <w:r>
        <w:rPr>
          <w:color w:val="444444"/>
          <w:sz w:val="20"/>
          <w:szCs w:val="20"/>
        </w:rPr>
        <w:t xml:space="preserve">38 events, naming standard, A2/A3 classification</w:t>
      </w:r>
    </w:p>
    <w:p>
      <w:pPr>
        <w:spacing w:after="30"/>
      </w:pPr>
      <w:r>
        <w:rPr>
          <w:b/>
          <w:bCs/>
          <w:color w:val="1F3A5F"/>
          <w:sz w:val="20"/>
          <w:szCs w:val="20"/>
        </w:rPr>
        <w:t xml:space="preserve">09 — </w:t>
      </w:r>
      <w:r>
        <w:rPr>
          <w:b/>
          <w:bCs/>
          <w:sz w:val="20"/>
          <w:szCs w:val="20"/>
        </w:rPr>
        <w:t xml:space="preserve">Data Dictionary — </w:t>
      </w:r>
      <w:r>
        <w:rPr>
          <w:color w:val="444444"/>
          <w:sz w:val="20"/>
          <w:szCs w:val="20"/>
        </w:rPr>
        <w:t xml:space="preserve">121 fields with types, validation, sensitivity, status</w:t>
      </w:r>
    </w:p>
    <w:p>
      <w:pPr>
        <w:spacing w:after="30"/>
      </w:pPr>
      <w:r>
        <w:rPr>
          <w:b/>
          <w:bCs/>
          <w:color w:val="1F3A5F"/>
          <w:sz w:val="20"/>
          <w:szCs w:val="20"/>
        </w:rPr>
        <w:t xml:space="preserve">10 — </w:t>
      </w:r>
      <w:r>
        <w:rPr>
          <w:b/>
          <w:bCs/>
          <w:sz w:val="20"/>
          <w:szCs w:val="20"/>
        </w:rPr>
        <w:t xml:space="preserve">Logical Data Model — </w:t>
      </w:r>
      <w:r>
        <w:rPr>
          <w:color w:val="444444"/>
          <w:sz w:val="20"/>
          <w:szCs w:val="20"/>
        </w:rPr>
        <w:t xml:space="preserve">Entities, keys, relationships + ER diagram</w:t>
      </w:r>
    </w:p>
    <w:p>
      <w:pPr>
        <w:spacing w:after="30"/>
      </w:pPr>
      <w:r>
        <w:rPr>
          <w:b/>
          <w:bCs/>
          <w:color w:val="1F3A5F"/>
          <w:sz w:val="20"/>
          <w:szCs w:val="20"/>
        </w:rPr>
        <w:t xml:space="preserve">11 — </w:t>
      </w:r>
      <w:r>
        <w:rPr>
          <w:b/>
          <w:bCs/>
          <w:sz w:val="20"/>
          <w:szCs w:val="20"/>
        </w:rPr>
        <w:t xml:space="preserve">KPI Catalogue — </w:t>
      </w:r>
      <w:r>
        <w:rPr>
          <w:color w:val="444444"/>
          <w:sz w:val="20"/>
          <w:szCs w:val="20"/>
        </w:rPr>
        <w:t xml:space="preserve">37 reproducible KPIs across 8 domains</w:t>
      </w:r>
    </w:p>
    <w:p>
      <w:pPr>
        <w:spacing w:after="30"/>
      </w:pPr>
      <w:r>
        <w:rPr>
          <w:b/>
          <w:bCs/>
          <w:color w:val="1F3A5F"/>
          <w:sz w:val="20"/>
          <w:szCs w:val="20"/>
        </w:rPr>
        <w:t xml:space="preserve">12 — </w:t>
      </w:r>
      <w:r>
        <w:rPr>
          <w:b/>
          <w:bCs/>
          <w:sz w:val="20"/>
          <w:szCs w:val="20"/>
        </w:rPr>
        <w:t xml:space="preserve">Simulated Data Profiling — </w:t>
      </w:r>
      <w:r>
        <w:rPr>
          <w:color w:val="444444"/>
          <w:sz w:val="20"/>
          <w:szCs w:val="20"/>
        </w:rPr>
        <w:t xml:space="preserve">Profiles, relationship tests, KPI computability</w:t>
      </w:r>
    </w:p>
    <w:p>
      <w:pPr>
        <w:spacing w:after="30"/>
      </w:pPr>
      <w:r>
        <w:rPr>
          <w:b/>
          <w:bCs/>
          <w:color w:val="1F3A5F"/>
          <w:sz w:val="20"/>
          <w:szCs w:val="20"/>
        </w:rPr>
        <w:t xml:space="preserve">13 — </w:t>
      </w:r>
      <w:r>
        <w:rPr>
          <w:b/>
          <w:bCs/>
          <w:sz w:val="20"/>
          <w:szCs w:val="20"/>
        </w:rPr>
        <w:t xml:space="preserve">Data Quality Audit — </w:t>
      </w:r>
      <w:r>
        <w:rPr>
          <w:color w:val="444444"/>
          <w:sz w:val="20"/>
          <w:szCs w:val="20"/>
        </w:rPr>
        <w:t xml:space="preserve">14-issue register with evidence &amp; scorecard</w:t>
      </w:r>
    </w:p>
    <w:p>
      <w:pPr>
        <w:spacing w:after="30"/>
      </w:pPr>
      <w:r>
        <w:rPr>
          <w:b/>
          <w:bCs/>
          <w:color w:val="1F3A5F"/>
          <w:sz w:val="20"/>
          <w:szCs w:val="20"/>
        </w:rPr>
        <w:t xml:space="preserve">14 — </w:t>
      </w:r>
      <w:r>
        <w:rPr>
          <w:b/>
          <w:bCs/>
          <w:sz w:val="20"/>
          <w:szCs w:val="20"/>
        </w:rPr>
        <w:t xml:space="preserve">Dashboard Blueprint — </w:t>
      </w:r>
      <w:r>
        <w:rPr>
          <w:color w:val="444444"/>
          <w:sz w:val="20"/>
          <w:szCs w:val="20"/>
        </w:rPr>
        <w:t xml:space="preserve">Live dashboard + written spec for 7 dashboards</w:t>
      </w:r>
    </w:p>
    <w:p>
      <w:pPr>
        <w:spacing w:after="30"/>
      </w:pPr>
      <w:r>
        <w:rPr>
          <w:b/>
          <w:bCs/>
          <w:color w:val="1F3A5F"/>
          <w:sz w:val="20"/>
          <w:szCs w:val="20"/>
        </w:rPr>
        <w:t xml:space="preserve">15 — </w:t>
      </w:r>
      <w:r>
        <w:rPr>
          <w:b/>
          <w:bCs/>
          <w:sz w:val="20"/>
          <w:szCs w:val="20"/>
        </w:rPr>
        <w:t xml:space="preserve">Developer Analytics Handoff — </w:t>
      </w:r>
      <w:r>
        <w:rPr>
          <w:color w:val="444444"/>
          <w:sz w:val="20"/>
          <w:szCs w:val="20"/>
        </w:rPr>
        <w:t xml:space="preserve">14 critical events with acceptance tests</w:t>
      </w:r>
    </w:p>
    <w:p>
      <w:pPr>
        <w:spacing w:after="30"/>
      </w:pPr>
      <w:r>
        <w:rPr>
          <w:b/>
          <w:bCs/>
          <w:color w:val="1F3A5F"/>
          <w:sz w:val="20"/>
          <w:szCs w:val="20"/>
        </w:rPr>
        <w:t xml:space="preserve">16 — </w:t>
      </w:r>
      <w:r>
        <w:rPr>
          <w:b/>
          <w:bCs/>
          <w:sz w:val="20"/>
          <w:szCs w:val="20"/>
        </w:rPr>
        <w:t xml:space="preserve">Data Pipeline Proposal — </w:t>
      </w:r>
      <w:r>
        <w:rPr>
          <w:color w:val="444444"/>
          <w:sz w:val="20"/>
          <w:szCs w:val="20"/>
        </w:rPr>
        <w:t xml:space="preserve">Right-sized architecture + operating model</w:t>
      </w:r>
    </w:p>
    <w:p>
      <w:pPr>
        <w:spacing w:after="30"/>
      </w:pPr>
      <w:r>
        <w:rPr>
          <w:b/>
          <w:bCs/>
          <w:color w:val="1F3A5F"/>
          <w:sz w:val="20"/>
          <w:szCs w:val="20"/>
        </w:rPr>
        <w:t xml:space="preserve">17 — </w:t>
      </w:r>
      <w:r>
        <w:rPr>
          <w:b/>
          <w:bCs/>
          <w:sz w:val="20"/>
          <w:szCs w:val="20"/>
        </w:rPr>
        <w:t xml:space="preserve">Privacy &amp; Governance — </w:t>
      </w:r>
      <w:r>
        <w:rPr>
          <w:color w:val="444444"/>
          <w:sz w:val="20"/>
          <w:szCs w:val="20"/>
        </w:rPr>
        <w:t xml:space="preserve">Access model, sensitivity tiers, exposure rules</w:t>
      </w:r>
    </w:p>
    <w:p>
      <w:pPr>
        <w:spacing w:after="30"/>
      </w:pPr>
      <w:r>
        <w:rPr>
          <w:b/>
          <w:bCs/>
          <w:color w:val="1F3A5F"/>
          <w:sz w:val="20"/>
          <w:szCs w:val="20"/>
        </w:rPr>
        <w:t xml:space="preserve">18 — </w:t>
      </w:r>
      <w:r>
        <w:rPr>
          <w:b/>
          <w:bCs/>
          <w:sz w:val="20"/>
          <w:szCs w:val="20"/>
        </w:rPr>
        <w:t xml:space="preserve">Analytics Readiness Assessment — </w:t>
      </w:r>
      <w:r>
        <w:rPr>
          <w:color w:val="444444"/>
          <w:sz w:val="20"/>
          <w:szCs w:val="20"/>
        </w:rPr>
        <w:t xml:space="preserve">10-area scorecard with evidence &amp; priority</w:t>
      </w:r>
    </w:p>
    <w:p>
      <w:pPr>
        <w:spacing w:after="30"/>
      </w:pPr>
      <w:r>
        <w:rPr>
          <w:b/>
          <w:bCs/>
          <w:color w:val="1F3A5F"/>
          <w:sz w:val="20"/>
          <w:szCs w:val="20"/>
        </w:rPr>
        <w:t xml:space="preserve">19 — </w:t>
      </w:r>
      <w:r>
        <w:rPr>
          <w:b/>
          <w:bCs/>
          <w:sz w:val="20"/>
          <w:szCs w:val="20"/>
        </w:rPr>
        <w:t xml:space="preserve">Source &amp; Verification Register — </w:t>
      </w:r>
      <w:r>
        <w:rPr>
          <w:color w:val="444444"/>
          <w:sz w:val="20"/>
          <w:szCs w:val="20"/>
        </w:rPr>
        <w:t xml:space="preserve">22 facts/unknowns classified</w:t>
      </w:r>
    </w:p>
    <w:p>
      <w:pPr>
        <w:spacing w:after="30"/>
      </w:pPr>
      <w:r>
        <w:rPr>
          <w:b/>
          <w:bCs/>
          <w:color w:val="1F3A5F"/>
          <w:sz w:val="20"/>
          <w:szCs w:val="20"/>
        </w:rPr>
        <w:t xml:space="preserve">20 — </w:t>
      </w:r>
      <w:r>
        <w:rPr>
          <w:b/>
          <w:bCs/>
          <w:sz w:val="20"/>
          <w:szCs w:val="20"/>
        </w:rPr>
        <w:t xml:space="preserve">Implementation Backlog — </w:t>
      </w:r>
      <w:r>
        <w:rPr>
          <w:color w:val="444444"/>
          <w:sz w:val="20"/>
          <w:szCs w:val="20"/>
        </w:rPr>
        <w:t xml:space="preserve">18 prioritised items with reasons &amp; owners</w:t>
      </w:r>
    </w:p>
    <w:p>
      <w:pPr>
        <w:spacing w:after="30"/>
      </w:pPr>
      <w:r>
        <w:rPr>
          <w:b/>
          <w:bCs/>
          <w:color w:val="1F3A5F"/>
          <w:sz w:val="20"/>
          <w:szCs w:val="20"/>
        </w:rPr>
        <w:t xml:space="preserve">21 — </w:t>
      </w:r>
      <w:r>
        <w:rPr>
          <w:b/>
          <w:bCs/>
          <w:sz w:val="20"/>
          <w:szCs w:val="20"/>
        </w:rPr>
        <w:t xml:space="preserve">Final Consolidated Report — </w:t>
      </w:r>
      <w:r>
        <w:rPr>
          <w:color w:val="444444"/>
          <w:sz w:val="20"/>
          <w:szCs w:val="20"/>
        </w:rPr>
        <w:t xml:space="preserve">This document</w:t>
      </w:r>
    </w:p>
    <w:p>
      <w:pPr>
        <w:pStyle w:val="Heading1"/>
        <w:spacing w:after="110" w:before="240"/>
      </w:pPr>
      <w:r>
        <w:rPr>
          <w:b/>
          <w:bCs/>
          <w:color w:val="1F3A5F"/>
          <w:sz w:val="27"/>
          <w:szCs w:val="27"/>
        </w:rPr>
        <w:t xml:space="preserve">6. Risks &amp; Priorities</w:t>
      </w:r>
    </w:p>
    <w:p>
      <w:pPr>
        <w:spacing w:after="110"/>
      </w:pPr>
      <w:r>
        <w:rPr>
          <w:sz w:val="21"/>
          <w:szCs w:val="21"/>
        </w:rPr>
        <w:t xml:space="preserve">The Critical, pre-launch priorities are a stable user_id, transaction IDs, the reward/wallet/withdrawal/referral tables, and core event instrumentation — without these, cross-event analysis, payout reporting and safe deduplication cannot be guaranteed. Quality controls at ingestion are High priority to keep the audit's defects out of production reporting.</w:t>
      </w:r>
    </w:p>
    <w:p>
      <w:pPr>
        <w:pStyle w:val="Heading1"/>
        <w:spacing w:after="110" w:before="240"/>
      </w:pPr>
      <w:r>
        <w:rPr>
          <w:b/>
          <w:bCs/>
          <w:color w:val="1F3A5F"/>
          <w:sz w:val="27"/>
          <w:szCs w:val="27"/>
        </w:rPr>
        <w:t xml:space="preserve">7. Conclusion</w:t>
      </w:r>
    </w:p>
    <w:p>
      <w:pPr>
        <w:spacing w:after="110"/>
      </w:pPr>
      <w:r>
        <w:rPr>
          <w:sz w:val="21"/>
          <w:szCs w:val="21"/>
        </w:rPr>
        <w:t xml:space="preserve">VELOOP now has a complete, traceable analytical blueprint: what to collect, how to structure it, how to trust it, what to measure, what engineering must build, and what the future analytics team will see. The objective was not impressive numbers but a reliable foundation for a developing product — and that foundation is in place, ready to be populated once production instrumentation and the monetisation data exist.</w:t>
      </w:r>
    </w:p>
    <w:sectPr>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20" w:hanging="240"/>
      </w:pPr>
    </w:lvl>
  </w:abstractNum>
  <w:abstractNum w:abstractNumId="3" w15:restartNumberingAfterBreak="0">
    <w:multiLevelType w:val="hybridMultilevel"/>
    <w:lvl w:ilvl="0" w:tentative="1">
      <w:start w:val="1"/>
      <w:numFmt w:val="decimal"/>
      <w:lvlText w:val="%1."/>
      <w:lvlJc w:val="left"/>
      <w:pPr>
        <w:ind w:left="42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2026-10-23T16:58:06.172Z</dcterms:created>
  <dcterms:modified xsi:type="dcterms:W3CDTF">2026-10-23T16:58:06.172Z</dcterms:modified>
</cp:coreProperties>
</file>

<file path=docProps/custom.xml><?xml version="1.0" encoding="utf-8"?>
<Properties xmlns="http://schemas.openxmlformats.org/officeDocument/2006/custom-properties" xmlns:vt="http://schemas.openxmlformats.org/officeDocument/2006/docPropsVTypes"/>
</file>