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4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表</w:t>
            </w:r>
            <w:r>
              <w:rPr>
                <w:rFonts w:hint="eastAsia" w:ascii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施工单位施工现场考核评价表（公路部分）（100分）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项目名称：</w:t>
            </w:r>
            <w:r>
              <w:rPr>
                <w:rFonts w:hint="eastAsia"/>
                <w:lang w:val="en-US" w:eastAsia="zh-CN"/>
              </w:rPr>
              <w:t>{PROJECT}</w:t>
            </w:r>
            <w:r>
              <w:rPr>
                <w:rFonts w:hint="eastAsia"/>
              </w:rPr>
              <w:t xml:space="preserve">             合同段：</w:t>
            </w:r>
            <w:r>
              <w:rPr>
                <w:rFonts w:hint="eastAsia"/>
                <w:lang w:val="en-US" w:eastAsia="zh-CN"/>
              </w:rPr>
              <w:t>{SECTION}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施工单位名称：</w:t>
            </w:r>
            <w:r>
              <w:rPr>
                <w:rFonts w:hint="eastAsia"/>
                <w:lang w:val="en-US" w:eastAsia="zh-CN"/>
              </w:rPr>
              <w:t>{BUILDER}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（A）桥梁工程（40分）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3" w:hRule="atLeast"/>
          <w:jc w:val="center"/>
        </w:trPr>
        <w:tc>
          <w:tcPr>
            <w:tcW w:w="4920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（A1）基础施工（8分）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（1）扩大基础、挖孔桩或钻孔桩未严格按方案实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施，扣4－6分。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（2）在城市、村镇等人口密集区域未设置警戒设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施或警示灯，发现一处扣1分。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（3）扩大基础、挖孔桩或钻孔桩施工未严格悬挂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设置安全告知牌的，发现一处扣1分。</w:t>
            </w:r>
          </w:p>
        </w:tc>
        <w:tc>
          <w:tcPr>
            <w:tcW w:w="4065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SGXCGL-A-A1-1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SGXCGL-A-A1-2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</w:t>
            </w:r>
            <w:bookmarkStart w:id="0" w:name="_GoBack"/>
            <w:bookmarkEnd w:id="0"/>
            <w:r>
              <w:t>-A-A1-3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ind w:firstLine="315" w:firstLineChars="150"/>
              <w:jc w:val="left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SGXCGL-A-A1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8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（A2）墩台（16分）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（1）高墩台施工未严格按专项施工方案组织实施，扣4－8分。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（2）脚手架及作业平台搭设不能保证作业安全空间，发现一处扣2分。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（3）未按规定设置人员上下通道，发现一处扣6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（4）未按规定安装附着式电梯，扣8分。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（5）出入口未设置防护措施，扣3分。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（6）发现使用起重设备载人，扣6分。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（7）模板螺栓连接不规范，发现一处扣1分。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（8）人员违规作业，发现一次扣2分。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SGXCGL-A-A2-1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SGXCGL-A-A2-2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SGXCGL-A-A2-3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SGXCGL-A-A2-4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SGXCGL-A-A2-5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SGXCGL-A-A2-6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SGXCGL-A-A2-7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SGXCGL-A-A2-8</w:t>
            </w:r>
            <w:r>
              <w:rPr>
                <w:rFonts w:hint="eastAsia"/>
                <w:lang w:eastAsia="zh-CN"/>
              </w:rPr>
              <w:t>}</w:t>
            </w:r>
          </w:p>
          <w:p/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SGXCGL-A-A2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（A3）桥梁上部结构施工（16分）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（1）未按方案组织施工，扣4-8分。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（2）梁板吊装就位后，未及时进行稳固，发现一处扣2分。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（3）未按要求对挂篮进行静载试验，扣6分。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（4）未按要求设置安全防护栏杆或安全网，发现一处，扣2分。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（5）人员违规作业，发现一次，扣2分。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（6）架桥机平衡配重、限位及支垫不稳固，发现一处，扣2分。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（7）吊装使用的钢丝绳磨损、断丝超标，发现一处，扣3分。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（8）起重设备基础、轨道固定等不符合要求，发现一处，扣3分。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（9）上跨桥梁无防坠措施，扣2-3分。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（10）桥面铺装施工前，梁板体间及中央隔离带间隙无安全防坠设施，每处扣1-2分。</w:t>
            </w:r>
          </w:p>
          <w:p/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SGXCGL-A-A3-1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</w:t>
            </w:r>
            <w:r>
              <w:rPr>
                <w:rFonts w:hint="eastAsia"/>
                <w:lang w:val="en-US" w:eastAsia="zh-CN"/>
              </w:rPr>
              <w:t>G</w:t>
            </w:r>
            <w:r>
              <w:t>XC</w:t>
            </w:r>
            <w:r>
              <w:rPr>
                <w:rFonts w:hint="eastAsia"/>
                <w:lang w:val="en-US" w:eastAsia="zh-CN"/>
              </w:rPr>
              <w:t>GL</w:t>
            </w:r>
            <w:r>
              <w:t>-A-A3-2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SGXCGL-A-A3-3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SGXCGL-A-A3-4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SGXCGL-A-A3-5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SGXCGL-A-A3-6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SGXCGL-A-A3-7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SGXCGL-A-A3-8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（9）</w:t>
            </w:r>
            <w:r>
              <w:rPr>
                <w:rFonts w:hint="eastAsia"/>
                <w:lang w:eastAsia="zh-CN"/>
              </w:rPr>
              <w:t>{</w:t>
            </w:r>
            <w:r>
              <w:t>SGXCGL-A-A3-9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SGXCGL-A-A3-10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SGXCGL-A-A3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（B）隧道工程（44分）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（B1）施工基本要求及开挖（8分）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（1）门禁和值班登记制度执行不严格，扣4-8分。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（2）洞口施工与方案不符，扣2－4分。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（3）洞口工程排水系统不完善，扣2－4分。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（4）洞口开挖发现掏底或上下重叠开挖、不稳定，扣2－4分。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（5）各类施工作业台架、台车防坠设施不足，发现一处扣2分。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（6）隧道内堆放易燃易爆物品，发现一处扣4-6分。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（7）施工现场未悬挂风险源辨识牌，扣2分。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（8）警示标志数量不足，发现一处扣2分。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（9）未按方案组织开挖，扣4-6分。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（10）断面尺寸不满足设计要求，扣2分。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（11）台阶法施工台阶长度超过隧道开挖宽度的1.5倍，发现一次扣1分，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（12）钢架下沉或变形，发现一处扣1分。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（13）开挖进尺控制不严，发现一次扣2分。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（14）相邻钢架未用钢筋连接，发现一处扣1分。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（15）未按设计要求施工锁脚锚杆，发现一处扣1分。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（16）双侧壁导坑法施工距离不满足要求，扣2－3分。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（17）未按方案组织爆破，扣6分。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（18）停放在接近车辆运行界限处的施工设备与机械，其外缘未设置警示灯，扣1分。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（19）各类施工作业台车未设置固定的警示灯，发现一处扣1分。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（20）运输车辆人料混载，扣2分。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（21）运装大体积或超长料具时，无专人指挥，专车运输，扣2分。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SGXCGL-B-B1-2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SGXCGL-B-B1-3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SGXCGL-B-B1-4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SGXCGL-B-B1-5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SGXCGL-B-B1-5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SGXCGL-B-B1-6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SGXCGL-B-B1-7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（9）</w:t>
            </w:r>
            <w:r>
              <w:rPr>
                <w:rFonts w:hint="eastAsia"/>
                <w:lang w:eastAsia="zh-CN"/>
              </w:rPr>
              <w:t>{</w:t>
            </w:r>
            <w:r>
              <w:t>SGXCGL-B-B1-8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（10）</w:t>
            </w:r>
            <w:r>
              <w:rPr>
                <w:rFonts w:hint="eastAsia"/>
                <w:lang w:eastAsia="zh-CN"/>
              </w:rPr>
              <w:t>{</w:t>
            </w:r>
            <w:r>
              <w:t>SGXCGL-B-B1-9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（11）</w:t>
            </w:r>
            <w:r>
              <w:rPr>
                <w:rFonts w:hint="eastAsia"/>
                <w:lang w:eastAsia="zh-CN"/>
              </w:rPr>
              <w:t>{</w:t>
            </w:r>
            <w:r>
              <w:t>SGXCGL-B-B1-10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（12）</w:t>
            </w:r>
            <w:r>
              <w:rPr>
                <w:rFonts w:hint="eastAsia"/>
                <w:lang w:eastAsia="zh-CN"/>
              </w:rPr>
              <w:t>{</w:t>
            </w:r>
            <w:r>
              <w:t>SGXCGL-B-B1-11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（13）</w:t>
            </w:r>
            <w:r>
              <w:rPr>
                <w:rFonts w:hint="eastAsia"/>
                <w:lang w:eastAsia="zh-CN"/>
              </w:rPr>
              <w:t>{</w:t>
            </w:r>
            <w:r>
              <w:t>SGXCGL-B-B1-12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（14）</w:t>
            </w:r>
            <w:r>
              <w:rPr>
                <w:rFonts w:hint="eastAsia"/>
                <w:lang w:eastAsia="zh-CN"/>
              </w:rPr>
              <w:t>{</w:t>
            </w:r>
            <w:r>
              <w:t>SGXCGL-B-B1-13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（15）</w:t>
            </w:r>
            <w:r>
              <w:rPr>
                <w:rFonts w:hint="eastAsia"/>
                <w:lang w:eastAsia="zh-CN"/>
              </w:rPr>
              <w:t>{</w:t>
            </w:r>
            <w:r>
              <w:t>SGXCGL-B-B1-14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（16）</w:t>
            </w:r>
            <w:r>
              <w:rPr>
                <w:rFonts w:hint="eastAsia"/>
                <w:lang w:eastAsia="zh-CN"/>
              </w:rPr>
              <w:t>{</w:t>
            </w:r>
            <w:r>
              <w:t>SGXCGL-B-B1-15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（17）</w:t>
            </w:r>
            <w:r>
              <w:rPr>
                <w:rFonts w:hint="eastAsia"/>
                <w:lang w:eastAsia="zh-CN"/>
              </w:rPr>
              <w:t>{</w:t>
            </w:r>
            <w:r>
              <w:t>SGXCGL-B-B1-16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（18）</w:t>
            </w:r>
            <w:r>
              <w:rPr>
                <w:rFonts w:hint="eastAsia"/>
                <w:lang w:eastAsia="zh-CN"/>
              </w:rPr>
              <w:t>{</w:t>
            </w:r>
            <w:r>
              <w:t>SGXCGL-B-B1-17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（19）</w:t>
            </w:r>
            <w:r>
              <w:rPr>
                <w:rFonts w:hint="eastAsia"/>
                <w:lang w:eastAsia="zh-CN"/>
              </w:rPr>
              <w:t>{</w:t>
            </w:r>
            <w:r>
              <w:t>SGXCGL-B-B1-18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（20）</w:t>
            </w:r>
            <w:r>
              <w:rPr>
                <w:rFonts w:hint="eastAsia"/>
                <w:lang w:eastAsia="zh-CN"/>
              </w:rPr>
              <w:t>{</w:t>
            </w:r>
            <w:r>
              <w:t>SGXCGL-B-B1-19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（21）</w:t>
            </w:r>
            <w:r>
              <w:rPr>
                <w:rFonts w:hint="eastAsia"/>
                <w:lang w:eastAsia="zh-CN"/>
              </w:rPr>
              <w:t>{</w:t>
            </w:r>
            <w:r>
              <w:t>SGXCGL-B-B1-20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（B2）初期支护及二衬（8分）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（1）初期支护和二衬施工与方案不符，扣6－8分。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（2）方案中未明确仰拱与掌子面、二衬与掌子面的距离，扣6分。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（3）仰拱与掌子面、二衬与掌子面的距离未严格按要求控制，扣4－6分。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（4）钢架拱脚基础不牢固，发现一处扣1-2分。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（5）相邻钢架之间纵向钢筋连接不规范，发现一处扣1-2分。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SGXCGL-B-B2-2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SGXCGL-B-B2-3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SGXCGL-B-B2-4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SGXCGL-B-B2-5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（B3）监控量测，超前地质预报（6分）</w:t>
            </w:r>
          </w:p>
          <w:p>
            <w:pPr>
              <w:spacing w:line="360" w:lineRule="auto"/>
              <w:rPr>
                <w:rFonts w:hint="eastAsia" w:eastAsia="宋体"/>
                <w:b/>
                <w:lang w:val="en-US" w:eastAsia="zh-CN"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（1）未按监控量测及超前地质预报专项施工方案实施的，发现一处扣1分。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（2）长大隧道和不良地质隧道未进行超前地质预报，扣6分。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（3）监控量测资料不齐全，扣1-2分。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（4）量测数据分析不准确，扣2-4分。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（5）签字不齐全，发现一处，扣0.5分。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（6）监控量测及超前地质预报监控点数量不满足方案要求，发现一次扣1分。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（7）没有对掌子面稳定性巡视检查记录，扣2分。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（8）巡视检查记录不完善，扣1分。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SGXCGL-B-B3-1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SGXCGL-B-B3-2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SGXCGL-B-B3-3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SGXCGL-B-B3-4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SGXCGL-B-B3-5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SGXCGL-B-B3-6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SGXCGL-B-B3-7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SGXCGL-B-B3-8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（B4）逃生通道（4分）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（1）未按要求设置逃生通道，扣4分。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（2）逃生通道不合理，扣2分。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（B4）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SGXCGL-B-B4-1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SGXCGL-B-B4-2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ind w:firstLine="525" w:firstLineChars="250"/>
              <w:jc w:val="left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SGXCGL-B-B4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（B5）通风防尘照明、排水及消防、应急管理（4分）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（1）未对有毒有害气体进行监测，扣1分。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（2）未按要求通风，扣2-4分。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（3）隧道照明不充足，使用油灯、电石灯、汽灯等有火焰的灯火照明，应急照明不符合要求，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（4）积水较严重，扣1分。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（5）消防器材不足，扣2分。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（6）未设置应急箱，扣1分。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（7）电缆布设不规范，扣1分。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（8）高压线、动力线、照明线安装敷设不符合规范要求，扣2分。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（B5）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SGXCGL-B-B5-1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SGXCGL-B-B5-2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SGXCGL-B-B5-3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SGXCGL-B-B5-4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SGXCGL-B-B5-5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SGXCGL-B-B5-6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SGXCGL-B-B5-7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SGXCGL-B-B5-8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SGXCGL-B-B5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（B6）瓦斯隧道（6分）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（1）未编制专项施工方案，且方案未经专家评审的，扣6分。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（2）瓦斯隧道施工与专项方案不符，扣2－4分。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（3）瓦斯隧道施工未按要求使用具有防爆性能的机械设备，发现一处扣1分。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（4）未进行瓦斯浓度检测，扣4分。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（5）掌子面瓦斯浓度超标时施工，扣6分，责今立即停工整改。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（6）施工现场消防设备不齐备，扣1-2分。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（B6）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SGXCGL-B-B6-1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SGXCGL-B-B6-2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SGXCGL-B-B6-3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SGXCGL-B-B6-4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SGXCGL-B-B6-5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SGXCGL-B-B6-6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/>
                <w:lang w:eastAsia="zh-CN"/>
              </w:rPr>
            </w:pP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SGXCGL-B-B6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（B7）信息管理（2分）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（1）未按要求配备信息管理系统，扣2分。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（2）监控视频、通讯和定位信息失效，发现一处扣0.5分。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（B7）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SGXCGL-B-B7-1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SGXCGL-B-B7-2</w:t>
            </w:r>
            <w:r>
              <w:rPr>
                <w:rFonts w:hint="eastAsia"/>
                <w:lang w:eastAsia="zh-CN"/>
              </w:rPr>
              <w:t>}</w:t>
            </w:r>
          </w:p>
          <w:p/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SGXCGL-B-B7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（C）路基工程（8分）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（C1）边坡工程（8分）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（1）未按要求设置风险源告知牌，发现一处扣1分。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（2）未按要求设置安全防护措施，发现一处扣2分。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（3）排水不完善，扣2分。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（4）路基土石方爆破作业与方案不符，扣3-5分。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SGXCGL-C-C1-1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SGXCGL-C-C1-2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SGXCGL-C-C1-3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SGXCGL-C-C1-4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SGXCGL-C-C1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（D）路面工程（8分）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（D1）路面施工（8分）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（1）施工区域交通封闭管理不严，扣2分。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（2）发现用施工车辆违规载人，扣4分。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（3）路面摊铺机、压实机械反光装置不符合要求，违规作业，每发现一处扣1分。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（4）摊铺施工期无专职安全员的，发现一次扣2分。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（D1）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SGXCGL-</w:t>
            </w:r>
            <w:r>
              <w:rPr>
                <w:rFonts w:hint="eastAsia"/>
                <w:lang w:val="en-US" w:eastAsia="zh-CN"/>
              </w:rPr>
              <w:t>D</w:t>
            </w:r>
            <w:r>
              <w:t>-</w:t>
            </w:r>
            <w:r>
              <w:rPr>
                <w:rFonts w:hint="eastAsia"/>
                <w:lang w:val="en-US" w:eastAsia="zh-CN"/>
              </w:rPr>
              <w:t>D1</w:t>
            </w:r>
            <w:r>
              <w:t>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SGXCGL-</w:t>
            </w:r>
            <w:r>
              <w:rPr>
                <w:rFonts w:hint="eastAsia"/>
                <w:lang w:val="en-US" w:eastAsia="zh-CN"/>
              </w:rPr>
              <w:t>D</w:t>
            </w:r>
            <w:r>
              <w:t>-</w:t>
            </w:r>
            <w:r>
              <w:rPr>
                <w:rFonts w:hint="eastAsia"/>
                <w:lang w:val="en-US" w:eastAsia="zh-CN"/>
              </w:rPr>
              <w:t>D1</w:t>
            </w:r>
            <w:r>
              <w:t>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SGXCGL-</w:t>
            </w:r>
            <w:r>
              <w:rPr>
                <w:rFonts w:hint="eastAsia"/>
                <w:lang w:val="en-US" w:eastAsia="zh-CN"/>
              </w:rPr>
              <w:t>D</w:t>
            </w:r>
            <w:r>
              <w:t>-</w:t>
            </w:r>
            <w:r>
              <w:rPr>
                <w:rFonts w:hint="eastAsia"/>
                <w:lang w:val="en-US" w:eastAsia="zh-CN"/>
              </w:rPr>
              <w:t>D1</w:t>
            </w:r>
            <w:r>
              <w:t>-3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{</w:t>
            </w:r>
            <w:r>
              <w:t>SGXCGL-</w:t>
            </w:r>
            <w:r>
              <w:rPr>
                <w:rFonts w:hint="eastAsia"/>
                <w:lang w:val="en-US" w:eastAsia="zh-CN"/>
              </w:rPr>
              <w:t>D</w:t>
            </w:r>
            <w:r>
              <w:t>-</w:t>
            </w:r>
            <w:r>
              <w:rPr>
                <w:rFonts w:hint="eastAsia"/>
                <w:lang w:val="en-US" w:eastAsia="zh-CN"/>
              </w:rPr>
              <w:t>D1</w:t>
            </w:r>
            <w:r>
              <w:t>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SGXCGL-</w:t>
            </w:r>
            <w:r>
              <w:rPr>
                <w:rFonts w:hint="eastAsia"/>
                <w:lang w:val="en-US" w:eastAsia="zh-CN"/>
              </w:rPr>
              <w:t>D</w:t>
            </w:r>
            <w:r>
              <w:t>-</w:t>
            </w:r>
            <w:r>
              <w:rPr>
                <w:rFonts w:hint="eastAsia"/>
                <w:lang w:val="en-US" w:eastAsia="zh-CN"/>
              </w:rPr>
              <w:t>D1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</w:tbl>
    <w:p/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0B03"/>
    <w:rsid w:val="0000691D"/>
    <w:rsid w:val="00041FF9"/>
    <w:rsid w:val="000501A4"/>
    <w:rsid w:val="00054AE0"/>
    <w:rsid w:val="000B1001"/>
    <w:rsid w:val="000D7874"/>
    <w:rsid w:val="000E13EC"/>
    <w:rsid w:val="00103885"/>
    <w:rsid w:val="001204E6"/>
    <w:rsid w:val="00152B19"/>
    <w:rsid w:val="00163681"/>
    <w:rsid w:val="00180CCC"/>
    <w:rsid w:val="001A582D"/>
    <w:rsid w:val="001D2301"/>
    <w:rsid w:val="001E7592"/>
    <w:rsid w:val="00216670"/>
    <w:rsid w:val="00242F7A"/>
    <w:rsid w:val="0025571F"/>
    <w:rsid w:val="002663E1"/>
    <w:rsid w:val="0026678A"/>
    <w:rsid w:val="00275A66"/>
    <w:rsid w:val="00277254"/>
    <w:rsid w:val="00284D81"/>
    <w:rsid w:val="00285962"/>
    <w:rsid w:val="002A0F8B"/>
    <w:rsid w:val="002A4E48"/>
    <w:rsid w:val="002B61B3"/>
    <w:rsid w:val="002C31E1"/>
    <w:rsid w:val="002C4E91"/>
    <w:rsid w:val="002D08D3"/>
    <w:rsid w:val="00305E2A"/>
    <w:rsid w:val="00334AB2"/>
    <w:rsid w:val="00355377"/>
    <w:rsid w:val="0036642D"/>
    <w:rsid w:val="0037351E"/>
    <w:rsid w:val="00384182"/>
    <w:rsid w:val="003B0002"/>
    <w:rsid w:val="003B62E9"/>
    <w:rsid w:val="003C0ACC"/>
    <w:rsid w:val="003C37D0"/>
    <w:rsid w:val="003C603B"/>
    <w:rsid w:val="003D5918"/>
    <w:rsid w:val="00401C85"/>
    <w:rsid w:val="004105F0"/>
    <w:rsid w:val="00412298"/>
    <w:rsid w:val="00426C79"/>
    <w:rsid w:val="00471639"/>
    <w:rsid w:val="00476FC9"/>
    <w:rsid w:val="004A639A"/>
    <w:rsid w:val="004B1050"/>
    <w:rsid w:val="004B7089"/>
    <w:rsid w:val="004C0B03"/>
    <w:rsid w:val="004F36B8"/>
    <w:rsid w:val="00514187"/>
    <w:rsid w:val="00522205"/>
    <w:rsid w:val="00536ABF"/>
    <w:rsid w:val="0055789F"/>
    <w:rsid w:val="00557FB8"/>
    <w:rsid w:val="0057026E"/>
    <w:rsid w:val="0057423E"/>
    <w:rsid w:val="005975B7"/>
    <w:rsid w:val="005B3EF4"/>
    <w:rsid w:val="005D2094"/>
    <w:rsid w:val="005E18C5"/>
    <w:rsid w:val="005E4C87"/>
    <w:rsid w:val="005F70F5"/>
    <w:rsid w:val="0060392D"/>
    <w:rsid w:val="00623F29"/>
    <w:rsid w:val="00674838"/>
    <w:rsid w:val="00684984"/>
    <w:rsid w:val="006853BB"/>
    <w:rsid w:val="00694C48"/>
    <w:rsid w:val="006C1C1A"/>
    <w:rsid w:val="006E037F"/>
    <w:rsid w:val="006E5174"/>
    <w:rsid w:val="006E795D"/>
    <w:rsid w:val="006F386B"/>
    <w:rsid w:val="00707033"/>
    <w:rsid w:val="00711CE3"/>
    <w:rsid w:val="007406C8"/>
    <w:rsid w:val="0074583D"/>
    <w:rsid w:val="00761E6A"/>
    <w:rsid w:val="00766F69"/>
    <w:rsid w:val="00794A66"/>
    <w:rsid w:val="00796D79"/>
    <w:rsid w:val="007C64C8"/>
    <w:rsid w:val="007D293E"/>
    <w:rsid w:val="007E67FD"/>
    <w:rsid w:val="008A4330"/>
    <w:rsid w:val="008B38B9"/>
    <w:rsid w:val="008B4FAE"/>
    <w:rsid w:val="008D6BCB"/>
    <w:rsid w:val="008E02E7"/>
    <w:rsid w:val="009300F9"/>
    <w:rsid w:val="00933766"/>
    <w:rsid w:val="0096782D"/>
    <w:rsid w:val="00972309"/>
    <w:rsid w:val="00984004"/>
    <w:rsid w:val="009855F9"/>
    <w:rsid w:val="009925C2"/>
    <w:rsid w:val="00995578"/>
    <w:rsid w:val="009A1D0C"/>
    <w:rsid w:val="009B7ADE"/>
    <w:rsid w:val="009D57A1"/>
    <w:rsid w:val="009E1C28"/>
    <w:rsid w:val="009F2643"/>
    <w:rsid w:val="009F673F"/>
    <w:rsid w:val="009F69E9"/>
    <w:rsid w:val="00A30330"/>
    <w:rsid w:val="00A435F7"/>
    <w:rsid w:val="00A728AE"/>
    <w:rsid w:val="00A728FF"/>
    <w:rsid w:val="00A845AF"/>
    <w:rsid w:val="00AB0DEB"/>
    <w:rsid w:val="00AE1B81"/>
    <w:rsid w:val="00B136A9"/>
    <w:rsid w:val="00B14445"/>
    <w:rsid w:val="00B40399"/>
    <w:rsid w:val="00B731E9"/>
    <w:rsid w:val="00B87835"/>
    <w:rsid w:val="00C15742"/>
    <w:rsid w:val="00C16A56"/>
    <w:rsid w:val="00C357A7"/>
    <w:rsid w:val="00C646F9"/>
    <w:rsid w:val="00C812A4"/>
    <w:rsid w:val="00CA566C"/>
    <w:rsid w:val="00CC64E9"/>
    <w:rsid w:val="00CD2083"/>
    <w:rsid w:val="00CD26D8"/>
    <w:rsid w:val="00CD31F5"/>
    <w:rsid w:val="00D3594A"/>
    <w:rsid w:val="00D41C27"/>
    <w:rsid w:val="00D44EAD"/>
    <w:rsid w:val="00D47473"/>
    <w:rsid w:val="00D81F49"/>
    <w:rsid w:val="00DB441D"/>
    <w:rsid w:val="00DC378D"/>
    <w:rsid w:val="00DC6DB0"/>
    <w:rsid w:val="00DF2F37"/>
    <w:rsid w:val="00DF4382"/>
    <w:rsid w:val="00DF71E1"/>
    <w:rsid w:val="00E05EAB"/>
    <w:rsid w:val="00E06108"/>
    <w:rsid w:val="00E07D2E"/>
    <w:rsid w:val="00E3064C"/>
    <w:rsid w:val="00E51F46"/>
    <w:rsid w:val="00E52B29"/>
    <w:rsid w:val="00E60DCA"/>
    <w:rsid w:val="00E66509"/>
    <w:rsid w:val="00E82AD9"/>
    <w:rsid w:val="00EA0461"/>
    <w:rsid w:val="00EB4FFF"/>
    <w:rsid w:val="00EC2F89"/>
    <w:rsid w:val="00ED4B11"/>
    <w:rsid w:val="00ED6F75"/>
    <w:rsid w:val="00F04DC2"/>
    <w:rsid w:val="00F1786A"/>
    <w:rsid w:val="00F34E26"/>
    <w:rsid w:val="00F76C30"/>
    <w:rsid w:val="00FA4787"/>
    <w:rsid w:val="00FB1A15"/>
    <w:rsid w:val="0684467B"/>
    <w:rsid w:val="31262BAF"/>
    <w:rsid w:val="36584736"/>
    <w:rsid w:val="3D27689F"/>
    <w:rsid w:val="69814125"/>
    <w:rsid w:val="79E93C90"/>
    <w:rsid w:val="7F01753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6</Pages>
  <Words>714</Words>
  <Characters>4072</Characters>
  <Lines>33</Lines>
  <Paragraphs>9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cp:lastModifiedBy>Administrator</cp:lastModifiedBy>
  <dcterms:modified xsi:type="dcterms:W3CDTF">2014-12-28T10:02:38Z</dcterms:modified>
  <dc:title>表5 施工单位施工现场考核评价表（公路部分）（100分）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