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algun Gothic" w:hAnsi="Malgun Gothic" w:eastAsia="Malgun Gothic"/>
          <w:b/>
          <w:color w:val="000000"/>
          <w:sz w:val="36"/>
        </w:rPr>
        <w:t>사업 계획서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사업명: [사업명]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추진 부서: [부서명]</w:t>
      </w:r>
    </w:p>
    <w:p>
      <w:pPr>
        <w:spacing w:after="40"/>
      </w:pPr>
      <w:r>
        <w:rPr>
          <w:rFonts w:ascii="Malgun Gothic" w:hAnsi="Malgun Gothic" w:eastAsia="Malgun Gothic"/>
          <w:b w:val="0"/>
          <w:color w:val="000000"/>
          <w:sz w:val="20"/>
        </w:rPr>
        <w:t>사업 기간: [YYYY. M. D.~YYYY. M. D.]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Ⅰ. 추진 배경 및 목적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[현황 및 필요성]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[추진 목적]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Ⅱ. 사업 개요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대상: [대상]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주요 내용: [핵심 프로그램]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Ⅲ. 추진 계획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[단계별 추진 내용]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[유관 부서 협조 사항]</w:t>
      </w:r>
    </w:p>
    <w:p>
      <w:pPr>
        <w:spacing w:before="120" w:after="60"/>
      </w:pPr>
      <w:r>
        <w:rPr>
          <w:rFonts w:ascii="Malgun Gothic" w:hAnsi="Malgun Gothic" w:eastAsia="Malgun Gothic"/>
          <w:b/>
          <w:color w:val="000000"/>
          <w:sz w:val="22"/>
        </w:rPr>
        <w:t>Ⅳ. 성과 확인 및 사후 관리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1. [성과 확인 방법]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2. [후속 조치]</w:t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</w:r>
    </w:p>
    <w:p>
      <w:pPr>
        <w:spacing w:after="100" w:line="276" w:lineRule="auto"/>
      </w:pPr>
      <w:r>
        <w:rPr>
          <w:rFonts w:ascii="Malgun Gothic" w:hAnsi="Malgun Gothic" w:eastAsia="Malgun Gothic"/>
          <w:b w:val="0"/>
          <w:color w:val="000000"/>
          <w:sz w:val="20"/>
        </w:rPr>
        <w:t>※ 예산·계약·개인정보 관련 사항은 별도 기준과 담당 부서 검토를 거칩니다.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>실제 제출·결재 전에는 담당 부서의 최신 공식 서식과 기준을 확인합니다.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6"/>
      </w:rPr>
      <w:t>[교육용 참고 양식]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