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Normal"/>
        <w:spacing w:before="0" w:after="180"/>
        <w:jc w:val="center"/>
        <w:rPr>
          <w:rFonts w:eastAsia="DFKai-SB"/>
          <w:b/>
          <w:b/>
          <w:bCs/>
          <w:color w:val="000000"/>
          <w:sz w:val="48"/>
        </w:rPr>
      </w:pPr>
      <w:r>
        <w:rPr>
          <w:rFonts w:eastAsia="DFKai-SB"/>
          <w:b/>
          <w:bCs/>
          <w:color w:val="000000"/>
          <w:spacing w:val="140"/>
          <w:sz w:val="48"/>
          <w:lang w:eastAsia="zh-CN"/>
        </w:rPr>
        <w:t>专利技术交底</w:t>
      </w:r>
      <w:r>
        <w:rPr>
          <w:rFonts w:eastAsia="DFKai-SB"/>
          <w:b/>
          <w:bCs/>
          <w:color w:val="000000"/>
          <w:sz w:val="48"/>
          <w:lang w:eastAsia="zh-CN"/>
        </w:rPr>
        <w:t>书</w:t>
      </w:r>
    </w:p>
    <w:tbl>
      <w:tblPr>
        <w:tblW w:w="9147" w:type="dxa"/>
        <w:jc w:val="start"/>
        <w:tblInd w:w="-5" w:type="dxa"/>
        <w:tblCellMar>
          <w:top w:w="0" w:type="dxa"/>
          <w:start w:w="28" w:type="dxa"/>
          <w:bottom w:w="0" w:type="dxa"/>
          <w:end w:w="28" w:type="dxa"/>
        </w:tblCellMar>
      </w:tblPr>
      <w:tblGrid>
        <w:gridCol w:w="2296"/>
        <w:gridCol w:w="284"/>
        <w:gridCol w:w="6567"/>
      </w:tblGrid>
      <w:tr>
        <w:trPr>
          <w:trHeight w:val="290" w:hRule="atLeast"/>
        </w:trPr>
        <w:tc>
          <w:tcPr>
            <w:tcW w:w="2580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ind w:firstLine="108"/>
              <w:jc w:val="both"/>
              <w:rPr>
                <w:rFonts w:ascii="楷体_GB2312;楷体" w:hAnsi="楷体_GB2312;楷体" w:eastAsia="楷体_GB2312;楷体"/>
                <w:b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一、专利申请名称</w:t>
            </w:r>
          </w:p>
        </w:tc>
        <w:tc>
          <w:tcPr>
            <w:tcW w:w="6567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一种宠物机器人多传感器产测标定与诊断命令闭环方法及系统</w:t>
            </w:r>
          </w:p>
        </w:tc>
      </w:tr>
      <w:tr>
        <w:trPr>
          <w:trHeight w:val="290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ind w:firstLine="108"/>
              <w:jc w:val="both"/>
              <w:rPr>
                <w:rFonts w:ascii="楷体_GB2312;楷体" w:hAnsi="楷体_GB2312;楷体" w:eastAsia="楷体_GB2312;楷体"/>
                <w:b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二、专利申请的相关著录项目信息</w:t>
            </w:r>
          </w:p>
        </w:tc>
      </w:tr>
      <w:tr>
        <w:trPr>
          <w:trHeight w:val="364" w:hRule="atLeast"/>
        </w:trPr>
        <w:tc>
          <w:tcPr>
            <w:tcW w:w="2296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ind w:firstLine="216"/>
              <w:jc w:val="both"/>
              <w:rPr>
                <w:rFonts w:ascii="楷体_GB2312;楷体" w:hAnsi="楷体_GB2312;楷体" w:eastAsia="楷体_GB2312;楷体"/>
                <w:b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申请人</w:t>
            </w:r>
          </w:p>
        </w:tc>
        <w:tc>
          <w:tcPr>
            <w:tcW w:w="6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姓名或名称：待申请人确认</w:t>
            </w:r>
          </w:p>
        </w:tc>
      </w:tr>
      <w:tr>
        <w:trPr/>
        <w:tc>
          <w:tcPr>
            <w:tcW w:w="2296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ind w:firstLine="216"/>
              <w:jc w:val="both"/>
              <w:rPr>
                <w:rFonts w:ascii="楷体_GB2312;楷体" w:hAnsi="楷体_GB2312;楷体" w:eastAsia="楷体_GB2312;楷体"/>
                <w:b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技术联系人</w:t>
            </w:r>
          </w:p>
        </w:tc>
        <w:tc>
          <w:tcPr>
            <w:tcW w:w="6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姓名：雷文军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电话：15814082410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邮箱：wenjun.lei@videostrong.com</w:t>
            </w:r>
          </w:p>
        </w:tc>
      </w:tr>
      <w:tr>
        <w:trPr/>
        <w:tc>
          <w:tcPr>
            <w:tcW w:w="2296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ind w:firstLine="216"/>
              <w:jc w:val="both"/>
              <w:rPr>
                <w:rFonts w:ascii="楷体_GB2312;楷体" w:hAnsi="楷体_GB2312;楷体" w:eastAsia="楷体_GB2312;楷体"/>
                <w:b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第一发明人姓名</w:t>
            </w:r>
          </w:p>
        </w:tc>
        <w:tc>
          <w:tcPr>
            <w:tcW w:w="6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第一发明人身份证号码</w:t>
            </w:r>
          </w:p>
        </w:tc>
      </w:tr>
      <w:tr>
        <w:trPr/>
        <w:tc>
          <w:tcPr>
            <w:tcW w:w="2296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1、雷文军</w:t>
            </w:r>
          </w:p>
        </w:tc>
        <w:tc>
          <w:tcPr>
            <w:tcW w:w="6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身份证号码：429004199209112373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ind w:firstLine="216"/>
              <w:jc w:val="both"/>
              <w:rPr>
                <w:rFonts w:ascii="楷体_GB2312;楷体" w:hAnsi="楷体_GB2312;楷体" w:eastAsia="楷体_GB2312;楷体"/>
                <w:b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其他发明人姓名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1、如有其他发明人，请补充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5、</w:t>
            </w:r>
          </w:p>
        </w:tc>
      </w:tr>
      <w:tr>
        <w:trPr>
          <w:trHeight w:val="340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三、发明背景及已知技术说明</w:t>
            </w:r>
          </w:p>
        </w:tc>
      </w:tr>
      <w:tr>
        <w:trPr>
          <w:trHeight w:val="1731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本发明属于宠物机器人、嵌入式产测、传感器标定、诊断命令协议和工厂数据追溯技术领域。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已知技术一：CN105758426A 公开移动机器人多传感器联合标定，重点在摄像头与二维激光雷达之间的外参求解。该技术未覆盖量产产测模式隔离、统一诊断命令、PCBA 状态发布、工厂数据固化和失败处置闭环。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已知技术二：CN114440957A 公开多方向传感器融合标定设备，重点在治具结构和多个方向传感器对准。该技术未覆盖 TOF、Camera、IMU、音频、电机、电池等消费级宠物机器人 PCBA 产测项的统一命令路由和追溯模型。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已知技术三：一般在线或工位标定技术多面向工业机械臂或位置校正，缺少面向小型宠物机器人的产测/应用模式隔离、质量评分、失败自动重试和工厂固化数据模型。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现有技术不足包括：单项测试脚本割裂、诊断入口不统一、标定质量不可追溯、正常应用业务干扰产测采样、工装依赖人工判读且不能根据失败类型自动重试、跳过、降级或判废。</w:t>
            </w:r>
          </w:p>
        </w:tc>
      </w:tr>
      <w:tr>
        <w:trPr>
          <w:trHeight w:val="565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exact" w:line="500"/>
              <w:ind w:firstLine="110"/>
              <w:rPr>
                <w:rFonts w:ascii="楷体_GB2312;楷体" w:hAnsi="楷体_GB2312;楷体" w:eastAsia="楷体_GB2312;楷体" w:cs="宋体;SimSun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四、专利申请内容（必须结合附图进行说明）</w:t>
            </w:r>
          </w:p>
        </w:tc>
      </w:tr>
      <w:tr>
        <w:trPr/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）拟申请产品所要解决的技术问题：在宠物机器人量产、返修和现场维护过程中，如何通过统一诊断命令协议和独立产测模式，对多种传感器和执行器进行自动检测、自动标定、质量评分、结果固化和追溯，并避免正常应用业务对产测准确性的干扰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2）拟申请产品技术方案：系统包括上位机/CLI/自动脚本、统一命令服务、动态诊断路由、应用模式诊断节点、产测模式诊断节点、产测公共服务、硬件抽象层、标定编排模块、TOF 标定器、Camera 外参标定器、IMU 标定器、音频/电机/电池测试器、质量评分与判定模块、PCBA 状态发布模块、工厂数据固化模块和追溯记录模块。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模式隔离：设备进入产测模式后启动独立产测运行体，禁用或隔离非必要 AI、导航、音视频、网络和运动控制业务，仅保留产测需要的硬件抽象和诊断框架。应用模式则启动正常业务运行体。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统一命令：命令服务负责协议接入、解析、限流、超时、幂等和路由，不直接执行采样或标定。产测 profile 下注册 PCBA 检测、模块检测、标定、老化和版本查询命令；不属于当前 profile 的命令返回 no_active_handler 或等价错误语义。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标定编排：标定编排模块以统一 provider 接口或策略表调度 TOF、Camera、IMU 等流程。每个 provider 输出状态、质量分数、失败阶段、失败类型、原始采样摘要和可重试建议。质量判定可包括 TOF 有效点比例、目标距离偏差、距离方差、异常点比例，相机重投影误差、高度/俯仰角范围，以及 IMU 零偏、比例因子和安装角范围。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结果闭环：通过项写入工厂数据区并发布 PCBA 状态；失败项根据失败类型和重试次数执行治具调整提示、自动重试、跳过下游、降级或判废；所有结果关联命令 ID、测试项 ID、设备 SN、批次、固件版本、质量分数、失败原因、重试次数、固化路径和原始数据摘要。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完整方法逻辑：设备可通过 boot flag、产测按键或上位机授权命令进入 factory profile；factory profile 与 application profile 具有独立命令表、状态机和权限策略，但复用底层 HAL。命令服务为每次请求生成 cmd_id 和 session_id，仅负责校验、路由、限流、超时和幂等控制；实际采样、求解和固化由对应 provider 执行，从而避免应用业务或调试命令误触产测流程。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provider 生命周期与依赖编排：每个测试或标定 provider 依次经过 prepare、sample、solve、score、persist、publish、trace 阶段；调度器根据依赖图执行 PCBA 基础检查、TOF、Camera、IMU、音频、电机和电池测试，当前置项失败时标记 dependency_skip。质量评分输出 recoverable、hard_fail、dependency_skip、fixture_adjust 等失败分级。固化阶段先写临时文件，执行 fsync，再原子重命名并对目录 fsync，同时写入 CRC 或 signature；publish 阶段向上位机实时发布 PCBA 状态，trace 阶段保存命令、采样摘要、阈值、结果和固化校验记录。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附图说明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图1 系统框图：展示统一命令服务、动态诊断路由、产测节点、标定 provider、质量评分和工厂固化关系。</w:t>
            </w:r>
          </w:p>
          <w:p>
            <w:pPr>
              <w:jc w:val="center"/>
            </w:pPr>
            <w:r>
              <w:drawing>
                <wp:inline>
                  <wp:extent cx="5200000" cy="5257953"/>
                  <wp:docPr id="101" name="multisensor_fig_0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ltisensor_fig_0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5257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图2 系统流程图：展示进入产测模式、命令路由、采样标定、质量判定、重试/判废和追溯输出流程。</w:t>
            </w:r>
          </w:p>
          <w:p>
            <w:pPr>
              <w:jc w:val="center"/>
            </w:pPr>
            <w:r>
              <w:drawing>
                <wp:inline>
                  <wp:extent cx="5200000" cy="9630733"/>
                  <wp:docPr id="102" name="multisensor_fig_0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ltisensor_fig_00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963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3）有益效果及发明点：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（1）产测模式与应用模式隔离，减少业务线程对传感器采样和标定结果的干扰。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（2）产测、研发调试、售后维护复用统一诊断命令入口，降低工装和现场维护成本。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（3）统一 provider 接口便于扩展新的传感器、执行器和标定项。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（4）质量分数、失败原因、PCBA 状态和工厂固化结果绑定到同一追溯模型，提高量产可审计性。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（5）根据失败类型和重试次数自动执行重试、跳过、降级、判废或治具提示，提高自动化程度。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相对于检索报告中列明的多传感器外参标定或快速标定方案，本案的区别不只在单个传感器的标定算法，而在 factory profile 隔离、动态诊断命令路由、provider 生命周期、依赖图编排、PCBA 状态实时发布、工厂数据原子固化和追溯记录闭环，能够补强完整方法步骤和创造性支撑。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核心保护点包括：产测/应用模式隔离但共享硬件抽象和诊断协议的架构；动态诊断命令路由和 profile 隔离机制；多传感器标定编排方法；统一质量评分方法；PCBA 状态、工厂数据和追溯记录关联方法；失败自动处置方法。</w:t>
            </w:r>
          </w:p>
        </w:tc>
      </w:tr>
      <w:tr>
        <w:trPr>
          <w:trHeight w:val="428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五、检测和实验验证</w:t>
            </w:r>
          </w:p>
        </w:tc>
      </w:tr>
      <w:tr>
        <w:trPr>
          <w:trHeight w:val="1544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目前材料未提供真实产线测试报告，不应虚构通过率或节拍数据。建议补充以下验证：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1、命令协议验证：记录 factory.calib.tof.start、factory.calib.camera.poll、factory.pcba.status.get、factory.result.persist 等命令的请求、响应、超时和错误语义。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2、产测隔离验证：记录产测模式下非必要业务任务禁用状态、硬件占用状态和采样稳定性。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3、标定质量验证：保存 TOF 质量分数、相机重投影误差、IMU 零偏/比例/安装角等指标及阈值判定。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4、失败处置验证：构造治具偏移、传感器缺失、数据异常等负样例，验证自动重试、跳过下游、判废和追溯记录。</w:t>
            </w:r>
          </w:p>
        </w:tc>
      </w:tr>
      <w:tr>
        <w:trPr>
          <w:trHeight w:val="365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六、应用领域</w:t>
            </w:r>
          </w:p>
        </w:tc>
      </w:tr>
      <w:tr>
        <w:trPr>
          <w:trHeight w:val="1696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本发明可应用于宠物机器人、消费级移动机器人、陪伴机器人、带多传感器的智能终端 PCBA 产测、整机产测、返修检测、售后诊断和现场维护。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应用方式包括：工厂自动化产测工位；研发 CLI 诊断；售后远程或本地检测；固件版本升级后的传感器复核；批次质量追溯与异常分析。</w:t>
            </w:r>
          </w:p>
        </w:tc>
      </w:tr>
      <w:tr>
        <w:trPr>
          <w:trHeight w:val="367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七、已公开的信息</w:t>
            </w:r>
          </w:p>
        </w:tc>
      </w:tr>
      <w:tr>
        <w:trPr>
          <w:trHeight w:val="2400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未提供本发明已经公开展示、发表或被泄露的信息。如存在产线 SOP、客户验收材料、演示视频或会议发表，应补充公开日期、对象和材料范围。</w:t>
            </w:r>
          </w:p>
        </w:tc>
      </w:tr>
      <w:tr>
        <w:trPr>
          <w:trHeight w:val="541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八、引证资料或其他说明</w:t>
            </w:r>
          </w:p>
        </w:tc>
      </w:tr>
      <w:tr>
        <w:trPr>
          <w:trHeight w:val="1576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1、CN105758426A，Combined calibration method for multiple sensors of mobile robot。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2、CN114440957A，Sensor fusion calibration equipment and method thereof。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3、WO2014060516A1，Method for in-line calibration of an industrial robot。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4、检索报告：WJ2608433-5-一种宠物机器人多传感器产测标定与诊断命令闭环方法及系统。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5、本地交底材料：一种宠物机器人多传感器产测标定与诊断命令闭环方法及系统_20260530204854.md 及 figures_multisensor 图示。</w:t>
            </w:r>
          </w:p>
        </w:tc>
      </w:tr>
      <w:tr>
        <w:trPr>
          <w:trHeight w:val="368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九、取证方式</w:t>
            </w:r>
          </w:p>
        </w:tc>
      </w:tr>
      <w:tr>
        <w:trPr/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可通过以下方式取证：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1、设备或上位机保存统一诊断命令请求/响应、cmd_id、profile、timeout、provider、result_code 和时间戳。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2、工厂数据区保存版本、长度、CRC、签名、标定参数和写入结果。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3、PCBA 状态接口返回每个测试项的状态、质量分数、失败类型、重试次数和固件版本。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4、产测日志保存进入/退出产测模式、业务隔离状态、采样摘要、失败处置动作和追溯记录。</w:t>
            </w:r>
          </w:p>
        </w:tc>
      </w:tr>
      <w:tr>
        <w:trPr/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（本栏由事务所人员填写）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承办人员意见：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eastAsia="楷体_GB2312;楷体" w:ascii="楷体_GB2312;楷体" w:hAnsi="楷体_GB2312;楷体"/>
                <w:sz w:val="22"/>
                <w:lang w:eastAsia="zh-CN"/>
              </w:rPr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eastAsia="楷体_GB2312;楷体" w:ascii="楷体_GB2312;楷体" w:hAnsi="楷体_GB2312;楷体"/>
                <w:sz w:val="22"/>
                <w:lang w:eastAsia="zh-CN"/>
              </w:rPr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eastAsia="楷体_GB2312;楷体" w:ascii="楷体_GB2312;楷体" w:hAnsi="楷体_GB2312;楷体"/>
                <w:sz w:val="22"/>
                <w:lang w:eastAsia="zh-CN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header="567" w:top="1134" w:footer="284" w:bottom="851" w:gutter="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>
        <w:rFonts w:eastAsia="Times New Roman"/>
        <w:color w:val="7F7F7F"/>
        <w:sz w:val="16"/>
        <w:szCs w:val="16"/>
      </w:rPr>
      <w:t xml:space="preserve">                                    </w:t>
    </w:r>
    <w:r>
      <w:rPr>
        <w:rFonts w:eastAsia="Times New Roman"/>
        <w:color w:val="7F7F7F"/>
        <w:sz w:val="16"/>
        <w:szCs w:val="16"/>
        <w:lang w:eastAsia="zh-CN"/>
      </w:rPr>
      <w:t xml:space="preserve">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b/>
        <w:b/>
        <w:bCs/>
        <w:sz w:val="28"/>
        <w:u w:val="single"/>
      </w:rPr>
    </w:pPr>
    <w:r>
      <w:rPr>
        <w:rFonts w:eastAsia="Times New Roman"/>
        <w:b/>
        <w:bCs/>
        <w:sz w:val="28"/>
        <w:lang w:eastAsia="zh-CN"/>
      </w:rPr>
      <w:t xml:space="preserve">    </w:t>
    </w:r>
    <w:r>
      <w:rPr>
        <w:rFonts w:eastAsia="宋体;SimSun"/>
        <w:b/>
        <w:bCs/>
        <w:sz w:val="36"/>
        <w:lang w:eastAsia="zh-CN"/>
      </w:rPr>
      <w:t>深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圳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中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一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联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合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知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识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产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权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代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理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有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限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公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司</w:t>
    </w:r>
    <w:r>
      <w:rPr>
        <w:b/>
        <w:bCs/>
        <w:sz w:val="28"/>
        <w:u w:val="single"/>
      </w:rPr>
      <w:t>CONFIDENTIAL</w:t>
    </w:r>
  </w:p>
  <w:p>
    <w:pPr>
      <w:pStyle w:val="Header"/>
      <w:rPr>
        <w:b/>
        <w:b/>
        <w:bCs/>
        <w:sz w:val="28"/>
        <w:u w:val="single"/>
      </w:rPr>
    </w:pPr>
    <w:r>
      <w:rPr>
        <w:b/>
        <w:bCs/>
        <w:sz w:val="28"/>
        <w:u w:val="single"/>
      </w:rPr>
    </w:r>
  </w:p>
</w:hdr>
</file>

<file path=word/settings.xml><?xml version="1.0" encoding="utf-8"?>
<w:settings xmlns:w="http://schemas.openxmlformats.org/wordprocessingml/2006/main">
  <w:zoom w:percent="110"/>
  <w:defaultTabStop w:val="48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PMingLiU;新細明體" w:cs="Times New Roman"/>
      <w:color w:val="auto"/>
      <w:kern w:val="2"/>
      <w:sz w:val="24"/>
      <w:szCs w:val="24"/>
      <w:lang w:val="en-US" w:eastAsia="zh-TW" w:bidi="ar-SA"/>
    </w:rPr>
  </w:style>
  <w:style w:type="character" w:styleId="WW8Num1z0">
    <w:name w:val="WW8Num1z0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Char">
    <w:name w:val="页眉 Char"/>
    <w:qFormat/>
    <w:rPr>
      <w:kern w:val="2"/>
      <w:lang w:eastAsia="zh-T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Style16">
    <w:name w:val="纯文本"/>
    <w:basedOn w:val="Normal"/>
    <w:qFormat/>
    <w:pPr>
      <w:jc w:val="both"/>
    </w:pPr>
    <w:rPr>
      <w:rFonts w:ascii="宋体;SimSun" w:hAnsi="宋体;SimSun" w:eastAsia="宋体;SimSun" w:cs="Courier New"/>
      <w:sz w:val="21"/>
      <w:szCs w:val="21"/>
      <w:lang w:eastAsia="zh-CN"/>
    </w:rPr>
  </w:style>
  <w:style w:type="paragraph" w:styleId="Style17">
    <w:name w:val="列出段落"/>
    <w:basedOn w:val="Normal"/>
    <w:qFormat/>
    <w:pPr>
      <w:ind w:firstLine="42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header" Target="header1.xml" /><Relationship Id="rId3" Type="http://schemas.openxmlformats.org/officeDocument/2006/relationships/footer" Target="footer1.xml" /><Relationship Id="rId4" Type="http://schemas.openxmlformats.org/officeDocument/2006/relationships/fontTable" Target="fontTable.xml" /><Relationship Id="rId5" Type="http://schemas.openxmlformats.org/officeDocument/2006/relationships/settings" Target="settings.xml" />
<Relationship Id="rId6" Type="http://schemas.openxmlformats.org/officeDocument/2006/relationships/image" Target="media/multisensor_fig_001.png" /><Relationship Id="rId7" Type="http://schemas.openxmlformats.org/officeDocument/2006/relationships/image" Target="media/multisensor_fig_002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2013-04-03T14:06:00Z</dcterms:created>
  <dc:creator>Jim</dc:creator>
  <dc:description/>
  <cp:keywords/>
  <dc:language>en-US</dc:language>
  <cp:lastModifiedBy>z</cp:lastModifiedBy>
  <cp:lastPrinted>2010-04-28T10:15:00Z</cp:lastPrinted>
  <dcterms:modified xsi:type="dcterms:W3CDTF">2022-08-23T10:59:00Z</dcterms:modified>
  <cp:revision>5</cp:revision>
  <dc:subject/>
  <dc:title>patent disclosure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