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：一种宠物机器人多传感器产测标定与诊断命令闭环方法及系统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姓名：雷文军</w:t>
      </w:r>
    </w:p>
    <w:p>
      <w:pPr>
        <w:pStyle w:val="ListBullet"/>
        <w:spacing w:after="60"/>
      </w:pPr>
      <w:r>
        <w:rPr>
          <w:rFonts w:ascii="宋体" w:hAnsi="宋体" w:eastAsia="宋体"/>
          <w:sz w:val="21"/>
        </w:rPr>
        <w:t>电话：15814082410</w:t>
      </w:r>
    </w:p>
    <w:p>
      <w:pPr>
        <w:pStyle w:val="ListBullet"/>
        <w:spacing w:after="60"/>
      </w:pPr>
      <w:r>
        <w:rPr>
          <w:rFonts w:ascii="宋体" w:hAnsi="宋体" w:eastAsia="宋体"/>
          <w:sz w:val="21"/>
        </w:rPr>
        <w:t>邮箱：wenjun.lei@videostrong.com</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（1）交底书应使代理人能看懂，尤其是背景技术和详细技术方案，应写得全面、清楚、完整。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（3）在与代理人沟通时，对于代理人咨询的技术问题，应给予回答并按要求补充相应技术材料。</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检索说明：在 Google Patents 及公开网络资料中，以“移动机器人 多传感器 标定”“机器人 sensor fusion calibration”“robot production test diagnostic command”“camera TOF IMU calibration”等为检索词进行检索；部分公开文本与著录项以 Google Patents 页面复核。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技术方向</w:t>
            </w:r>
          </w:p>
        </w:tc>
        <w:tc>
          <w:tcPr>
            <w:tcW w:type="dxa" w:w="2160"/>
          </w:tcPr>
          <w:p>
            <w:r>
              <w:rPr>
                <w:rFonts w:ascii="宋体" w:hAnsi="宋体" w:eastAsia="宋体"/>
                <w:sz w:val="20"/>
              </w:rPr>
            </w:r>
            <w:r>
              <w:rPr>
                <w:rFonts w:ascii="宋体" w:hAnsi="宋体" w:eastAsia="宋体"/>
                <w:sz w:val="20"/>
              </w:rPr>
              <w:t>公开资料</w:t>
            </w:r>
          </w:p>
        </w:tc>
        <w:tc>
          <w:tcPr>
            <w:tcW w:type="dxa" w:w="2160"/>
          </w:tcPr>
          <w:p>
            <w:r>
              <w:rPr>
                <w:rFonts w:ascii="宋体" w:hAnsi="宋体" w:eastAsia="宋体"/>
                <w:sz w:val="20"/>
              </w:rPr>
            </w:r>
            <w:r>
              <w:rPr>
                <w:rFonts w:ascii="宋体" w:hAnsi="宋体" w:eastAsia="宋体"/>
                <w:sz w:val="20"/>
              </w:rPr>
              <w:t>技术方案概括</w:t>
            </w:r>
          </w:p>
        </w:tc>
        <w:tc>
          <w:tcPr>
            <w:tcW w:type="dxa" w:w="2160"/>
          </w:tcPr>
          <w:p>
            <w:r>
              <w:rPr>
                <w:rFonts w:ascii="宋体" w:hAnsi="宋体" w:eastAsia="宋体"/>
                <w:sz w:val="20"/>
              </w:rPr>
            </w:r>
            <w:r>
              <w:rPr>
                <w:rFonts w:ascii="宋体" w:hAnsi="宋体" w:eastAsia="宋体"/>
                <w:sz w:val="20"/>
              </w:rPr>
              <w:t>局限性</w:t>
            </w:r>
          </w:p>
        </w:tc>
      </w:tr>
      <w:tr>
        <w:tc>
          <w:tcPr>
            <w:tcW w:type="dxa" w:w="2160"/>
          </w:tcPr>
          <w:p>
            <w:r>
              <w:rPr>
                <w:rFonts w:ascii="宋体" w:hAnsi="宋体" w:eastAsia="宋体"/>
                <w:sz w:val="20"/>
              </w:rPr>
            </w:r>
            <w:r>
              <w:rPr>
                <w:rFonts w:ascii="宋体" w:hAnsi="宋体" w:eastAsia="宋体"/>
                <w:sz w:val="20"/>
              </w:rPr>
              <w:t>移动机器人多传感器联合标定</w:t>
            </w:r>
          </w:p>
        </w:tc>
        <w:tc>
          <w:tcPr>
            <w:tcW w:type="dxa" w:w="2160"/>
          </w:tcPr>
          <w:p>
            <w:r>
              <w:rPr>
                <w:rFonts w:ascii="宋体" w:hAnsi="宋体" w:eastAsia="宋体"/>
                <w:sz w:val="20"/>
              </w:rPr>
            </w:r>
            <w:r>
              <w:rPr>
                <w:rFonts w:ascii="宋体" w:hAnsi="宋体" w:eastAsia="宋体"/>
                <w:sz w:val="20"/>
              </w:rPr>
              <w:t>CN105758426A，Combined calibration method for multiple sensors of mobile robot，https://patents.google.com/patent/CN105758426A/en</w:t>
            </w:r>
          </w:p>
        </w:tc>
        <w:tc>
          <w:tcPr>
            <w:tcW w:type="dxa" w:w="2160"/>
          </w:tcPr>
          <w:p>
            <w:r>
              <w:rPr>
                <w:rFonts w:ascii="宋体" w:hAnsi="宋体" w:eastAsia="宋体"/>
                <w:sz w:val="20"/>
              </w:rPr>
            </w:r>
            <w:r>
              <w:rPr>
                <w:rFonts w:ascii="宋体" w:hAnsi="宋体" w:eastAsia="宋体"/>
                <w:sz w:val="20"/>
              </w:rPr>
              <w:t>该方案针对移动机器人中摄像头与二维激光雷达，利用相机内参、相机位姿、雷达位姿和多时刻数据求解二者之间的旋转矩阵与平移矩阵。</w:t>
            </w:r>
          </w:p>
        </w:tc>
        <w:tc>
          <w:tcPr>
            <w:tcW w:type="dxa" w:w="2160"/>
          </w:tcPr>
          <w:p>
            <w:r>
              <w:rPr>
                <w:rFonts w:ascii="宋体" w:hAnsi="宋体" w:eastAsia="宋体"/>
                <w:sz w:val="20"/>
              </w:rPr>
            </w:r>
            <w:r>
              <w:rPr>
                <w:rFonts w:ascii="宋体" w:hAnsi="宋体" w:eastAsia="宋体"/>
                <w:sz w:val="20"/>
              </w:rPr>
              <w:t>重点在传感器间外参求解，未公开量产产测模式隔离、统一诊断命令、PCBA 实时状态发布、工厂数据固化和失败自动处置闭环。</w:t>
            </w:r>
          </w:p>
        </w:tc>
      </w:tr>
      <w:tr>
        <w:tc>
          <w:tcPr>
            <w:tcW w:type="dxa" w:w="2160"/>
          </w:tcPr>
          <w:p>
            <w:r>
              <w:rPr>
                <w:rFonts w:ascii="宋体" w:hAnsi="宋体" w:eastAsia="宋体"/>
                <w:sz w:val="20"/>
              </w:rPr>
            </w:r>
            <w:r>
              <w:rPr>
                <w:rFonts w:ascii="宋体" w:hAnsi="宋体" w:eastAsia="宋体"/>
                <w:sz w:val="20"/>
              </w:rPr>
              <w:t>多方向传感器融合标定设备</w:t>
            </w:r>
          </w:p>
        </w:tc>
        <w:tc>
          <w:tcPr>
            <w:tcW w:type="dxa" w:w="2160"/>
          </w:tcPr>
          <w:p>
            <w:r>
              <w:rPr>
                <w:rFonts w:ascii="宋体" w:hAnsi="宋体" w:eastAsia="宋体"/>
                <w:sz w:val="20"/>
              </w:rPr>
            </w:r>
            <w:r>
              <w:rPr>
                <w:rFonts w:ascii="宋体" w:hAnsi="宋体" w:eastAsia="宋体"/>
                <w:sz w:val="20"/>
              </w:rPr>
              <w:t>CN114440957A，Sensor fusion calibration equipment and method thereof，https://patents.google.com/patent/CN114440957A/en</w:t>
            </w:r>
          </w:p>
        </w:tc>
        <w:tc>
          <w:tcPr>
            <w:tcW w:type="dxa" w:w="2160"/>
          </w:tcPr>
          <w:p>
            <w:r>
              <w:rPr>
                <w:rFonts w:ascii="宋体" w:hAnsi="宋体" w:eastAsia="宋体"/>
                <w:sz w:val="20"/>
              </w:rPr>
            </w:r>
            <w:r>
              <w:rPr>
                <w:rFonts w:ascii="宋体" w:hAnsi="宋体" w:eastAsia="宋体"/>
                <w:sz w:val="20"/>
              </w:rPr>
              <w:t>该方案通过标定板、机器人承载平台、角度调整转台和控制系统，使机器人上不同方向的多个传感器可对准标定面并获取标定结果。</w:t>
            </w:r>
          </w:p>
        </w:tc>
        <w:tc>
          <w:tcPr>
            <w:tcW w:type="dxa" w:w="2160"/>
          </w:tcPr>
          <w:p>
            <w:r>
              <w:rPr>
                <w:rFonts w:ascii="宋体" w:hAnsi="宋体" w:eastAsia="宋体"/>
                <w:sz w:val="20"/>
              </w:rPr>
            </w:r>
            <w:r>
              <w:rPr>
                <w:rFonts w:ascii="宋体" w:hAnsi="宋体" w:eastAsia="宋体"/>
                <w:sz w:val="20"/>
              </w:rPr>
              <w:t>重点在标定治具结构和多方向传感器一次性对准，未覆盖宠物机器人量产中 TOF、Camera、IMU、音频、电机、电池等多项 PCBA 检测与诊断命令统一路由。</w:t>
            </w:r>
          </w:p>
        </w:tc>
      </w:tr>
      <w:tr>
        <w:tc>
          <w:tcPr>
            <w:tcW w:type="dxa" w:w="2160"/>
          </w:tcPr>
          <w:p>
            <w:r>
              <w:rPr>
                <w:rFonts w:ascii="宋体" w:hAnsi="宋体" w:eastAsia="宋体"/>
                <w:sz w:val="20"/>
              </w:rPr>
            </w:r>
            <w:r>
              <w:rPr>
                <w:rFonts w:ascii="宋体" w:hAnsi="宋体" w:eastAsia="宋体"/>
                <w:sz w:val="20"/>
              </w:rPr>
              <w:t>一般机器人在线或工位标定</w:t>
            </w:r>
          </w:p>
        </w:tc>
        <w:tc>
          <w:tcPr>
            <w:tcW w:type="dxa" w:w="2160"/>
          </w:tcPr>
          <w:p>
            <w:r>
              <w:rPr>
                <w:rFonts w:ascii="宋体" w:hAnsi="宋体" w:eastAsia="宋体"/>
                <w:sz w:val="20"/>
              </w:rPr>
            </w:r>
            <w:r>
              <w:rPr>
                <w:rFonts w:ascii="宋体" w:hAnsi="宋体" w:eastAsia="宋体"/>
                <w:sz w:val="20"/>
              </w:rPr>
              <w:t>例如 WO2014060516A1，Method for in-line calibration of an industrial robot，https://patents.google.com/patent/WO2014060516A1/en</w:t>
            </w:r>
          </w:p>
        </w:tc>
        <w:tc>
          <w:tcPr>
            <w:tcW w:type="dxa" w:w="2160"/>
          </w:tcPr>
          <w:p>
            <w:r>
              <w:rPr>
                <w:rFonts w:ascii="宋体" w:hAnsi="宋体" w:eastAsia="宋体"/>
                <w:sz w:val="20"/>
              </w:rPr>
            </w:r>
            <w:r>
              <w:rPr>
                <w:rFonts w:ascii="宋体" w:hAnsi="宋体" w:eastAsia="宋体"/>
                <w:sz w:val="20"/>
              </w:rPr>
              <w:t>该类方案通常利用固定光源、光学位置传感器、机械臂运动或工位约束完成在线标定。</w:t>
            </w:r>
          </w:p>
        </w:tc>
        <w:tc>
          <w:tcPr>
            <w:tcW w:type="dxa" w:w="2160"/>
          </w:tcPr>
          <w:p>
            <w:r>
              <w:rPr>
                <w:rFonts w:ascii="宋体" w:hAnsi="宋体" w:eastAsia="宋体"/>
                <w:sz w:val="20"/>
              </w:rPr>
            </w:r>
            <w:r>
              <w:rPr>
                <w:rFonts w:ascii="宋体" w:hAnsi="宋体" w:eastAsia="宋体"/>
                <w:sz w:val="20"/>
              </w:rPr>
              <w:t>多面向工业机械臂或工位位置校正，缺少面向消费级宠物机器人小型硬件、多传感器 PCBA 测试、产测/应用模式隔离和追溯数据模型。</w:t>
            </w:r>
          </w:p>
        </w:tc>
      </w:tr>
    </w:tbl>
    <w:p>
      <w:pPr>
        <w:spacing w:after="120" w:line="276" w:lineRule="auto"/>
      </w:pPr>
      <w:r>
        <w:rPr>
          <w:rFonts w:ascii="宋体" w:hAnsi="宋体" w:eastAsia="宋体"/>
          <w:sz w:val="21"/>
        </w:rPr>
        <w:t>检索总结：现有公开技术分别解决“传感器外参如何求解”或“治具如何对准多个传感器”的问题，但并未形成面向宠物机器人量产的“产测运行体隔离、统一诊断命令、标定状态机、质量评分、工厂固化、PCBA 发布和失败智能处置”闭环。</w:t>
      </w:r>
    </w:p>
    <w:p>
      <w:pPr>
        <w:pStyle w:val="Heading3"/>
      </w:pPr>
      <w:r>
        <w:rPr>
          <w:rFonts w:ascii="宋体" w:hAnsi="宋体" w:eastAsia="宋体"/>
        </w:rPr>
        <w:t>1.2 现有技术存在的缺点</w:t>
      </w:r>
    </w:p>
    <w:p>
      <w:pPr>
        <w:pStyle w:val="ListNumber"/>
        <w:spacing w:after="60"/>
      </w:pPr>
      <w:r>
        <w:rPr>
          <w:rFonts w:ascii="宋体" w:hAnsi="宋体" w:eastAsia="宋体"/>
          <w:sz w:val="21"/>
        </w:rPr>
        <w:t>产测链路割裂：单项测试脚本之间缺少统一状态机，无法表达 TOF、摄像头、IMU 等标定项之间的依赖关系。</w:t>
      </w:r>
    </w:p>
    <w:p>
      <w:pPr>
        <w:pStyle w:val="ListNumber"/>
        <w:spacing w:after="60"/>
      </w:pPr>
      <w:r>
        <w:rPr>
          <w:rFonts w:ascii="宋体" w:hAnsi="宋体" w:eastAsia="宋体"/>
          <w:sz w:val="21"/>
        </w:rPr>
        <w:t>诊断入口不统一：应用诊断、产测诊断、上位机工装和研发 CLI 往往使用不同协议，导致命令复用和现场维护困难。</w:t>
      </w:r>
    </w:p>
    <w:p>
      <w:pPr>
        <w:pStyle w:val="ListNumber"/>
        <w:spacing w:after="60"/>
      </w:pPr>
      <w:r>
        <w:rPr>
          <w:rFonts w:ascii="宋体" w:hAnsi="宋体" w:eastAsia="宋体"/>
          <w:sz w:val="21"/>
        </w:rPr>
        <w:t>标定质量不可追溯：现有方案常仅输出外参或单项结果，缺少命令 ID、失败阶段、质量分数、重试次数和固化路径。</w:t>
      </w:r>
    </w:p>
    <w:p>
      <w:pPr>
        <w:pStyle w:val="ListNumber"/>
        <w:spacing w:after="60"/>
      </w:pPr>
      <w:r>
        <w:rPr>
          <w:rFonts w:ascii="宋体" w:hAnsi="宋体" w:eastAsia="宋体"/>
          <w:sz w:val="21"/>
        </w:rPr>
        <w:t>应用业务干扰产测：正常应用中的 AI、导航、音视频、网络和运动控制线程可能占用资源，影响标定采样稳定性。</w:t>
      </w:r>
    </w:p>
    <w:p>
      <w:pPr>
        <w:pStyle w:val="ListNumber"/>
        <w:spacing w:after="60"/>
      </w:pPr>
      <w:r>
        <w:rPr>
          <w:rFonts w:ascii="宋体" w:hAnsi="宋体" w:eastAsia="宋体"/>
          <w:sz w:val="21"/>
        </w:rPr>
        <w:t>自动化决策不足：现有工装多依赖人工判读，无法根据质量分数和失败类型自动重试、跳过、降级或判废。</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要解决的技术问题是：在宠物机器人量产、返修和现场维护过程中，如何通过统一诊断命令协议和独立产测模式，对多种传感器和执行器进行自动检测、自动标定、质量评分、结果固化和追溯，并避免正常应用业务对产测准确性的干扰。</w:t>
      </w:r>
    </w:p>
    <w:p>
      <w:pPr>
        <w:spacing w:after="120" w:line="276" w:lineRule="auto"/>
      </w:pPr>
      <w:r>
        <w:rPr>
          <w:rFonts w:ascii="宋体" w:hAnsi="宋体" w:eastAsia="宋体"/>
          <w:sz w:val="21"/>
        </w:rPr>
        <w:t>进一步地，本发明解决：产测模式与应用模式解耦、统一命令路由、TOF/Camera/IMU 标定编排、PCBA 状态实时发布、工厂数据可靠写入、失败自动处置和量产追溯问题。</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宠物机器人通常集成摄像头、TOF、IMU、麦克风、扬声器、电机、红外、Wi-Fi/BT、电池、按键和显示等模块。其产测不仅要判断硬件是否连通，还要形成供应用模式使用的标定数据。本发明将产测模式作为独立运行体，使其复用硬件抽象层和诊断框架，但与正常应用任务隔离。</w:t>
      </w:r>
    </w:p>
    <w:p>
      <w:pPr>
        <w:pStyle w:val="Heading3"/>
      </w:pPr>
      <w:r>
        <w:rPr>
          <w:rFonts w:ascii="宋体" w:hAnsi="宋体" w:eastAsia="宋体"/>
        </w:rPr>
        <w:t>3.2 系统框图</w:t>
      </w:r>
    </w:p>
    <w:p>
      <w:pPr>
        <w:spacing w:after="120" w:before="60"/>
      </w:pPr>
      <w:r>
        <w:rPr>
          <w:b w:val="0"/>
        </w:rPr>
        <w:drawing>
          <wp:inline xmlns:a="http://schemas.openxmlformats.org/drawingml/2006/main" xmlns:pic="http://schemas.openxmlformats.org/drawingml/2006/picture">
            <wp:extent cx="5029200" cy="5085249"/>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5085249"/>
                    </a:xfrm>
                    <a:prstGeom prst="rect"/>
                  </pic:spPr>
                </pic:pic>
              </a:graphicData>
            </a:graphic>
          </wp:inline>
        </w:drawing>
      </w:r>
    </w:p>
    <w:p>
      <w:pPr>
        <w:pStyle w:val="Heading3"/>
      </w:pPr>
      <w:r>
        <w:rPr>
          <w:rFonts w:ascii="宋体" w:hAnsi="宋体" w:eastAsia="宋体"/>
        </w:rPr>
        <w:t>3.3 模块功能说明</w:t>
      </w:r>
    </w:p>
    <w:p>
      <w:pPr>
        <w:pStyle w:val="ListNumber"/>
        <w:spacing w:after="60"/>
      </w:pPr>
      <w:r>
        <w:rPr>
          <w:rFonts w:ascii="宋体" w:hAnsi="宋体" w:eastAsia="宋体"/>
          <w:sz w:val="21"/>
        </w:rPr>
        <w:t>模式管理模块：负责在应用模式和产测模式间切换；产测模式启动独立产测运行体，应用模式启动正常业务运行体。</w:t>
      </w:r>
    </w:p>
    <w:p>
      <w:pPr>
        <w:pStyle w:val="ListNumber"/>
        <w:spacing w:after="60"/>
      </w:pPr>
      <w:r>
        <w:rPr>
          <w:rFonts w:ascii="宋体" w:hAnsi="宋体" w:eastAsia="宋体"/>
          <w:sz w:val="21"/>
        </w:rPr>
        <w:t>命令服务模块：负责协议接入、解析、限流、超时和路由，不直接执行业务标定。</w:t>
      </w:r>
    </w:p>
    <w:p>
      <w:pPr>
        <w:pStyle w:val="ListNumber"/>
        <w:spacing w:after="60"/>
      </w:pPr>
      <w:r>
        <w:rPr>
          <w:rFonts w:ascii="宋体" w:hAnsi="宋体" w:eastAsia="宋体"/>
          <w:sz w:val="21"/>
        </w:rPr>
        <w:t>产测诊断节点：在产测 profile 下注册 PCBA 检测、模块检测、标定、老化和版本查询命令。</w:t>
      </w:r>
    </w:p>
    <w:p>
      <w:pPr>
        <w:pStyle w:val="ListNumber"/>
        <w:spacing w:after="60"/>
      </w:pPr>
      <w:r>
        <w:rPr>
          <w:rFonts w:ascii="宋体" w:hAnsi="宋体" w:eastAsia="宋体"/>
          <w:sz w:val="21"/>
        </w:rPr>
        <w:t>硬件抽象模块：屏蔽 GPIO、UART、I2C、ADC、PWM、TOF、IMU、AI/AO、VI、IR、电机和电池差异。</w:t>
      </w:r>
    </w:p>
    <w:p>
      <w:pPr>
        <w:pStyle w:val="ListNumber"/>
        <w:spacing w:after="60"/>
      </w:pPr>
      <w:r>
        <w:rPr>
          <w:rFonts w:ascii="宋体" w:hAnsi="宋体" w:eastAsia="宋体"/>
          <w:sz w:val="21"/>
        </w:rPr>
        <w:t>标定编排模块：以策略表或统一标定器接口调度不同标定流程，使新增标定项不改变主流程。</w:t>
      </w:r>
    </w:p>
    <w:p>
      <w:pPr>
        <w:pStyle w:val="ListNumber"/>
        <w:spacing w:after="60"/>
      </w:pPr>
      <w:r>
        <w:rPr>
          <w:rFonts w:ascii="宋体" w:hAnsi="宋体" w:eastAsia="宋体"/>
          <w:sz w:val="21"/>
        </w:rPr>
        <w:t>结果与追溯模块：将实时状态、工厂固化结果和追溯记录关联到同一命令 ID 与测试项 ID。</w:t>
      </w:r>
    </w:p>
    <w:p>
      <w:pPr>
        <w:pStyle w:val="Heading3"/>
      </w:pPr>
      <w:r>
        <w:rPr>
          <w:rFonts w:ascii="宋体" w:hAnsi="宋体" w:eastAsia="宋体"/>
        </w:rPr>
        <w:t>3.4 系统流程说明</w:t>
      </w:r>
    </w:p>
    <w:p>
      <w:pPr>
        <w:spacing w:after="120" w:before="60"/>
      </w:pPr>
      <w:r>
        <w:rPr>
          <w:b w:val="0"/>
        </w:rPr>
        <w:drawing>
          <wp:inline xmlns:a="http://schemas.openxmlformats.org/drawingml/2006/main" xmlns:pic="http://schemas.openxmlformats.org/drawingml/2006/picture">
            <wp:extent cx="4048498"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4048498" cy="7498079"/>
                    </a:xfrm>
                    <a:prstGeom prst="rect"/>
                  </pic:spPr>
                </pic:pic>
              </a:graphicData>
            </a:graphic>
          </wp:inline>
        </w:drawing>
      </w:r>
    </w:p>
    <w:p>
      <w:pPr>
        <w:spacing w:after="120" w:line="276" w:lineRule="auto"/>
      </w:pPr>
      <w:r>
        <w:rPr>
          <w:rFonts w:ascii="宋体" w:hAnsi="宋体" w:eastAsia="宋体"/>
          <w:sz w:val="21"/>
        </w:rPr>
        <w:t>流程说明：系统先隔离进入产测运行体，再按产测 profile 接收命令。每个测试项通过 provider 执行，标定编排模块轮询状态并进行质量判定。通过项写入工厂分区并发布 PCBA 状态；失败项根据失败类型进行重试、跳过或判废。</w:t>
      </w:r>
    </w:p>
    <w:p>
      <w:pPr>
        <w:pStyle w:val="Heading3"/>
      </w:pPr>
      <w:r>
        <w:rPr>
          <w:rFonts w:ascii="宋体" w:hAnsi="宋体" w:eastAsia="宋体"/>
        </w:rPr>
        <w:t>3.4.1 符号与公式</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69443" cy="155448"/>
                  <wp:docPr id="3" name="Picture 3"/>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26944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TOF 质量分数</w:t>
            </w:r>
          </w:p>
        </w:tc>
        <w:tc>
          <w:tcPr>
            <w:tcW w:type="dxa" w:w="2880"/>
          </w:tcPr>
          <w:p>
            <w:r>
              <w:rPr>
                <w:rFonts w:ascii="宋体" w:hAnsi="宋体" w:eastAsia="宋体"/>
                <w:sz w:val="20"/>
              </w:rPr>
            </w:r>
            <w:r>
              <w:rPr>
                <w:rFonts w:ascii="宋体" w:hAnsi="宋体" w:eastAsia="宋体"/>
                <w:sz w:val="20"/>
              </w:rPr>
              <w:t>0 至 1</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91728" cy="155448"/>
                  <wp:docPr id="4" name="Picture 4"/>
                  <wp:cNvGraphicFramePr>
                    <a:graphicFrameLocks noChangeAspect="1"/>
                  </wp:cNvGraphicFramePr>
                  <a:graphic>
                    <a:graphicData uri="http://schemas.openxmlformats.org/drawingml/2006/picture">
                      <pic:pic>
                        <pic:nvPicPr>
                          <pic:cNvPr id="0" name="inline_002.png"/>
                          <pic:cNvPicPr/>
                        </pic:nvPicPr>
                        <pic:blipFill>
                          <a:blip r:embed="rId12"/>
                          <a:stretch>
                            <a:fillRect/>
                          </a:stretch>
                        </pic:blipFill>
                        <pic:spPr>
                          <a:xfrm>
                            <a:off x="0" y="0"/>
                            <a:ext cx="39172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TOF 有效点比例</w:t>
            </w:r>
          </w:p>
        </w:tc>
        <w:tc>
          <w:tcPr>
            <w:tcW w:type="dxa" w:w="2880"/>
          </w:tcPr>
          <w:p>
            <w:r>
              <w:rPr>
                <w:rFonts w:ascii="宋体" w:hAnsi="宋体" w:eastAsia="宋体"/>
                <w:sz w:val="20"/>
              </w:rPr>
            </w:r>
            <w:r>
              <w:rPr>
                <w:rFonts w:ascii="宋体" w:hAnsi="宋体" w:eastAsia="宋体"/>
                <w:sz w:val="20"/>
              </w:rPr>
              <w:t>0 至 1</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98983" cy="155448"/>
                  <wp:docPr id="5" name="Picture 5"/>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39898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TOF 平均距离</w:t>
            </w:r>
          </w:p>
        </w:tc>
        <w:tc>
          <w:tcPr>
            <w:tcW w:type="dxa" w:w="2880"/>
          </w:tcPr>
          <w:p>
            <w:r>
              <w:rPr>
                <w:rFonts w:ascii="宋体" w:hAnsi="宋体" w:eastAsia="宋体"/>
                <w:sz w:val="20"/>
              </w:rPr>
            </w:r>
            <w:r>
              <w:rPr>
                <w:rFonts w:ascii="宋体" w:hAnsi="宋体" w:eastAsia="宋体"/>
                <w:sz w:val="20"/>
              </w:rPr>
              <w:t>米或毫米</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58394" cy="155448"/>
                  <wp:docPr id="6" name="Picture 6"/>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3583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治具目标距离</w:t>
            </w:r>
          </w:p>
        </w:tc>
        <w:tc>
          <w:tcPr>
            <w:tcW w:type="dxa" w:w="2880"/>
          </w:tcPr>
          <w:p>
            <w:r>
              <w:rPr>
                <w:rFonts w:ascii="宋体" w:hAnsi="宋体" w:eastAsia="宋体"/>
                <w:sz w:val="20"/>
              </w:rPr>
            </w:r>
            <w:r>
              <w:rPr>
                <w:rFonts w:ascii="宋体" w:hAnsi="宋体" w:eastAsia="宋体"/>
                <w:sz w:val="20"/>
              </w:rPr>
              <w:t>米或毫米</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7266" cy="155448"/>
                  <wp:docPr id="7" name="Picture 7"/>
                  <wp:cNvGraphicFramePr>
                    <a:graphicFrameLocks noChangeAspect="1"/>
                  </wp:cNvGraphicFramePr>
                  <a:graphic>
                    <a:graphicData uri="http://schemas.openxmlformats.org/drawingml/2006/picture">
                      <pic:pic>
                        <pic:nvPicPr>
                          <pic:cNvPr id="0" name="inline_005.png"/>
                          <pic:cNvPicPr/>
                        </pic:nvPicPr>
                        <pic:blipFill>
                          <a:blip r:embed="rId15"/>
                          <a:stretch>
                            <a:fillRect/>
                          </a:stretch>
                        </pic:blipFill>
                        <pic:spPr>
                          <a:xfrm>
                            <a:off x="0" y="0"/>
                            <a:ext cx="147266"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距离方差</w:t>
            </w:r>
          </w:p>
        </w:tc>
        <w:tc>
          <w:tcPr>
            <w:tcW w:type="dxa" w:w="2880"/>
          </w:tcPr>
          <w:p>
            <w:r>
              <w:rPr>
                <w:rFonts w:ascii="宋体" w:hAnsi="宋体" w:eastAsia="宋体"/>
                <w:sz w:val="20"/>
              </w:rPr>
            </w:r>
            <w:r>
              <w:rPr>
                <w:rFonts w:ascii="宋体" w:hAnsi="宋体" w:eastAsia="宋体"/>
                <w:sz w:val="20"/>
              </w:rPr>
              <w:t>距离平方</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69443" cy="155448"/>
                  <wp:docPr id="8" name="Picture 8"/>
                  <wp:cNvGraphicFramePr>
                    <a:graphicFrameLocks noChangeAspect="1"/>
                  </wp:cNvGraphicFramePr>
                  <a:graphic>
                    <a:graphicData uri="http://schemas.openxmlformats.org/drawingml/2006/picture">
                      <pic:pic>
                        <pic:nvPicPr>
                          <pic:cNvPr id="0" name="inline_006.png"/>
                          <pic:cNvPicPr/>
                        </pic:nvPicPr>
                        <pic:blipFill>
                          <a:blip r:embed="rId16"/>
                          <a:stretch>
                            <a:fillRect/>
                          </a:stretch>
                        </pic:blipFill>
                        <pic:spPr>
                          <a:xfrm>
                            <a:off x="0" y="0"/>
                            <a:ext cx="26944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相机重投影误差</w:t>
            </w:r>
          </w:p>
        </w:tc>
        <w:tc>
          <w:tcPr>
            <w:tcW w:type="dxa" w:w="2880"/>
          </w:tcPr>
          <w:p>
            <w:r>
              <w:rPr>
                <w:rFonts w:ascii="宋体" w:hAnsi="宋体" w:eastAsia="宋体"/>
                <w:sz w:val="20"/>
              </w:rPr>
            </w:r>
            <w:r>
              <w:rPr>
                <w:rFonts w:ascii="宋体" w:hAnsi="宋体" w:eastAsia="宋体"/>
                <w:sz w:val="20"/>
              </w:rPr>
              <w:t>像素</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9" name="Picture 9"/>
                  <wp:cNvGraphicFramePr>
                    <a:graphicFrameLocks noChangeAspect="1"/>
                  </wp:cNvGraphicFramePr>
                  <a:graphic>
                    <a:graphicData uri="http://schemas.openxmlformats.org/drawingml/2006/picture">
                      <pic:pic>
                        <pic:nvPicPr>
                          <pic:cNvPr id="0" name="inline_007.png"/>
                          <pic:cNvPicPr/>
                        </pic:nvPicPr>
                        <pic:blipFill>
                          <a:blip r:embed="rId17"/>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陀螺零偏</w:t>
            </w:r>
          </w:p>
        </w:tc>
        <w:tc>
          <w:tcPr>
            <w:tcW w:type="dxa" w:w="2880"/>
          </w:tcPr>
          <w:p>
            <w:r>
              <w:rPr>
                <w:rFonts w:ascii="宋体" w:hAnsi="宋体" w:eastAsia="宋体"/>
                <w:sz w:val="20"/>
              </w:rPr>
            </w:r>
            <w:r>
              <w:rPr>
                <w:rFonts w:ascii="宋体" w:hAnsi="宋体" w:eastAsia="宋体"/>
                <w:sz w:val="20"/>
              </w:rPr>
              <w:t>rad/s</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41985" cy="155448"/>
                  <wp:docPr id="10" name="Picture 10"/>
                  <wp:cNvGraphicFramePr>
                    <a:graphicFrameLocks noChangeAspect="1"/>
                  </wp:cNvGraphicFramePr>
                  <a:graphic>
                    <a:graphicData uri="http://schemas.openxmlformats.org/drawingml/2006/picture">
                      <pic:pic>
                        <pic:nvPicPr>
                          <pic:cNvPr id="0" name="inline_008.png"/>
                          <pic:cNvPicPr/>
                        </pic:nvPicPr>
                        <pic:blipFill>
                          <a:blip r:embed="rId18"/>
                          <a:stretch>
                            <a:fillRect/>
                          </a:stretch>
                        </pic:blipFill>
                        <pic:spPr>
                          <a:xfrm>
                            <a:off x="0" y="0"/>
                            <a:ext cx="341985"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IMU 比例因子</w:t>
            </w:r>
          </w:p>
        </w:tc>
        <w:tc>
          <w:tcPr>
            <w:tcW w:type="dxa" w:w="2880"/>
          </w:tcPr>
          <w:p>
            <w:r>
              <w:rPr>
                <w:rFonts w:ascii="宋体" w:hAnsi="宋体" w:eastAsia="宋体"/>
                <w:sz w:val="20"/>
              </w:rPr>
            </w:r>
            <w:r>
              <w:rPr>
                <w:rFonts w:ascii="宋体" w:hAnsi="宋体" w:eastAsia="宋体"/>
                <w:sz w:val="20"/>
              </w:rPr>
              <w:t>无量纲</w:t>
            </w:r>
          </w:p>
        </w:tc>
      </w:tr>
    </w:tbl>
    <w:p>
      <w:pPr>
        <w:spacing w:after="120" w:line="276" w:lineRule="auto"/>
      </w:pPr>
      <w:r>
        <w:rPr>
          <w:rFonts w:ascii="宋体" w:hAnsi="宋体" w:eastAsia="宋体"/>
          <w:sz w:val="21"/>
        </w:rPr>
        <w:t>TOF 质量分数可表示为：</w:t>
      </w:r>
    </w:p>
    <w:p>
      <w:pPr>
        <w:spacing w:after="120" w:before="60"/>
      </w:pPr>
      <w:r>
        <w:rPr>
          <w:b w:val="0"/>
        </w:rPr>
        <w:drawing>
          <wp:inline xmlns:a="http://schemas.openxmlformats.org/drawingml/2006/main" xmlns:pic="http://schemas.openxmlformats.org/drawingml/2006/picture">
            <wp:extent cx="2574784" cy="155448"/>
            <wp:docPr id="11" name="Picture 11"/>
            <wp:cNvGraphicFramePr>
              <a:graphicFrameLocks noChangeAspect="1"/>
            </wp:cNvGraphicFramePr>
            <a:graphic>
              <a:graphicData uri="http://schemas.openxmlformats.org/drawingml/2006/picture">
                <pic:pic>
                  <pic:nvPicPr>
                    <pic:cNvPr id="0" name="eq_001.png"/>
                    <pic:cNvPicPr/>
                  </pic:nvPicPr>
                  <pic:blipFill>
                    <a:blip r:embed="rId19"/>
                    <a:stretch>
                      <a:fillRect/>
                    </a:stretch>
                  </pic:blipFill>
                  <pic:spPr>
                    <a:xfrm>
                      <a:off x="0" y="0"/>
                      <a:ext cx="2574784"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1224930" cy="155448"/>
            <wp:docPr id="12" name="Picture 12"/>
            <wp:cNvGraphicFramePr>
              <a:graphicFrameLocks noChangeAspect="1"/>
            </wp:cNvGraphicFramePr>
            <a:graphic>
              <a:graphicData uri="http://schemas.openxmlformats.org/drawingml/2006/picture">
                <pic:pic>
                  <pic:nvPicPr>
                    <pic:cNvPr id="0" name="inline_009.png"/>
                    <pic:cNvPicPr/>
                  </pic:nvPicPr>
                  <pic:blipFill>
                    <a:blip r:embed="rId20"/>
                    <a:stretch>
                      <a:fillRect/>
                    </a:stretch>
                  </pic:blipFill>
                  <pic:spPr>
                    <a:xfrm>
                      <a:off x="0" y="0"/>
                      <a:ext cx="1224930" cy="155448"/>
                    </a:xfrm>
                    <a:prstGeom prst="rect"/>
                  </pic:spPr>
                </pic:pic>
              </a:graphicData>
            </a:graphic>
          </wp:inline>
        </w:drawing>
      </w:r>
      <w:r>
        <w:rPr>
          <w:rFonts w:ascii="宋体" w:hAnsi="宋体" w:eastAsia="宋体"/>
          <w:sz w:val="21"/>
        </w:rPr>
        <w:t xml:space="preserve"> 为预设权重，</w:t>
      </w:r>
      <w:r>
        <w:rPr>
          <w:rFonts w:ascii="宋体" w:hAnsi="宋体" w:eastAsia="宋体"/>
          <w:b w:val="0"/>
          <w:sz w:val="21"/>
        </w:rPr>
        <w:drawing>
          <wp:inline xmlns:a="http://schemas.openxmlformats.org/drawingml/2006/main" xmlns:pic="http://schemas.openxmlformats.org/drawingml/2006/picture">
            <wp:extent cx="186537" cy="155448"/>
            <wp:docPr id="13" name="Picture 13"/>
            <wp:cNvGraphicFramePr>
              <a:graphicFrameLocks noChangeAspect="1"/>
            </wp:cNvGraphicFramePr>
            <a:graphic>
              <a:graphicData uri="http://schemas.openxmlformats.org/drawingml/2006/picture">
                <pic:pic>
                  <pic:nvPicPr>
                    <pic:cNvPr id="0" name="inline_010.png"/>
                    <pic:cNvPicPr/>
                  </pic:nvPicPr>
                  <pic:blipFill>
                    <a:blip r:embed="rId21"/>
                    <a:stretch>
                      <a:fillRect/>
                    </a:stretch>
                  </pic:blipFill>
                  <pic:spPr>
                    <a:xfrm>
                      <a:off x="0" y="0"/>
                      <a:ext cx="186537" cy="155448"/>
                    </a:xfrm>
                    <a:prstGeom prst="rect"/>
                  </pic:spPr>
                </pic:pic>
              </a:graphicData>
            </a:graphic>
          </wp:inline>
        </w:drawing>
      </w:r>
      <w:r>
        <w:rPr>
          <w:rFonts w:ascii="宋体" w:hAnsi="宋体" w:eastAsia="宋体"/>
          <w:sz w:val="21"/>
        </w:rPr>
        <w:t xml:space="preserve"> 为距离容差，</w:t>
      </w:r>
      <w:r>
        <w:rPr>
          <w:rFonts w:ascii="宋体" w:hAnsi="宋体" w:eastAsia="宋体"/>
          <w:b w:val="0"/>
          <w:sz w:val="21"/>
        </w:rPr>
        <w:drawing>
          <wp:inline xmlns:a="http://schemas.openxmlformats.org/drawingml/2006/main" xmlns:pic="http://schemas.openxmlformats.org/drawingml/2006/picture">
            <wp:extent cx="186537" cy="155448"/>
            <wp:docPr id="14" name="Picture 14"/>
            <wp:cNvGraphicFramePr>
              <a:graphicFrameLocks noChangeAspect="1"/>
            </wp:cNvGraphicFramePr>
            <a:graphic>
              <a:graphicData uri="http://schemas.openxmlformats.org/drawingml/2006/picture">
                <pic:pic>
                  <pic:nvPicPr>
                    <pic:cNvPr id="0" name="inline_011.png"/>
                    <pic:cNvPicPr/>
                  </pic:nvPicPr>
                  <pic:blipFill>
                    <a:blip r:embed="rId22"/>
                    <a:stretch>
                      <a:fillRect/>
                    </a:stretch>
                  </pic:blipFill>
                  <pic:spPr>
                    <a:xfrm>
                      <a:off x="0" y="0"/>
                      <a:ext cx="186537" cy="155448"/>
                    </a:xfrm>
                    <a:prstGeom prst="rect"/>
                  </pic:spPr>
                </pic:pic>
              </a:graphicData>
            </a:graphic>
          </wp:inline>
        </w:drawing>
      </w:r>
      <w:r>
        <w:rPr>
          <w:rFonts w:ascii="宋体" w:hAnsi="宋体" w:eastAsia="宋体"/>
          <w:sz w:val="21"/>
        </w:rPr>
        <w:t xml:space="preserve"> 为方差容差，</w:t>
      </w:r>
      <w:r>
        <w:rPr>
          <w:rFonts w:ascii="宋体" w:hAnsi="宋体" w:eastAsia="宋体"/>
          <w:b w:val="0"/>
          <w:sz w:val="21"/>
        </w:rPr>
        <w:drawing>
          <wp:inline xmlns:a="http://schemas.openxmlformats.org/drawingml/2006/main" xmlns:pic="http://schemas.openxmlformats.org/drawingml/2006/picture">
            <wp:extent cx="497433" cy="155448"/>
            <wp:docPr id="15" name="Picture 15"/>
            <wp:cNvGraphicFramePr>
              <a:graphicFrameLocks noChangeAspect="1"/>
            </wp:cNvGraphicFramePr>
            <a:graphic>
              <a:graphicData uri="http://schemas.openxmlformats.org/drawingml/2006/picture">
                <pic:pic>
                  <pic:nvPicPr>
                    <pic:cNvPr id="0" name="inline_012.png"/>
                    <pic:cNvPicPr/>
                  </pic:nvPicPr>
                  <pic:blipFill>
                    <a:blip r:embed="rId23"/>
                    <a:stretch>
                      <a:fillRect/>
                    </a:stretch>
                  </pic:blipFill>
                  <pic:spPr>
                    <a:xfrm>
                      <a:off x="0" y="0"/>
                      <a:ext cx="497433" cy="155448"/>
                    </a:xfrm>
                    <a:prstGeom prst="rect"/>
                  </pic:spPr>
                </pic:pic>
              </a:graphicData>
            </a:graphic>
          </wp:inline>
        </w:drawing>
      </w:r>
      <w:r>
        <w:rPr>
          <w:rFonts w:ascii="宋体" w:hAnsi="宋体" w:eastAsia="宋体"/>
          <w:sz w:val="21"/>
        </w:rPr>
        <w:t xml:space="preserve"> 为异常点比例。若式 (1) 中任一归一化项超出 0 至 1 范围，可按预设上下界截断。</w:t>
      </w:r>
    </w:p>
    <w:p>
      <w:pPr>
        <w:spacing w:after="120" w:line="276" w:lineRule="auto"/>
      </w:pPr>
      <w:r>
        <w:rPr>
          <w:rFonts w:ascii="宋体" w:hAnsi="宋体" w:eastAsia="宋体"/>
          <w:sz w:val="21"/>
        </w:rPr>
        <w:t>摄像头外参合格条件可表示为：</w:t>
      </w:r>
    </w:p>
    <w:p>
      <w:pPr>
        <w:spacing w:after="120" w:before="60"/>
      </w:pPr>
      <w:r>
        <w:rPr>
          <w:b w:val="0"/>
        </w:rPr>
        <w:drawing>
          <wp:inline xmlns:a="http://schemas.openxmlformats.org/drawingml/2006/main" xmlns:pic="http://schemas.openxmlformats.org/drawingml/2006/picture">
            <wp:extent cx="3570986" cy="155448"/>
            <wp:docPr id="16" name="Picture 16"/>
            <wp:cNvGraphicFramePr>
              <a:graphicFrameLocks noChangeAspect="1"/>
            </wp:cNvGraphicFramePr>
            <a:graphic>
              <a:graphicData uri="http://schemas.openxmlformats.org/drawingml/2006/picture">
                <pic:pic>
                  <pic:nvPicPr>
                    <pic:cNvPr id="0" name="eq_002.png"/>
                    <pic:cNvPicPr/>
                  </pic:nvPicPr>
                  <pic:blipFill>
                    <a:blip r:embed="rId24"/>
                    <a:stretch>
                      <a:fillRect/>
                    </a:stretch>
                  </pic:blipFill>
                  <pic:spPr>
                    <a:xfrm>
                      <a:off x="0" y="0"/>
                      <a:ext cx="3570986" cy="155448"/>
                    </a:xfrm>
                    <a:prstGeom prst="rect"/>
                  </pic:spPr>
                </pic:pic>
              </a:graphicData>
            </a:graphic>
          </wp:inline>
        </w:drawing>
      </w:r>
    </w:p>
    <w:p>
      <w:pPr>
        <w:spacing w:after="120" w:line="276" w:lineRule="auto"/>
      </w:pPr>
      <w:r>
        <w:rPr>
          <w:rFonts w:ascii="宋体" w:hAnsi="宋体" w:eastAsia="宋体"/>
          <w:sz w:val="21"/>
        </w:rPr>
        <w:t>IMU 合格条件可表示为：</w:t>
      </w:r>
    </w:p>
    <w:p>
      <w:pPr>
        <w:spacing w:after="120" w:before="60"/>
      </w:pPr>
      <w:r>
        <w:rPr>
          <w:b w:val="0"/>
        </w:rPr>
        <w:drawing>
          <wp:inline xmlns:a="http://schemas.openxmlformats.org/drawingml/2006/main" xmlns:pic="http://schemas.openxmlformats.org/drawingml/2006/picture">
            <wp:extent cx="3355086" cy="155448"/>
            <wp:docPr id="17" name="Picture 17"/>
            <wp:cNvGraphicFramePr>
              <a:graphicFrameLocks noChangeAspect="1"/>
            </wp:cNvGraphicFramePr>
            <a:graphic>
              <a:graphicData uri="http://schemas.openxmlformats.org/drawingml/2006/picture">
                <pic:pic>
                  <pic:nvPicPr>
                    <pic:cNvPr id="0" name="eq_003.png"/>
                    <pic:cNvPicPr/>
                  </pic:nvPicPr>
                  <pic:blipFill>
                    <a:blip r:embed="rId25"/>
                    <a:stretch>
                      <a:fillRect/>
                    </a:stretch>
                  </pic:blipFill>
                  <pic:spPr>
                    <a:xfrm>
                      <a:off x="0" y="0"/>
                      <a:ext cx="3355086" cy="155448"/>
                    </a:xfrm>
                    <a:prstGeom prst="rect"/>
                  </pic:spPr>
                </pic:pic>
              </a:graphicData>
            </a:graphic>
          </wp:inline>
        </w:drawing>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参数名称</w:t>
            </w:r>
          </w:p>
        </w:tc>
        <w:tc>
          <w:tcPr>
            <w:tcW w:type="dxa" w:w="2160"/>
          </w:tcPr>
          <w:p>
            <w:r>
              <w:rPr>
                <w:rFonts w:ascii="宋体" w:hAnsi="宋体" w:eastAsia="宋体"/>
                <w:sz w:val="20"/>
              </w:rPr>
            </w:r>
            <w:r>
              <w:rPr>
                <w:rFonts w:ascii="宋体" w:hAnsi="宋体" w:eastAsia="宋体"/>
                <w:sz w:val="20"/>
              </w:rPr>
              <w:t>示例范围或约束</w:t>
            </w:r>
          </w:p>
        </w:tc>
        <w:tc>
          <w:tcPr>
            <w:tcW w:type="dxa" w:w="2160"/>
          </w:tcPr>
          <w:p>
            <w:r>
              <w:rPr>
                <w:rFonts w:ascii="宋体" w:hAnsi="宋体" w:eastAsia="宋体"/>
                <w:sz w:val="20"/>
              </w:rPr>
            </w:r>
            <w:r>
              <w:rPr>
                <w:rFonts w:ascii="宋体" w:hAnsi="宋体" w:eastAsia="宋体"/>
                <w:sz w:val="20"/>
              </w:rPr>
              <w:t>作用</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69443" cy="155448"/>
                  <wp:docPr id="18" name="Picture 18"/>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26944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TOF 质量分数</w:t>
            </w:r>
          </w:p>
        </w:tc>
        <w:tc>
          <w:tcPr>
            <w:tcW w:type="dxa" w:w="2160"/>
          </w:tcPr>
          <w:p>
            <w:r>
              <w:rPr>
                <w:rFonts w:ascii="宋体" w:hAnsi="宋体" w:eastAsia="宋体"/>
                <w:sz w:val="20"/>
              </w:rPr>
            </w:r>
            <w:r>
              <w:rPr>
                <w:rFonts w:ascii="宋体" w:hAnsi="宋体" w:eastAsia="宋体"/>
                <w:sz w:val="20"/>
              </w:rPr>
              <w:t>0 至 1，高于阈值为合格</w:t>
            </w:r>
          </w:p>
        </w:tc>
        <w:tc>
          <w:tcPr>
            <w:tcW w:type="dxa" w:w="2160"/>
          </w:tcPr>
          <w:p>
            <w:r>
              <w:rPr>
                <w:rFonts w:ascii="宋体" w:hAnsi="宋体" w:eastAsia="宋体"/>
                <w:sz w:val="20"/>
              </w:rPr>
            </w:r>
            <w:r>
              <w:rPr>
                <w:rFonts w:ascii="宋体" w:hAnsi="宋体" w:eastAsia="宋体"/>
                <w:sz w:val="20"/>
              </w:rPr>
              <w:t>判断 TOF 检测和标定是否通过</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69443" cy="155448"/>
                  <wp:docPr id="19" name="Picture 19"/>
                  <wp:cNvGraphicFramePr>
                    <a:graphicFrameLocks noChangeAspect="1"/>
                  </wp:cNvGraphicFramePr>
                  <a:graphic>
                    <a:graphicData uri="http://schemas.openxmlformats.org/drawingml/2006/picture">
                      <pic:pic>
                        <pic:nvPicPr>
                          <pic:cNvPr id="0" name="inline_006.png"/>
                          <pic:cNvPicPr/>
                        </pic:nvPicPr>
                        <pic:blipFill>
                          <a:blip r:embed="rId16"/>
                          <a:stretch>
                            <a:fillRect/>
                          </a:stretch>
                        </pic:blipFill>
                        <pic:spPr>
                          <a:xfrm>
                            <a:off x="0" y="0"/>
                            <a:ext cx="26944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重投影误差</w:t>
            </w:r>
          </w:p>
        </w:tc>
        <w:tc>
          <w:tcPr>
            <w:tcW w:type="dxa" w:w="2160"/>
          </w:tcPr>
          <w:p>
            <w:r>
              <w:rPr>
                <w:rFonts w:ascii="宋体" w:hAnsi="宋体" w:eastAsia="宋体"/>
                <w:sz w:val="20"/>
              </w:rPr>
            </w:r>
            <w:r>
              <w:rPr>
                <w:rFonts w:ascii="宋体" w:hAnsi="宋体" w:eastAsia="宋体"/>
                <w:sz w:val="20"/>
              </w:rPr>
              <w:t>像素级阈值</w:t>
            </w:r>
          </w:p>
        </w:tc>
        <w:tc>
          <w:tcPr>
            <w:tcW w:type="dxa" w:w="2160"/>
          </w:tcPr>
          <w:p>
            <w:r>
              <w:rPr>
                <w:rFonts w:ascii="宋体" w:hAnsi="宋体" w:eastAsia="宋体"/>
                <w:sz w:val="20"/>
              </w:rPr>
            </w:r>
            <w:r>
              <w:rPr>
                <w:rFonts w:ascii="宋体" w:hAnsi="宋体" w:eastAsia="宋体"/>
                <w:sz w:val="20"/>
              </w:rPr>
              <w:t>判断相机外参可靠性</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20" name="Picture 20"/>
                  <wp:cNvGraphicFramePr>
                    <a:graphicFrameLocks noChangeAspect="1"/>
                  </wp:cNvGraphicFramePr>
                  <a:graphic>
                    <a:graphicData uri="http://schemas.openxmlformats.org/drawingml/2006/picture">
                      <pic:pic>
                        <pic:nvPicPr>
                          <pic:cNvPr id="0" name="inline_007.png"/>
                          <pic:cNvPicPr/>
                        </pic:nvPicPr>
                        <pic:blipFill>
                          <a:blip r:embed="rId17"/>
                          <a:stretch>
                            <a:fillRect/>
                          </a:stretch>
                        </pic:blipFill>
                        <pic:spPr>
                          <a:xfrm>
                            <a:off x="0" y="0"/>
                            <a:ext cx="284988"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陀螺零偏</w:t>
            </w:r>
          </w:p>
        </w:tc>
        <w:tc>
          <w:tcPr>
            <w:tcW w:type="dxa" w:w="2160"/>
          </w:tcPr>
          <w:p>
            <w:r>
              <w:rPr>
                <w:rFonts w:ascii="宋体" w:hAnsi="宋体" w:eastAsia="宋体"/>
                <w:sz w:val="20"/>
              </w:rPr>
            </w:r>
            <w:r>
              <w:rPr>
                <w:rFonts w:ascii="宋体" w:hAnsi="宋体" w:eastAsia="宋体"/>
                <w:sz w:val="20"/>
              </w:rPr>
              <w:t>预设小量阈值内</w:t>
            </w:r>
          </w:p>
        </w:tc>
        <w:tc>
          <w:tcPr>
            <w:tcW w:type="dxa" w:w="2160"/>
          </w:tcPr>
          <w:p>
            <w:r>
              <w:rPr>
                <w:rFonts w:ascii="宋体" w:hAnsi="宋体" w:eastAsia="宋体"/>
                <w:sz w:val="20"/>
              </w:rPr>
            </w:r>
            <w:r>
              <w:rPr>
                <w:rFonts w:ascii="宋体" w:hAnsi="宋体" w:eastAsia="宋体"/>
                <w:sz w:val="20"/>
              </w:rPr>
              <w:t>判断 IMU 静止采样质量</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41985" cy="155448"/>
                  <wp:docPr id="21" name="Picture 21"/>
                  <wp:cNvGraphicFramePr>
                    <a:graphicFrameLocks noChangeAspect="1"/>
                  </wp:cNvGraphicFramePr>
                  <a:graphic>
                    <a:graphicData uri="http://schemas.openxmlformats.org/drawingml/2006/picture">
                      <pic:pic>
                        <pic:nvPicPr>
                          <pic:cNvPr id="0" name="inline_008.png"/>
                          <pic:cNvPicPr/>
                        </pic:nvPicPr>
                        <pic:blipFill>
                          <a:blip r:embed="rId18"/>
                          <a:stretch>
                            <a:fillRect/>
                          </a:stretch>
                        </pic:blipFill>
                        <pic:spPr>
                          <a:xfrm>
                            <a:off x="0" y="0"/>
                            <a:ext cx="341985"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IMU 比例因子</w:t>
            </w:r>
          </w:p>
        </w:tc>
        <w:tc>
          <w:tcPr>
            <w:tcW w:type="dxa" w:w="2160"/>
          </w:tcPr>
          <w:p>
            <w:r>
              <w:rPr>
                <w:rFonts w:ascii="宋体" w:hAnsi="宋体" w:eastAsia="宋体"/>
                <w:sz w:val="20"/>
              </w:rPr>
            </w:r>
            <w:r>
              <w:rPr>
                <w:rFonts w:ascii="宋体" w:hAnsi="宋体" w:eastAsia="宋体"/>
                <w:sz w:val="20"/>
              </w:rPr>
              <w:t>接近 1</w:t>
            </w:r>
          </w:p>
        </w:tc>
        <w:tc>
          <w:tcPr>
            <w:tcW w:type="dxa" w:w="2160"/>
          </w:tcPr>
          <w:p>
            <w:r>
              <w:rPr>
                <w:rFonts w:ascii="宋体" w:hAnsi="宋体" w:eastAsia="宋体"/>
                <w:sz w:val="20"/>
              </w:rPr>
            </w:r>
            <w:r>
              <w:rPr>
                <w:rFonts w:ascii="宋体" w:hAnsi="宋体" w:eastAsia="宋体"/>
                <w:sz w:val="20"/>
              </w:rPr>
              <w:t>判断旋转积分比例误差</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518160" cy="155448"/>
                  <wp:docPr id="22" name="Picture 22"/>
                  <wp:cNvGraphicFramePr>
                    <a:graphicFrameLocks noChangeAspect="1"/>
                  </wp:cNvGraphicFramePr>
                  <a:graphic>
                    <a:graphicData uri="http://schemas.openxmlformats.org/drawingml/2006/picture">
                      <pic:pic>
                        <pic:nvPicPr>
                          <pic:cNvPr id="0" name="inline_017.png"/>
                          <pic:cNvPicPr/>
                        </pic:nvPicPr>
                        <pic:blipFill>
                          <a:blip r:embed="rId26"/>
                          <a:stretch>
                            <a:fillRect/>
                          </a:stretch>
                        </pic:blipFill>
                        <pic:spPr>
                          <a:xfrm>
                            <a:off x="0" y="0"/>
                            <a:ext cx="518160"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标定超时</w:t>
            </w:r>
          </w:p>
        </w:tc>
        <w:tc>
          <w:tcPr>
            <w:tcW w:type="dxa" w:w="2160"/>
          </w:tcPr>
          <w:p>
            <w:r>
              <w:rPr>
                <w:rFonts w:ascii="宋体" w:hAnsi="宋体" w:eastAsia="宋体"/>
                <w:sz w:val="20"/>
              </w:rPr>
            </w:r>
            <w:r>
              <w:rPr>
                <w:rFonts w:ascii="宋体" w:hAnsi="宋体" w:eastAsia="宋体"/>
                <w:sz w:val="20"/>
              </w:rPr>
              <w:t>按传感器类型配置</w:t>
            </w:r>
          </w:p>
        </w:tc>
        <w:tc>
          <w:tcPr>
            <w:tcW w:type="dxa" w:w="2160"/>
          </w:tcPr>
          <w:p>
            <w:r>
              <w:rPr>
                <w:rFonts w:ascii="宋体" w:hAnsi="宋体" w:eastAsia="宋体"/>
                <w:sz w:val="20"/>
              </w:rPr>
            </w:r>
            <w:r>
              <w:rPr>
                <w:rFonts w:ascii="宋体" w:hAnsi="宋体" w:eastAsia="宋体"/>
                <w:sz w:val="20"/>
              </w:rPr>
              <w:t>防止流程卡死</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0896" cy="155448"/>
                  <wp:docPr id="23" name="Picture 23"/>
                  <wp:cNvGraphicFramePr>
                    <a:graphicFrameLocks noChangeAspect="1"/>
                  </wp:cNvGraphicFramePr>
                  <a:graphic>
                    <a:graphicData uri="http://schemas.openxmlformats.org/drawingml/2006/picture">
                      <pic:pic>
                        <pic:nvPicPr>
                          <pic:cNvPr id="0" name="inline_018.png"/>
                          <pic:cNvPicPr/>
                        </pic:nvPicPr>
                        <pic:blipFill>
                          <a:blip r:embed="rId27"/>
                          <a:stretch>
                            <a:fillRect/>
                          </a:stretch>
                        </pic:blipFill>
                        <pic:spPr>
                          <a:xfrm>
                            <a:off x="0" y="0"/>
                            <a:ext cx="310896"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重试次数</w:t>
            </w:r>
          </w:p>
        </w:tc>
        <w:tc>
          <w:tcPr>
            <w:tcW w:type="dxa" w:w="2160"/>
          </w:tcPr>
          <w:p>
            <w:r>
              <w:rPr>
                <w:rFonts w:ascii="宋体" w:hAnsi="宋体" w:eastAsia="宋体"/>
                <w:sz w:val="20"/>
              </w:rPr>
            </w:r>
            <w:r>
              <w:rPr>
                <w:rFonts w:ascii="宋体" w:hAnsi="宋体" w:eastAsia="宋体"/>
                <w:sz w:val="20"/>
              </w:rPr>
              <w:t>非负整数</w:t>
            </w:r>
          </w:p>
        </w:tc>
        <w:tc>
          <w:tcPr>
            <w:tcW w:type="dxa" w:w="2160"/>
          </w:tcPr>
          <w:p>
            <w:r>
              <w:rPr>
                <w:rFonts w:ascii="宋体" w:hAnsi="宋体" w:eastAsia="宋体"/>
                <w:sz w:val="20"/>
              </w:rPr>
            </w:r>
            <w:r>
              <w:rPr>
                <w:rFonts w:ascii="宋体" w:hAnsi="宋体" w:eastAsia="宋体"/>
                <w:sz w:val="20"/>
              </w:rPr>
              <w:t>控制自动重试上限</w:t>
            </w:r>
          </w:p>
        </w:tc>
      </w:tr>
    </w:tbl>
    <w:p>
      <w:pPr>
        <w:pStyle w:val="Heading2"/>
      </w:pPr>
      <w:r>
        <w:rPr>
          <w:rFonts w:ascii="黑体" w:hAnsi="黑体" w:eastAsia="黑体"/>
        </w:rPr>
        <w:t>四、与现有技术相比，本发明具有哪些优点？</w:t>
      </w:r>
    </w:p>
    <w:p>
      <w:pPr>
        <w:pStyle w:val="ListNumber"/>
        <w:spacing w:after="60"/>
      </w:pPr>
      <w:r>
        <w:rPr>
          <w:rFonts w:ascii="宋体" w:hAnsi="宋体" w:eastAsia="宋体"/>
          <w:sz w:val="21"/>
        </w:rPr>
        <w:t>将应用模式和产测模式隔离，减少正常业务线程对产测采样的干扰。</w:t>
      </w:r>
    </w:p>
    <w:p>
      <w:pPr>
        <w:pStyle w:val="ListNumber"/>
        <w:spacing w:after="60"/>
      </w:pPr>
      <w:r>
        <w:rPr>
          <w:rFonts w:ascii="宋体" w:hAnsi="宋体" w:eastAsia="宋体"/>
          <w:sz w:val="21"/>
        </w:rPr>
        <w:t>通过统一诊断命令和动态路由，使产测、研发调试和现场维护复用同一协议入口。</w:t>
      </w:r>
    </w:p>
    <w:p>
      <w:pPr>
        <w:pStyle w:val="ListNumber"/>
        <w:spacing w:after="60"/>
      </w:pPr>
      <w:r>
        <w:rPr>
          <w:rFonts w:ascii="宋体" w:hAnsi="宋体" w:eastAsia="宋体"/>
          <w:sz w:val="21"/>
        </w:rPr>
        <w:t>通过策略表或统一标定器接口编排 TOF、Camera、IMU 等流程，便于扩展新传感器。</w:t>
      </w:r>
    </w:p>
    <w:p>
      <w:pPr>
        <w:pStyle w:val="ListNumber"/>
        <w:spacing w:after="60"/>
      </w:pPr>
      <w:r>
        <w:rPr>
          <w:rFonts w:ascii="宋体" w:hAnsi="宋体" w:eastAsia="宋体"/>
          <w:sz w:val="21"/>
        </w:rPr>
        <w:t>将质量分数、失败原因、PCBA 状态和工厂固化结果绑定，增强量产追溯能力。</w:t>
      </w:r>
    </w:p>
    <w:p>
      <w:pPr>
        <w:pStyle w:val="ListNumber"/>
        <w:spacing w:after="60"/>
      </w:pPr>
      <w:r>
        <w:rPr>
          <w:rFonts w:ascii="宋体" w:hAnsi="宋体" w:eastAsia="宋体"/>
          <w:sz w:val="21"/>
        </w:rPr>
        <w:t>支持根据失败类型和质量分数自动重试、跳过、降级或判废，提高自动化程度。</w:t>
      </w:r>
    </w:p>
    <w:p>
      <w:pPr>
        <w:pStyle w:val="Heading2"/>
      </w:pPr>
      <w:r>
        <w:rPr>
          <w:rFonts w:ascii="黑体" w:hAnsi="黑体" w:eastAsia="黑体"/>
        </w:rPr>
        <w:t>五、本发明的技术关键点和欲保护点是什么？</w:t>
      </w:r>
    </w:p>
    <w:p>
      <w:pPr>
        <w:pStyle w:val="ListNumber"/>
        <w:spacing w:after="60"/>
      </w:pPr>
      <w:r>
        <w:rPr>
          <w:rFonts w:ascii="宋体" w:hAnsi="宋体" w:eastAsia="宋体"/>
          <w:sz w:val="21"/>
        </w:rPr>
        <w:t>产测模式与应用模式隔离但共享硬件抽象层和统一诊断协议的系统架构。</w:t>
      </w:r>
    </w:p>
    <w:p>
      <w:pPr>
        <w:pStyle w:val="ListNumber"/>
        <w:spacing w:after="60"/>
      </w:pPr>
      <w:r>
        <w:rPr>
          <w:rFonts w:ascii="宋体" w:hAnsi="宋体" w:eastAsia="宋体"/>
          <w:sz w:val="21"/>
        </w:rPr>
        <w:t>基于动态诊断命令路由的产测命令注册、profile 隔离、限流、超时和错误语义机制。</w:t>
      </w:r>
    </w:p>
    <w:p>
      <w:pPr>
        <w:pStyle w:val="ListNumber"/>
        <w:spacing w:after="60"/>
      </w:pPr>
      <w:r>
        <w:rPr>
          <w:rFonts w:ascii="宋体" w:hAnsi="宋体" w:eastAsia="宋体"/>
          <w:sz w:val="21"/>
        </w:rPr>
        <w:t>以统一标定器接口或策略表编排 TOF、Camera、IMU 等多传感器标定流程的方法。</w:t>
      </w:r>
    </w:p>
    <w:p>
      <w:pPr>
        <w:pStyle w:val="ListNumber"/>
        <w:spacing w:after="60"/>
      </w:pPr>
      <w:r>
        <w:rPr>
          <w:rFonts w:ascii="宋体" w:hAnsi="宋体" w:eastAsia="宋体"/>
          <w:sz w:val="21"/>
        </w:rPr>
        <w:t>将 TOF 距离质量、相机外参质量、IMU 零偏/比例/安装角质量统一量化判定的方法。</w:t>
      </w:r>
    </w:p>
    <w:p>
      <w:pPr>
        <w:pStyle w:val="ListNumber"/>
        <w:spacing w:after="60"/>
      </w:pPr>
      <w:r>
        <w:rPr>
          <w:rFonts w:ascii="宋体" w:hAnsi="宋体" w:eastAsia="宋体"/>
          <w:sz w:val="21"/>
        </w:rPr>
        <w:t>将实时 PCBA 状态、工厂固化数据和追溯记录关联到同一统一结果模型的方法。</w:t>
      </w:r>
    </w:p>
    <w:p>
      <w:pPr>
        <w:pStyle w:val="ListNumber"/>
        <w:spacing w:after="60"/>
      </w:pPr>
      <w:r>
        <w:rPr>
          <w:rFonts w:ascii="宋体" w:hAnsi="宋体" w:eastAsia="宋体"/>
          <w:sz w:val="21"/>
        </w:rPr>
        <w:t>根据失败类型、质量分数和重试次数自动执行重试、跳过、降级、判废或治具提示的方法。</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sz w:val="21"/>
        </w:rPr>
        <w:t xml:space="preserve">在一台宠物机器人产测工位中，设备进入产测模式后禁用非必要 AI 与导航任务，启动产测诊断节点。上位机下发 TOF 标定命令，系统采集距离阵列并计算 </w:t>
      </w:r>
      <w:r>
        <w:rPr>
          <w:rFonts w:ascii="宋体" w:hAnsi="宋体" w:eastAsia="宋体"/>
          <w:b w:val="0"/>
          <w:sz w:val="21"/>
        </w:rPr>
        <w:drawing>
          <wp:inline xmlns:a="http://schemas.openxmlformats.org/drawingml/2006/main" xmlns:pic="http://schemas.openxmlformats.org/drawingml/2006/picture">
            <wp:extent cx="269443" cy="155448"/>
            <wp:docPr id="24" name="Picture 24"/>
            <wp:cNvGraphicFramePr>
              <a:graphicFrameLocks noChangeAspect="1"/>
            </wp:cNvGraphicFramePr>
            <a:graphic>
              <a:graphicData uri="http://schemas.openxmlformats.org/drawingml/2006/picture">
                <pic:pic>
                  <pic:nvPicPr>
                    <pic:cNvPr id="0" name="inline_001.png"/>
                    <pic:cNvPicPr/>
                  </pic:nvPicPr>
                  <pic:blipFill>
                    <a:blip r:embed="rId11"/>
                    <a:stretch>
                      <a:fillRect/>
                    </a:stretch>
                  </pic:blipFill>
                  <pic:spPr>
                    <a:xfrm>
                      <a:off x="0" y="0"/>
                      <a:ext cx="269443" cy="155448"/>
                    </a:xfrm>
                    <a:prstGeom prst="rect"/>
                  </pic:spPr>
                </pic:pic>
              </a:graphicData>
            </a:graphic>
          </wp:inline>
        </w:drawing>
      </w:r>
      <w:r>
        <w:rPr>
          <w:rFonts w:ascii="宋体" w:hAnsi="宋体" w:eastAsia="宋体"/>
          <w:sz w:val="21"/>
        </w:rPr>
        <w:t>。通过后进入摄像头外参标定，检测标定板角点并求解相机高度、俯仰角和重投影误差。随后执行 IMU 旋转标定，估计零偏、比例因子和安装角。所有合格结果写入工厂数据区，并输出包含命令 ID、批次、质量分数、失败原因和固件版本的追溯记录。</w:t>
      </w:r>
    </w:p>
    <w:p>
      <w:pPr>
        <w:pStyle w:val="Heading3"/>
      </w:pPr>
      <w:r>
        <w:rPr>
          <w:rFonts w:ascii="宋体" w:hAnsi="宋体" w:eastAsia="宋体"/>
        </w:rPr>
        <w:t>数据结构与自动化闭环示例</w:t>
      </w:r>
    </w:p>
    <w:p>
      <w:pPr>
        <w:spacing w:after="120" w:line="276" w:lineRule="auto"/>
      </w:pPr>
      <w:r>
        <w:rPr>
          <w:rFonts w:ascii="宋体" w:hAnsi="宋体" w:eastAsia="宋体"/>
          <w:sz w:val="21"/>
        </w:rPr>
        <w:t xml:space="preserve">统一诊断命令可采用层级化命令字和结构化参数组合，例如 </w:t>
      </w:r>
      <w:r>
        <w:rPr>
          <w:rFonts w:ascii="Consolas" w:hAnsi="Consolas" w:eastAsia="Consolas"/>
          <w:color w:val="333333"/>
          <w:sz w:val="18"/>
        </w:rPr>
        <w:t>factory.calib.tof.start</w:t>
      </w:r>
      <w:r>
        <w:rPr>
          <w:rFonts w:ascii="宋体" w:hAnsi="宋体" w:eastAsia="宋体"/>
          <w:sz w:val="21"/>
        </w:rPr>
        <w:t>、</w:t>
      </w:r>
      <w:r>
        <w:rPr>
          <w:rFonts w:ascii="Consolas" w:hAnsi="Consolas" w:eastAsia="Consolas"/>
          <w:color w:val="333333"/>
          <w:sz w:val="18"/>
        </w:rPr>
        <w:t>factory.calib.camera.poll</w:t>
      </w:r>
      <w:r>
        <w:rPr>
          <w:rFonts w:ascii="宋体" w:hAnsi="宋体" w:eastAsia="宋体"/>
          <w:sz w:val="21"/>
        </w:rPr>
        <w:t>、</w:t>
      </w:r>
      <w:r>
        <w:rPr>
          <w:rFonts w:ascii="Consolas" w:hAnsi="Consolas" w:eastAsia="Consolas"/>
          <w:color w:val="333333"/>
          <w:sz w:val="18"/>
        </w:rPr>
        <w:t>factory.pcba.status.get</w:t>
      </w:r>
      <w:r>
        <w:rPr>
          <w:rFonts w:ascii="宋体" w:hAnsi="宋体" w:eastAsia="宋体"/>
          <w:sz w:val="21"/>
        </w:rPr>
        <w:t xml:space="preserve"> 和 </w:t>
      </w:r>
      <w:r>
        <w:rPr>
          <w:rFonts w:ascii="Consolas" w:hAnsi="Consolas" w:eastAsia="Consolas"/>
          <w:color w:val="333333"/>
          <w:sz w:val="18"/>
        </w:rPr>
        <w:t>factory.result.persist</w:t>
      </w:r>
      <w:r>
        <w:rPr>
          <w:rFonts w:ascii="宋体" w:hAnsi="宋体" w:eastAsia="宋体"/>
          <w:sz w:val="21"/>
        </w:rPr>
        <w:t>。每条命令记录请求序号、profile、超时时间、调用者身份、目标传感器、参数版本和幂等标识，命令服务模块仅执行路由、限流、超时和错误语义转换，实际采样与标定由对应 provider 执行。</w:t>
      </w:r>
    </w:p>
    <w:p>
      <w:pPr>
        <w:spacing w:after="120" w:line="276" w:lineRule="auto"/>
      </w:pPr>
      <w:r>
        <w:rPr>
          <w:rFonts w:ascii="宋体" w:hAnsi="宋体" w:eastAsia="宋体"/>
          <w:sz w:val="21"/>
        </w:rPr>
        <w:t>统一结果模型可包括如下字段：</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字段</w:t>
            </w:r>
          </w:p>
        </w:tc>
        <w:tc>
          <w:tcPr>
            <w:tcW w:type="dxa" w:w="2880"/>
          </w:tcPr>
          <w:p>
            <w:r>
              <w:rPr>
                <w:rFonts w:ascii="宋体" w:hAnsi="宋体" w:eastAsia="宋体"/>
                <w:sz w:val="20"/>
              </w:rPr>
            </w:r>
            <w:r>
              <w:rPr>
                <w:rFonts w:ascii="宋体" w:hAnsi="宋体" w:eastAsia="宋体"/>
                <w:sz w:val="20"/>
              </w:rPr>
              <w:t>示例</w:t>
            </w:r>
          </w:p>
        </w:tc>
        <w:tc>
          <w:tcPr>
            <w:tcW w:type="dxa" w:w="2880"/>
          </w:tcPr>
          <w:p>
            <w:r>
              <w:rPr>
                <w:rFonts w:ascii="宋体" w:hAnsi="宋体" w:eastAsia="宋体"/>
                <w:sz w:val="20"/>
              </w:rPr>
            </w:r>
            <w:r>
              <w:rPr>
                <w:rFonts w:ascii="宋体" w:hAnsi="宋体" w:eastAsia="宋体"/>
                <w:sz w:val="20"/>
              </w:rPr>
              <w:t>用途</w:t>
            </w:r>
          </w:p>
        </w:tc>
      </w:tr>
      <w:tr>
        <w:tc>
          <w:tcPr>
            <w:tcW w:type="dxa" w:w="2880"/>
          </w:tcPr>
          <w:p>
            <w:r>
              <w:rPr>
                <w:rFonts w:ascii="宋体" w:hAnsi="宋体" w:eastAsia="宋体"/>
                <w:sz w:val="20"/>
              </w:rPr>
            </w:r>
            <w:r>
              <w:rPr>
                <w:rFonts w:ascii="宋体" w:hAnsi="宋体" w:eastAsia="宋体"/>
                <w:color w:val="333333"/>
                <w:sz w:val="20"/>
              </w:rPr>
              <w:t>cmd_id</w:t>
            </w:r>
          </w:p>
        </w:tc>
        <w:tc>
          <w:tcPr>
            <w:tcW w:type="dxa" w:w="2880"/>
          </w:tcPr>
          <w:p>
            <w:r>
              <w:rPr>
                <w:rFonts w:ascii="宋体" w:hAnsi="宋体" w:eastAsia="宋体"/>
                <w:sz w:val="20"/>
              </w:rPr>
            </w:r>
            <w:r>
              <w:rPr>
                <w:rFonts w:ascii="宋体" w:hAnsi="宋体" w:eastAsia="宋体"/>
                <w:color w:val="333333"/>
                <w:sz w:val="20"/>
              </w:rPr>
              <w:t>factory.calib.tof.start</w:t>
            </w:r>
          </w:p>
        </w:tc>
        <w:tc>
          <w:tcPr>
            <w:tcW w:type="dxa" w:w="2880"/>
          </w:tcPr>
          <w:p>
            <w:r>
              <w:rPr>
                <w:rFonts w:ascii="宋体" w:hAnsi="宋体" w:eastAsia="宋体"/>
                <w:sz w:val="20"/>
              </w:rPr>
            </w:r>
            <w:r>
              <w:rPr>
                <w:rFonts w:ascii="宋体" w:hAnsi="宋体" w:eastAsia="宋体"/>
                <w:sz w:val="20"/>
              </w:rPr>
              <w:t>关联诊断命令与结果</w:t>
            </w:r>
          </w:p>
        </w:tc>
      </w:tr>
      <w:tr>
        <w:tc>
          <w:tcPr>
            <w:tcW w:type="dxa" w:w="2880"/>
          </w:tcPr>
          <w:p>
            <w:r>
              <w:rPr>
                <w:rFonts w:ascii="宋体" w:hAnsi="宋体" w:eastAsia="宋体"/>
                <w:sz w:val="20"/>
              </w:rPr>
            </w:r>
            <w:r>
              <w:rPr>
                <w:rFonts w:ascii="宋体" w:hAnsi="宋体" w:eastAsia="宋体"/>
                <w:color w:val="333333"/>
                <w:sz w:val="20"/>
              </w:rPr>
              <w:t>profile</w:t>
            </w:r>
          </w:p>
        </w:tc>
        <w:tc>
          <w:tcPr>
            <w:tcW w:type="dxa" w:w="2880"/>
          </w:tcPr>
          <w:p>
            <w:r>
              <w:rPr>
                <w:rFonts w:ascii="宋体" w:hAnsi="宋体" w:eastAsia="宋体"/>
                <w:sz w:val="20"/>
              </w:rPr>
            </w:r>
            <w:r>
              <w:rPr>
                <w:rFonts w:ascii="宋体" w:hAnsi="宋体" w:eastAsia="宋体"/>
                <w:color w:val="333333"/>
                <w:sz w:val="20"/>
              </w:rPr>
              <w:t>factory</w:t>
            </w:r>
          </w:p>
        </w:tc>
        <w:tc>
          <w:tcPr>
            <w:tcW w:type="dxa" w:w="2880"/>
          </w:tcPr>
          <w:p>
            <w:r>
              <w:rPr>
                <w:rFonts w:ascii="宋体" w:hAnsi="宋体" w:eastAsia="宋体"/>
                <w:sz w:val="20"/>
              </w:rPr>
            </w:r>
            <w:r>
              <w:rPr>
                <w:rFonts w:ascii="宋体" w:hAnsi="宋体" w:eastAsia="宋体"/>
                <w:sz w:val="20"/>
              </w:rPr>
              <w:t>区分产测、研发、售后等命令域</w:t>
            </w:r>
          </w:p>
        </w:tc>
      </w:tr>
      <w:tr>
        <w:tc>
          <w:tcPr>
            <w:tcW w:type="dxa" w:w="2880"/>
          </w:tcPr>
          <w:p>
            <w:r>
              <w:rPr>
                <w:rFonts w:ascii="宋体" w:hAnsi="宋体" w:eastAsia="宋体"/>
                <w:sz w:val="20"/>
              </w:rPr>
            </w:r>
            <w:r>
              <w:rPr>
                <w:rFonts w:ascii="宋体" w:hAnsi="宋体" w:eastAsia="宋体"/>
                <w:color w:val="333333"/>
                <w:sz w:val="20"/>
              </w:rPr>
              <w:t>sn</w:t>
            </w:r>
            <w:r>
              <w:rPr>
                <w:rFonts w:ascii="宋体" w:hAnsi="宋体" w:eastAsia="宋体"/>
                <w:sz w:val="20"/>
              </w:rPr>
              <w:t xml:space="preserve"> / </w:t>
            </w:r>
            <w:r>
              <w:rPr>
                <w:rFonts w:ascii="宋体" w:hAnsi="宋体" w:eastAsia="宋体"/>
                <w:color w:val="333333"/>
                <w:sz w:val="20"/>
              </w:rPr>
              <w:t>batch</w:t>
            </w:r>
          </w:p>
        </w:tc>
        <w:tc>
          <w:tcPr>
            <w:tcW w:type="dxa" w:w="2880"/>
          </w:tcPr>
          <w:p>
            <w:r>
              <w:rPr>
                <w:rFonts w:ascii="宋体" w:hAnsi="宋体" w:eastAsia="宋体"/>
                <w:sz w:val="20"/>
              </w:rPr>
            </w:r>
            <w:r>
              <w:rPr>
                <w:rFonts w:ascii="宋体" w:hAnsi="宋体" w:eastAsia="宋体"/>
                <w:sz w:val="20"/>
              </w:rPr>
              <w:t>设备序列号和批次号</w:t>
            </w:r>
          </w:p>
        </w:tc>
        <w:tc>
          <w:tcPr>
            <w:tcW w:type="dxa" w:w="2880"/>
          </w:tcPr>
          <w:p>
            <w:r>
              <w:rPr>
                <w:rFonts w:ascii="宋体" w:hAnsi="宋体" w:eastAsia="宋体"/>
                <w:sz w:val="20"/>
              </w:rPr>
            </w:r>
            <w:r>
              <w:rPr>
                <w:rFonts w:ascii="宋体" w:hAnsi="宋体" w:eastAsia="宋体"/>
                <w:sz w:val="20"/>
              </w:rPr>
              <w:t>支撑批次追溯</w:t>
            </w:r>
          </w:p>
        </w:tc>
      </w:tr>
      <w:tr>
        <w:tc>
          <w:tcPr>
            <w:tcW w:type="dxa" w:w="2880"/>
          </w:tcPr>
          <w:p>
            <w:r>
              <w:rPr>
                <w:rFonts w:ascii="宋体" w:hAnsi="宋体" w:eastAsia="宋体"/>
                <w:sz w:val="20"/>
              </w:rPr>
            </w:r>
            <w:r>
              <w:rPr>
                <w:rFonts w:ascii="宋体" w:hAnsi="宋体" w:eastAsia="宋体"/>
                <w:color w:val="333333"/>
                <w:sz w:val="20"/>
              </w:rPr>
              <w:t>sensor</w:t>
            </w:r>
          </w:p>
        </w:tc>
        <w:tc>
          <w:tcPr>
            <w:tcW w:type="dxa" w:w="2880"/>
          </w:tcPr>
          <w:p>
            <w:r>
              <w:rPr>
                <w:rFonts w:ascii="宋体" w:hAnsi="宋体" w:eastAsia="宋体"/>
                <w:sz w:val="20"/>
              </w:rPr>
            </w:r>
            <w:r>
              <w:rPr>
                <w:rFonts w:ascii="宋体" w:hAnsi="宋体" w:eastAsia="宋体"/>
                <w:color w:val="333333"/>
                <w:sz w:val="20"/>
              </w:rPr>
              <w:t>tof</w:t>
            </w:r>
            <w:r>
              <w:rPr>
                <w:rFonts w:ascii="宋体" w:hAnsi="宋体" w:eastAsia="宋体"/>
                <w:sz w:val="20"/>
              </w:rPr>
              <w:t>、</w:t>
            </w:r>
            <w:r>
              <w:rPr>
                <w:rFonts w:ascii="宋体" w:hAnsi="宋体" w:eastAsia="宋体"/>
                <w:color w:val="333333"/>
                <w:sz w:val="20"/>
              </w:rPr>
              <w:t>camera</w:t>
            </w:r>
            <w:r>
              <w:rPr>
                <w:rFonts w:ascii="宋体" w:hAnsi="宋体" w:eastAsia="宋体"/>
                <w:sz w:val="20"/>
              </w:rPr>
              <w:t>、</w:t>
            </w:r>
            <w:r>
              <w:rPr>
                <w:rFonts w:ascii="宋体" w:hAnsi="宋体" w:eastAsia="宋体"/>
                <w:color w:val="333333"/>
                <w:sz w:val="20"/>
              </w:rPr>
              <w:t>imu</w:t>
            </w:r>
          </w:p>
        </w:tc>
        <w:tc>
          <w:tcPr>
            <w:tcW w:type="dxa" w:w="2880"/>
          </w:tcPr>
          <w:p>
            <w:r>
              <w:rPr>
                <w:rFonts w:ascii="宋体" w:hAnsi="宋体" w:eastAsia="宋体"/>
                <w:sz w:val="20"/>
              </w:rPr>
            </w:r>
            <w:r>
              <w:rPr>
                <w:rFonts w:ascii="宋体" w:hAnsi="宋体" w:eastAsia="宋体"/>
                <w:sz w:val="20"/>
              </w:rPr>
              <w:t>标识测试或标定对象</w:t>
            </w:r>
          </w:p>
        </w:tc>
      </w:tr>
      <w:tr>
        <w:tc>
          <w:tcPr>
            <w:tcW w:type="dxa" w:w="2880"/>
          </w:tcPr>
          <w:p>
            <w:r>
              <w:rPr>
                <w:rFonts w:ascii="宋体" w:hAnsi="宋体" w:eastAsia="宋体"/>
                <w:sz w:val="20"/>
              </w:rPr>
            </w:r>
            <w:r>
              <w:rPr>
                <w:rFonts w:ascii="宋体" w:hAnsi="宋体" w:eastAsia="宋体"/>
                <w:color w:val="333333"/>
                <w:sz w:val="20"/>
              </w:rPr>
              <w:t>quality_score</w:t>
            </w:r>
          </w:p>
        </w:tc>
        <w:tc>
          <w:tcPr>
            <w:tcW w:type="dxa" w:w="2880"/>
          </w:tcPr>
          <w:p>
            <w:r>
              <w:rPr>
                <w:rFonts w:ascii="宋体" w:hAnsi="宋体" w:eastAsia="宋体"/>
                <w:sz w:val="20"/>
              </w:rPr>
            </w:r>
            <w:r>
              <w:rPr>
                <w:rFonts w:ascii="宋体" w:hAnsi="宋体" w:eastAsia="宋体"/>
                <w:sz w:val="20"/>
              </w:rPr>
              <w:t>0 至 1</w:t>
            </w:r>
          </w:p>
        </w:tc>
        <w:tc>
          <w:tcPr>
            <w:tcW w:type="dxa" w:w="2880"/>
          </w:tcPr>
          <w:p>
            <w:r>
              <w:rPr>
                <w:rFonts w:ascii="宋体" w:hAnsi="宋体" w:eastAsia="宋体"/>
                <w:sz w:val="20"/>
              </w:rPr>
            </w:r>
            <w:r>
              <w:rPr>
                <w:rFonts w:ascii="宋体" w:hAnsi="宋体" w:eastAsia="宋体"/>
                <w:sz w:val="20"/>
              </w:rPr>
              <w:t>统一质量判定</w:t>
            </w:r>
          </w:p>
        </w:tc>
      </w:tr>
      <w:tr>
        <w:tc>
          <w:tcPr>
            <w:tcW w:type="dxa" w:w="2880"/>
          </w:tcPr>
          <w:p>
            <w:r>
              <w:rPr>
                <w:rFonts w:ascii="宋体" w:hAnsi="宋体" w:eastAsia="宋体"/>
                <w:sz w:val="20"/>
              </w:rPr>
            </w:r>
            <w:r>
              <w:rPr>
                <w:rFonts w:ascii="宋体" w:hAnsi="宋体" w:eastAsia="宋体"/>
                <w:color w:val="333333"/>
                <w:sz w:val="20"/>
              </w:rPr>
              <w:t>failure_type</w:t>
            </w:r>
          </w:p>
        </w:tc>
        <w:tc>
          <w:tcPr>
            <w:tcW w:type="dxa" w:w="2880"/>
          </w:tcPr>
          <w:p>
            <w:r>
              <w:rPr>
                <w:rFonts w:ascii="宋体" w:hAnsi="宋体" w:eastAsia="宋体"/>
                <w:sz w:val="20"/>
              </w:rPr>
            </w:r>
            <w:r>
              <w:rPr>
                <w:rFonts w:ascii="宋体" w:hAnsi="宋体" w:eastAsia="宋体"/>
                <w:color w:val="333333"/>
                <w:sz w:val="20"/>
              </w:rPr>
              <w:t>fixture_adjust</w:t>
            </w:r>
            <w:r>
              <w:rPr>
                <w:rFonts w:ascii="宋体" w:hAnsi="宋体" w:eastAsia="宋体"/>
                <w:sz w:val="20"/>
              </w:rPr>
              <w:t>、</w:t>
            </w:r>
            <w:r>
              <w:rPr>
                <w:rFonts w:ascii="宋体" w:hAnsi="宋体" w:eastAsia="宋体"/>
                <w:color w:val="333333"/>
                <w:sz w:val="20"/>
              </w:rPr>
              <w:t>hard_fail</w:t>
            </w:r>
            <w:r>
              <w:rPr>
                <w:rFonts w:ascii="宋体" w:hAnsi="宋体" w:eastAsia="宋体"/>
                <w:sz w:val="20"/>
              </w:rPr>
              <w:t>、</w:t>
            </w:r>
            <w:r>
              <w:rPr>
                <w:rFonts w:ascii="宋体" w:hAnsi="宋体" w:eastAsia="宋体"/>
                <w:color w:val="333333"/>
                <w:sz w:val="20"/>
              </w:rPr>
              <w:t>dependency_skip</w:t>
            </w:r>
          </w:p>
        </w:tc>
        <w:tc>
          <w:tcPr>
            <w:tcW w:type="dxa" w:w="2880"/>
          </w:tcPr>
          <w:p>
            <w:r>
              <w:rPr>
                <w:rFonts w:ascii="宋体" w:hAnsi="宋体" w:eastAsia="宋体"/>
                <w:sz w:val="20"/>
              </w:rPr>
            </w:r>
            <w:r>
              <w:rPr>
                <w:rFonts w:ascii="宋体" w:hAnsi="宋体" w:eastAsia="宋体"/>
                <w:sz w:val="20"/>
              </w:rPr>
              <w:t>驱动自动重试、治具提示或判废</w:t>
            </w:r>
          </w:p>
        </w:tc>
      </w:tr>
      <w:tr>
        <w:tc>
          <w:tcPr>
            <w:tcW w:type="dxa" w:w="2880"/>
          </w:tcPr>
          <w:p>
            <w:r>
              <w:rPr>
                <w:rFonts w:ascii="宋体" w:hAnsi="宋体" w:eastAsia="宋体"/>
                <w:sz w:val="20"/>
              </w:rPr>
            </w:r>
            <w:r>
              <w:rPr>
                <w:rFonts w:ascii="宋体" w:hAnsi="宋体" w:eastAsia="宋体"/>
                <w:color w:val="333333"/>
                <w:sz w:val="20"/>
              </w:rPr>
              <w:t>raw_digest</w:t>
            </w:r>
          </w:p>
        </w:tc>
        <w:tc>
          <w:tcPr>
            <w:tcW w:type="dxa" w:w="2880"/>
          </w:tcPr>
          <w:p>
            <w:r>
              <w:rPr>
                <w:rFonts w:ascii="宋体" w:hAnsi="宋体" w:eastAsia="宋体"/>
                <w:sz w:val="20"/>
              </w:rPr>
            </w:r>
            <w:r>
              <w:rPr>
                <w:rFonts w:ascii="宋体" w:hAnsi="宋体" w:eastAsia="宋体"/>
                <w:sz w:val="20"/>
              </w:rPr>
              <w:t>原始采样摘要或哈希</w:t>
            </w:r>
          </w:p>
        </w:tc>
        <w:tc>
          <w:tcPr>
            <w:tcW w:type="dxa" w:w="2880"/>
          </w:tcPr>
          <w:p>
            <w:r>
              <w:rPr>
                <w:rFonts w:ascii="宋体" w:hAnsi="宋体" w:eastAsia="宋体"/>
                <w:sz w:val="20"/>
              </w:rPr>
            </w:r>
            <w:r>
              <w:rPr>
                <w:rFonts w:ascii="宋体" w:hAnsi="宋体" w:eastAsia="宋体"/>
                <w:sz w:val="20"/>
              </w:rPr>
              <w:t>避免保存大体积原始数据仍可追溯</w:t>
            </w:r>
          </w:p>
        </w:tc>
      </w:tr>
      <w:tr>
        <w:tc>
          <w:tcPr>
            <w:tcW w:type="dxa" w:w="2880"/>
          </w:tcPr>
          <w:p>
            <w:r>
              <w:rPr>
                <w:rFonts w:ascii="宋体" w:hAnsi="宋体" w:eastAsia="宋体"/>
                <w:sz w:val="20"/>
              </w:rPr>
            </w:r>
            <w:r>
              <w:rPr>
                <w:rFonts w:ascii="宋体" w:hAnsi="宋体" w:eastAsia="宋体"/>
                <w:color w:val="333333"/>
                <w:sz w:val="20"/>
              </w:rPr>
              <w:t>factory_blob</w:t>
            </w:r>
          </w:p>
        </w:tc>
        <w:tc>
          <w:tcPr>
            <w:tcW w:type="dxa" w:w="2880"/>
          </w:tcPr>
          <w:p>
            <w:r>
              <w:rPr>
                <w:rFonts w:ascii="宋体" w:hAnsi="宋体" w:eastAsia="宋体"/>
                <w:sz w:val="20"/>
              </w:rPr>
            </w:r>
            <w:r>
              <w:rPr>
                <w:rFonts w:ascii="宋体" w:hAnsi="宋体" w:eastAsia="宋体"/>
                <w:sz w:val="20"/>
              </w:rPr>
              <w:t>版本、长度、CRC、签名</w:t>
            </w:r>
          </w:p>
        </w:tc>
        <w:tc>
          <w:tcPr>
            <w:tcW w:type="dxa" w:w="2880"/>
          </w:tcPr>
          <w:p>
            <w:r>
              <w:rPr>
                <w:rFonts w:ascii="宋体" w:hAnsi="宋体" w:eastAsia="宋体"/>
                <w:sz w:val="20"/>
              </w:rPr>
            </w:r>
            <w:r>
              <w:rPr>
                <w:rFonts w:ascii="宋体" w:hAnsi="宋体" w:eastAsia="宋体"/>
                <w:sz w:val="20"/>
              </w:rPr>
              <w:t>支撑工厂数据完整性校验</w:t>
            </w:r>
          </w:p>
        </w:tc>
      </w:tr>
    </w:tbl>
    <w:p>
      <w:pPr>
        <w:spacing w:after="120" w:line="276" w:lineRule="auto"/>
      </w:pPr>
      <w:r>
        <w:rPr>
          <w:rFonts w:ascii="宋体" w:hAnsi="宋体" w:eastAsia="宋体"/>
          <w:sz w:val="21"/>
        </w:rPr>
        <w:t>由此，系统不是简单记录测试结果，而是把命令、provider 生命周期、质量分数、失败处置和工厂固化写入同一闭环。该闭环可进一步统计单板测试耗时、自动重试次数、治具调整次数、误判恢复次数和批次异常集中度，为产线节拍优化和现场维护提供可审计依据。</w:t>
      </w:r>
    </w:p>
    <w:p>
      <w:pPr>
        <w:pStyle w:val="Heading3"/>
      </w:pPr>
      <w:r>
        <w:rPr>
          <w:rFonts w:ascii="宋体" w:hAnsi="宋体" w:eastAsia="宋体"/>
        </w:rPr>
        <w:t>技术效果</w:t>
      </w:r>
    </w:p>
    <w:p>
      <w:pPr>
        <w:spacing w:after="120" w:line="276" w:lineRule="auto"/>
      </w:pPr>
      <w:r>
        <w:rPr>
          <w:rFonts w:ascii="宋体" w:hAnsi="宋体" w:eastAsia="宋体"/>
          <w:sz w:val="21"/>
        </w:rPr>
        <w:t>该实施例可减少人工切换测试工具，降低应用线程干扰，提升标定结果一致性，并使批次质量问题可追溯。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