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权利要求书</w:t>
      </w:r>
    </w:p>
    <w:p>
      <w:pPr>
        <w:spacing w:after="120" w:line="276" w:lineRule="auto"/>
      </w:pPr>
      <w:r>
        <w:rPr>
          <w:rFonts w:ascii="宋体" w:hAnsi="宋体" w:eastAsia="宋体"/>
          <w:b/>
          <w:sz w:val="21"/>
        </w:rPr>
        <w:t>对应案件名称</w:t>
      </w:r>
      <w:r>
        <w:rPr>
          <w:rFonts w:ascii="宋体" w:hAnsi="宋体" w:eastAsia="宋体"/>
          <w:sz w:val="21"/>
        </w:rPr>
        <w:t>：一种多源创作输入驱动的端侧轻量化眼神动画生成显示方法及系统</w:t>
      </w:r>
    </w:p>
    <w:p>
      <w:pPr>
        <w:spacing w:after="120" w:line="276" w:lineRule="auto"/>
      </w:pPr>
      <w:r>
        <w:rPr>
          <w:rFonts w:ascii="宋体" w:hAnsi="宋体" w:eastAsia="宋体"/>
          <w:b/>
          <w:sz w:val="21"/>
        </w:rPr>
        <w:t>1. 一种多源创作输入驱动的端侧轻量化眼神动画生成显示方法，其特征在于，包括：</w:t>
      </w:r>
    </w:p>
    <w:p>
      <w:pPr>
        <w:spacing w:after="120" w:line="276" w:lineRule="auto"/>
      </w:pPr>
      <w:r>
        <w:rPr>
          <w:rFonts w:ascii="宋体" w:hAnsi="宋体" w:eastAsia="宋体"/>
          <w:sz w:val="21"/>
        </w:rPr>
        <w:t>接收至少一种创作输入，所述创作输入包括 UI 参考视频、矢量动画数据、分层图片素材、移动端编辑参数和 AI 助手生成结果中的至少一种；</w:t>
      </w:r>
    </w:p>
    <w:p>
      <w:pPr>
        <w:spacing w:after="120" w:line="276" w:lineRule="auto"/>
      </w:pPr>
      <w:r>
        <w:rPr>
          <w:rFonts w:ascii="宋体" w:hAnsi="宋体" w:eastAsia="宋体"/>
          <w:sz w:val="21"/>
        </w:rPr>
        <w:t>对所述创作输入执行输入边界校验，以将视频、GIF 或 WebM 类型输入标记为视觉参考素材，并禁止所述视觉参考素材作为设备端运行时直接播放资产进入部署包；</w:t>
      </w:r>
    </w:p>
    <w:p>
      <w:pPr>
        <w:spacing w:after="120" w:line="276" w:lineRule="auto"/>
      </w:pPr>
      <w:r>
        <w:rPr>
          <w:rFonts w:ascii="宋体" w:hAnsi="宋体" w:eastAsia="宋体"/>
          <w:sz w:val="21"/>
        </w:rPr>
        <w:t>将所述创作输入映射为统一眼神参数域，所述统一眼神参数域至少包括时间信息、图层标识、位置偏移、缩放、透明度、眼睑高度和质量置信度；</w:t>
      </w:r>
    </w:p>
    <w:p>
      <w:pPr>
        <w:spacing w:after="120" w:line="276" w:lineRule="auto"/>
      </w:pPr>
      <w:r>
        <w:rPr>
          <w:rFonts w:ascii="宋体" w:hAnsi="宋体" w:eastAsia="宋体"/>
          <w:sz w:val="21"/>
        </w:rPr>
        <w:t>根据主题资源和图层先验，对所述统一眼神参数域中的参数进行求解、合成、平滑和关键帧压缩，得到端侧轻量化眼神动画参数；</w:t>
      </w:r>
    </w:p>
    <w:p>
      <w:pPr>
        <w:spacing w:after="120" w:line="276" w:lineRule="auto"/>
      </w:pPr>
      <w:r>
        <w:rPr>
          <w:rFonts w:ascii="宋体" w:hAnsi="宋体" w:eastAsia="宋体"/>
          <w:sz w:val="21"/>
        </w:rPr>
        <w:t>根据所述端侧轻量化眼神动画参数生成端侧运行资产，所述端侧运行资产包括参数规格文件、二进制动画文件、质量报告和分层主题资源中的至少两种；</w:t>
      </w:r>
    </w:p>
    <w:p>
      <w:pPr>
        <w:spacing w:after="120" w:line="276" w:lineRule="auto"/>
      </w:pPr>
      <w:r>
        <w:rPr>
          <w:rFonts w:ascii="宋体" w:hAnsi="宋体" w:eastAsia="宋体"/>
          <w:sz w:val="21"/>
        </w:rPr>
        <w:t>基于所述质量报告执行量产门禁，所述量产门禁根据置信度、关键帧数量、转场比例、动态指数、运行资产完整性和端侧资源预算中的至少两种判断所述端侧运行资产是否允许部署；</w:t>
      </w:r>
    </w:p>
    <w:p>
      <w:pPr>
        <w:spacing w:after="120" w:line="276" w:lineRule="auto"/>
      </w:pPr>
      <w:r>
        <w:rPr>
          <w:rFonts w:ascii="宋体" w:hAnsi="宋体" w:eastAsia="宋体"/>
          <w:sz w:val="21"/>
        </w:rPr>
        <w:t>在设备端加载所述分层主题资源和所述二进制动画文件，按关键帧时间戳推进目标眼神参数，并通过眼神参数平滑引擎将当前眼神参数逐步逼近所述目标眼神参数；</w:t>
      </w:r>
    </w:p>
    <w:p>
      <w:pPr>
        <w:spacing w:after="120" w:line="276" w:lineRule="auto"/>
      </w:pPr>
      <w:r>
        <w:rPr>
          <w:rFonts w:ascii="宋体" w:hAnsi="宋体" w:eastAsia="宋体"/>
          <w:sz w:val="21"/>
        </w:rPr>
        <w:t>根据所述当前眼神参数更新眼部显示图层，并输出到单眼或双眼显示屏，以在不直接播放所述视觉参考素材的情况下显示眼神动画。</w:t>
      </w:r>
    </w:p>
    <w:p>
      <w:pPr>
        <w:spacing w:after="120" w:line="276" w:lineRule="auto"/>
      </w:pPr>
      <w:r>
        <w:rPr>
          <w:rFonts w:ascii="宋体" w:hAnsi="宋体" w:eastAsia="宋体"/>
          <w:b/>
          <w:sz w:val="21"/>
        </w:rPr>
        <w:t>2. 根据权利要求 1 所述的方法，其特征在于，所述分层主题资源包括眼白层、虹膜层、瞳孔层、上眼睑层、下眼睑层、高光层、背景层和装饰层中的至少两种。</w:t>
      </w:r>
    </w:p>
    <w:p>
      <w:pPr>
        <w:spacing w:after="120" w:line="276" w:lineRule="auto"/>
      </w:pPr>
      <w:r>
        <w:rPr>
          <w:rFonts w:ascii="宋体" w:hAnsi="宋体" w:eastAsia="宋体"/>
          <w:b/>
          <w:sz w:val="21"/>
        </w:rPr>
        <w:t>3. 根据权利要求 1 所述的方法，其特征在于，对 UI 参考视频执行视频帧抽取和眼部 ROI 定位，并根据所述眼部 ROI、主题先验和帧间时序关系求解眼白偏移、虹膜偏移、瞳孔偏移、眼睑高度、缩放值和置信度中的至少两种。</w:t>
      </w:r>
    </w:p>
    <w:p>
      <w:pPr>
        <w:spacing w:after="120" w:line="276" w:lineRule="auto"/>
      </w:pPr>
      <w:r>
        <w:rPr>
          <w:rFonts w:ascii="宋体" w:hAnsi="宋体" w:eastAsia="宋体"/>
          <w:b/>
          <w:sz w:val="21"/>
        </w:rPr>
        <w:t>4. 根据权利要求 1 所述的方法，其特征在于，所述关键帧压缩包括：计算相邻参数帧之间的参数变化量，当所述参数变化量小于变化阈值且持续时间未超过最大保持时间时折叠为保持段，当所述参数变化量达到变化阈值或持续时间达到最大保持时间时保留关键帧。</w:t>
      </w:r>
    </w:p>
    <w:p>
      <w:pPr>
        <w:spacing w:after="120" w:line="276" w:lineRule="auto"/>
      </w:pPr>
      <w:r>
        <w:rPr>
          <w:rFonts w:ascii="宋体" w:hAnsi="宋体" w:eastAsia="宋体"/>
          <w:b/>
          <w:sz w:val="21"/>
        </w:rPr>
        <w:t>5. 根据权利要求 1 所述的方法，其特征在于，所述二进制动画文件包括魔数、版本号、帧率、帧数量和定长关键帧记录，所述定长关键帧记录至少包括时间戳、缩放值、眼白偏移、虹膜偏移、上眼睑高度和下眼睑高度。</w:t>
      </w:r>
    </w:p>
    <w:p>
      <w:pPr>
        <w:spacing w:after="120" w:line="276" w:lineRule="auto"/>
      </w:pPr>
      <w:r>
        <w:rPr>
          <w:rFonts w:ascii="宋体" w:hAnsi="宋体" w:eastAsia="宋体"/>
          <w:b/>
          <w:sz w:val="21"/>
        </w:rPr>
        <w:t>6. 根据权利要求 1 所述的方法，其特征在于，设备端根据眼睑高度从按高度等级命名的上眼睑素材和下眼睑素材中选择最接近的眼睑素材，以通过少量分级素材表达连续眨眼或情绪变化。</w:t>
      </w:r>
    </w:p>
    <w:p>
      <w:pPr>
        <w:spacing w:after="120" w:line="276" w:lineRule="auto"/>
      </w:pPr>
      <w:r>
        <w:rPr>
          <w:rFonts w:ascii="宋体" w:hAnsi="宋体" w:eastAsia="宋体"/>
          <w:b/>
          <w:sz w:val="21"/>
        </w:rPr>
        <w:t>7. 根据权利要求 1 所述的方法，其特征在于，当所述创作输入包括矢量动画数据时，系统根据矢量复杂度、帧数、尺寸、路径数量、内存估算和设备能力画像判断所述矢量动画数据是否作为增强资源部署；当不满足部署条件时，将所述矢量动画数据转换或降级为位图参数动画。</w:t>
      </w:r>
    </w:p>
    <w:p>
      <w:pPr>
        <w:spacing w:after="120" w:line="276" w:lineRule="auto"/>
      </w:pPr>
      <w:r>
        <w:rPr>
          <w:rFonts w:ascii="宋体" w:hAnsi="宋体" w:eastAsia="宋体"/>
          <w:b/>
          <w:sz w:val="21"/>
        </w:rPr>
        <w:t>8. 根据权利要求 1 所述的方法，其特征在于，当所述创作输入包括移动端编辑参数时，系统读取移动端时间轴上的注视点、眨眼、瞳孔缩放、情绪模板和持续时间中的至少两种，并将其合成为所述统一眼神参数域中的参数帧。</w:t>
      </w:r>
    </w:p>
    <w:p>
      <w:pPr>
        <w:spacing w:after="120" w:line="276" w:lineRule="auto"/>
      </w:pPr>
      <w:r>
        <w:rPr>
          <w:rFonts w:ascii="宋体" w:hAnsi="宋体" w:eastAsia="宋体"/>
          <w:b/>
          <w:sz w:val="21"/>
        </w:rPr>
        <w:t>9. 根据权利要求 1 所述的方法，其特征在于，当所述创作输入包括 AI 助手生成结果时，系统将自然语言、参考图或候选参数曲线转换为候选眼神动画参数，并对所述候选眼神动画参数执行字段白名单校验、参数范围校验、时间轴单调性校验、主题资源一致性校验和质量门禁排序中的至少两种。</w:t>
      </w:r>
    </w:p>
    <w:p>
      <w:pPr>
        <w:spacing w:after="120" w:line="276" w:lineRule="auto"/>
      </w:pPr>
      <w:r>
        <w:rPr>
          <w:rFonts w:ascii="宋体" w:hAnsi="宋体" w:eastAsia="宋体"/>
          <w:b/>
          <w:sz w:val="21"/>
        </w:rPr>
        <w:t>10. 根据权利要求 1 所述的方法，其特征在于，所述设备端支持同显、镜像或异显双屏显示模式，在所述双屏显示模式下，将同一眼神参数或左眼与右眼不同的眼神参数分别应用到两个显示屏。</w:t>
      </w:r>
    </w:p>
    <w:p>
      <w:pPr>
        <w:spacing w:after="120" w:line="276" w:lineRule="auto"/>
      </w:pPr>
      <w:r>
        <w:rPr>
          <w:rFonts w:ascii="宋体" w:hAnsi="宋体" w:eastAsia="宋体"/>
          <w:b/>
          <w:sz w:val="21"/>
        </w:rPr>
        <w:t>11. 根据权利要求 1 所述的方法，其特征在于，所述方法还包括端侧遥测反馈步骤，所述端侧遥测反馈步骤采集动画标识、主题标识、播放帧率、掉帧次数、内存峰值、用户选择行为和中断原因中的至少两种，并根据所述端侧遥测反馈调整后续生成过程中的关键帧压缩强度、矢量增强开关、模板权重或质量门禁阈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