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权利要求书</w:t>
      </w:r>
    </w:p>
    <w:p>
      <w:pPr>
        <w:spacing w:after="120" w:line="276" w:lineRule="auto"/>
      </w:pPr>
      <w:r>
        <w:rPr>
          <w:rFonts w:ascii="宋体" w:hAnsi="宋体" w:eastAsia="宋体"/>
          <w:b/>
          <w:sz w:val="21"/>
        </w:rPr>
        <w:t>对应案件名称</w:t>
      </w:r>
      <w:r>
        <w:rPr>
          <w:rFonts w:ascii="宋体" w:hAnsi="宋体" w:eastAsia="宋体"/>
          <w:sz w:val="21"/>
        </w:rPr>
        <w:t>：一种宠物机器人多传感器产测标定与诊断命令闭环方法及系统</w:t>
      </w:r>
    </w:p>
    <w:p>
      <w:pPr>
        <w:spacing w:after="120" w:line="276" w:lineRule="auto"/>
      </w:pPr>
      <w:r>
        <w:rPr>
          <w:rFonts w:ascii="宋体" w:hAnsi="宋体" w:eastAsia="宋体"/>
          <w:b/>
          <w:sz w:val="21"/>
        </w:rPr>
        <w:t>1. 一种宠物机器人多传感器产测标定与诊断命令闭环方法，其特征在于，包括：</w:t>
      </w:r>
    </w:p>
    <w:p>
      <w:pPr>
        <w:spacing w:after="120" w:line="276" w:lineRule="auto"/>
      </w:pPr>
      <w:r>
        <w:rPr>
          <w:rFonts w:ascii="宋体" w:hAnsi="宋体" w:eastAsia="宋体"/>
          <w:sz w:val="21"/>
        </w:rPr>
        <w:t>在宠物机器人中设置应用模式和产测模式，所述应用模式用于运行宠物机器人正常业务，所述产测模式用于运行与所述正常业务隔离的产测运行体；</w:t>
      </w:r>
    </w:p>
    <w:p>
      <w:pPr>
        <w:spacing w:after="120" w:line="276" w:lineRule="auto"/>
      </w:pPr>
      <w:r>
        <w:rPr>
          <w:rFonts w:ascii="宋体" w:hAnsi="宋体" w:eastAsia="宋体"/>
          <w:sz w:val="21"/>
        </w:rPr>
        <w:t>在所述产测模式下注册产测诊断节点，所述产测诊断节点通过统一诊断命令协议接收来自上位机、命令行工具或自动化脚本的产测命令；</w:t>
      </w:r>
    </w:p>
    <w:p>
      <w:pPr>
        <w:spacing w:after="120" w:line="276" w:lineRule="auto"/>
      </w:pPr>
      <w:r>
        <w:rPr>
          <w:rFonts w:ascii="宋体" w:hAnsi="宋体" w:eastAsia="宋体"/>
          <w:sz w:val="21"/>
        </w:rPr>
        <w:t>由命令服务模块对所述产测命令进行解析、限流、超时管理和动态路由，并将所述产测命令分发至与测试项或标定项对应的诊断执行模块；</w:t>
      </w:r>
    </w:p>
    <w:p>
      <w:pPr>
        <w:spacing w:after="120" w:line="276" w:lineRule="auto"/>
      </w:pPr>
      <w:r>
        <w:rPr>
          <w:rFonts w:ascii="宋体" w:hAnsi="宋体" w:eastAsia="宋体"/>
          <w:sz w:val="21"/>
        </w:rPr>
        <w:t>由硬件抽象模块为所述诊断执行模块提供至少包括 TOF、摄像头、IMU、麦克风、扬声器、电机、红外、无线通信、电池和按键中的一种或多种硬件访问接口；</w:t>
      </w:r>
    </w:p>
    <w:p>
      <w:pPr>
        <w:spacing w:after="120" w:line="276" w:lineRule="auto"/>
      </w:pPr>
      <w:r>
        <w:rPr>
          <w:rFonts w:ascii="宋体" w:hAnsi="宋体" w:eastAsia="宋体"/>
          <w:sz w:val="21"/>
        </w:rPr>
        <w:t>由标定编排模块按照预设状态机或策略表依次执行至少两个传感器标定流程，并在各标定流程中采集传感器数据、计算质量指标、判断是否满足质量门限；</w:t>
      </w:r>
    </w:p>
    <w:p>
      <w:pPr>
        <w:spacing w:after="120" w:line="276" w:lineRule="auto"/>
      </w:pPr>
      <w:r>
        <w:rPr>
          <w:rFonts w:ascii="宋体" w:hAnsi="宋体" w:eastAsia="宋体"/>
          <w:sz w:val="21"/>
        </w:rPr>
        <w:t>将各测试项或标定项的执行结果封装为统一结果模型，所述统一结果模型至少包括命令标识、测试项标识、执行状态、质量分数、失败原因、时间戳和结果数据；</w:t>
      </w:r>
    </w:p>
    <w:p>
      <w:pPr>
        <w:spacing w:after="120" w:line="276" w:lineRule="auto"/>
      </w:pPr>
      <w:r>
        <w:rPr>
          <w:rFonts w:ascii="宋体" w:hAnsi="宋体" w:eastAsia="宋体"/>
          <w:sz w:val="21"/>
        </w:rPr>
        <w:t>在测试项或标定项通过质量门限时，将对应标定结果写入工厂数据区，并将实时 PCBA 状态和追溯记录输出给上位机或本地记录模块；</w:t>
      </w:r>
    </w:p>
    <w:p>
      <w:pPr>
        <w:spacing w:after="120" w:line="276" w:lineRule="auto"/>
      </w:pPr>
      <w:r>
        <w:rPr>
          <w:rFonts w:ascii="宋体" w:hAnsi="宋体" w:eastAsia="宋体"/>
          <w:sz w:val="21"/>
        </w:rPr>
        <w:t>在测试项或标定项未通过质量门限时，根据失败类型、质量分数和重试次数自动执行重试、跳过、降级、判废或提示治具调整中的至少一种处理。</w:t>
      </w:r>
    </w:p>
    <w:p>
      <w:pPr>
        <w:spacing w:after="120" w:line="276" w:lineRule="auto"/>
      </w:pPr>
      <w:r>
        <w:rPr>
          <w:rFonts w:ascii="宋体" w:hAnsi="宋体" w:eastAsia="宋体"/>
          <w:b/>
          <w:sz w:val="21"/>
        </w:rPr>
        <w:t>2. 根据权利要求 1 所述的方法，其特征在于，所述应用模式和产测模式共享硬件抽象模块和统一诊断命令协议，但分别使用不同的诊断命令 profile，以使产测命令在应用模式下不可见或不可执行。</w:t>
      </w:r>
    </w:p>
    <w:p>
      <w:pPr>
        <w:spacing w:after="120" w:line="276" w:lineRule="auto"/>
      </w:pPr>
      <w:r>
        <w:rPr>
          <w:rFonts w:ascii="宋体" w:hAnsi="宋体" w:eastAsia="宋体"/>
          <w:b/>
          <w:sz w:val="21"/>
        </w:rPr>
        <w:t>3. 根据权利要求 1 所述的方法，其特征在于，所述命令服务模块仅执行协议接入、请求匹配、动态路由、超时管理和速率限制，不直接执行传感器采样、运动控制或标定计算。</w:t>
      </w:r>
    </w:p>
    <w:p>
      <w:pPr>
        <w:spacing w:after="120" w:line="276" w:lineRule="auto"/>
      </w:pPr>
      <w:r>
        <w:rPr>
          <w:rFonts w:ascii="宋体" w:hAnsi="宋体" w:eastAsia="宋体"/>
          <w:b/>
          <w:sz w:val="21"/>
        </w:rPr>
        <w:t>4. 根据权利要求 1 所述的方法，其特征在于，所述统一诊断命令协议包括层级化命令字和可选结构化参数，所述层级化命令字用于标识应用诊断、产测诊断、性能诊断、硬件检测或标定流程中的至少一种。</w:t>
      </w:r>
    </w:p>
    <w:p>
      <w:pPr>
        <w:spacing w:after="120" w:line="276" w:lineRule="auto"/>
      </w:pPr>
      <w:r>
        <w:rPr>
          <w:rFonts w:ascii="宋体" w:hAnsi="宋体" w:eastAsia="宋体"/>
          <w:b/>
          <w:sz w:val="21"/>
        </w:rPr>
        <w:t>5. 根据权利要求 1 所述的方法，其特征在于，所述标定编排模块通过统一标定器接口调度不同传感器标定流程，所述统一标定器接口包括初始化、启动、轮询、停止、获取状态、获取结果和持久化中的至少两种操作。</w:t>
      </w:r>
    </w:p>
    <w:p>
      <w:pPr>
        <w:spacing w:after="120" w:line="276" w:lineRule="auto"/>
      </w:pPr>
      <w:r>
        <w:rPr>
          <w:rFonts w:ascii="宋体" w:hAnsi="宋体" w:eastAsia="宋体"/>
          <w:b/>
          <w:sz w:val="21"/>
        </w:rPr>
        <w:t>6. 根据权利要求 1 所述的方法，其特征在于，所述至少两个传感器标定流程包括 TOF 标定流程和摄像头外参标定流程；其中，所述 TOF 标定流程根据有效点比例、距离均值、距离方差和异常点比例计算 TOF 质量分数，所述摄像头外参标定流程根据特征板检测结果、PnP 位姿求解结果、高度、俯仰角和重投影误差判断摄像头外参是否合格。</w:t>
      </w:r>
    </w:p>
    <w:p>
      <w:pPr>
        <w:spacing w:after="120" w:line="276" w:lineRule="auto"/>
      </w:pPr>
      <w:r>
        <w:rPr>
          <w:rFonts w:ascii="宋体" w:hAnsi="宋体" w:eastAsia="宋体"/>
          <w:b/>
          <w:sz w:val="21"/>
        </w:rPr>
        <w:t>7. 根据权利要求 1 所述的方法，其特征在于，所述至少两个传感器标定流程还包括 IMU 标定流程，所述 IMU 标定流程通过静止采样估计陀螺零偏，通过旋转阶段角速度积分计算比例因子，并根据加速度模长和安装角误差判断 IMU 安装或采样是否合格。</w:t>
      </w:r>
    </w:p>
    <w:p>
      <w:pPr>
        <w:spacing w:after="120" w:line="276" w:lineRule="auto"/>
      </w:pPr>
      <w:r>
        <w:rPr>
          <w:rFonts w:ascii="宋体" w:hAnsi="宋体" w:eastAsia="宋体"/>
          <w:b/>
          <w:sz w:val="21"/>
        </w:rPr>
        <w:t>8. 根据权利要求 1 所述的方法，其特征在于，所述统一结果模型进一步包括固件版本、硬件版本、SN、批次号、诊断 profile、重试次数、传感器原始摘要和工厂数据写入路径中的至少一种，以用于量产追溯。</w:t>
      </w:r>
    </w:p>
    <w:p>
      <w:pPr>
        <w:spacing w:after="120" w:line="276" w:lineRule="auto"/>
      </w:pPr>
      <w:r>
        <w:rPr>
          <w:rFonts w:ascii="宋体" w:hAnsi="宋体" w:eastAsia="宋体"/>
          <w:b/>
          <w:sz w:val="21"/>
        </w:rPr>
        <w:t>9. 根据权利要求 1 所述的方法，其特征在于，所述实时 PCBA 状态包括 Wi-Fi、BT、TOF、红外、电机、IMU、光照、红外距离、电池、麦克风扬声器、摄像头和标定信息中的至少两种状态信息，并通过消息总线、串口、网络或上位机协议输出。</w:t>
      </w:r>
    </w:p>
    <w:p>
      <w:pPr>
        <w:spacing w:after="120" w:line="276" w:lineRule="auto"/>
      </w:pPr>
      <w:r>
        <w:rPr>
          <w:rFonts w:ascii="宋体" w:hAnsi="宋体" w:eastAsia="宋体"/>
          <w:b/>
          <w:sz w:val="21"/>
        </w:rPr>
        <w:t>10. 根据权利要求 1 所述的方法，其特征在于，将对应标定结果写入工厂数据区包括：写入临时文件、刷新临时文件、对临时文件执行同步、将临时文件原子重命名为目标文件、对目标文件所在目录执行同步，并在目标文件中记录版本号、长度、校验值或签名中的至少一种完整性信息。</w:t>
      </w:r>
    </w:p>
    <w:p>
      <w:pPr>
        <w:spacing w:after="120" w:line="276" w:lineRule="auto"/>
      </w:pPr>
      <w:r>
        <w:rPr>
          <w:rFonts w:ascii="宋体" w:hAnsi="宋体" w:eastAsia="宋体"/>
          <w:b/>
          <w:sz w:val="21"/>
        </w:rPr>
        <w:t>11. 根据权利要求 1 所述的方法，其特征在于，根据失败类型、质量分数和重试次数自动执行处理包括：当检测到硬件致命错误时判定板卡失败；当质量分数低于硬失败阈值时判定测试项失败；当质量分数处于可恢复区间且重试次数未超过阈值时输出治具调整提示并自动重试；当上游依赖测试项失败时跳过下游测试项并记录跳过原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