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180"/>
        <w:jc w:val="center"/>
        <w:rPr>
          <w:rFonts w:eastAsia="DFKai-SB"/>
          <w:b/>
          <w:b/>
          <w:bCs/>
          <w:color w:val="000000"/>
          <w:sz w:val="48"/>
        </w:rPr>
      </w:pPr>
      <w:r>
        <w:rPr>
          <w:rFonts w:eastAsia="DFKai-SB"/>
          <w:b/>
          <w:bCs/>
          <w:color w:val="000000"/>
          <w:spacing w:val="140"/>
          <w:sz w:val="48"/>
          <w:lang w:eastAsia="zh-CN"/>
        </w:rPr>
        <w:t>专利技术交底</w:t>
      </w:r>
      <w:r>
        <w:rPr>
          <w:rFonts w:eastAsia="DFKai-SB"/>
          <w:b/>
          <w:bCs/>
          <w:color w:val="000000"/>
          <w:sz w:val="48"/>
          <w:lang w:eastAsia="zh-CN"/>
        </w:rPr>
        <w:t>书</w:t>
      </w:r>
    </w:p>
    <w:tbl>
      <w:tblPr>
        <w:tblW w:w="9147" w:type="dxa"/>
        <w:jc w:val="start"/>
        <w:tblInd w:w="-5" w:type="dxa"/>
        <w:tblCellMar>
          <w:top w:w="0" w:type="dxa"/>
          <w:start w:w="28" w:type="dxa"/>
          <w:bottom w:w="0" w:type="dxa"/>
          <w:end w:w="28" w:type="dxa"/>
        </w:tblCellMar>
      </w:tblPr>
      <w:tblGrid>
        <w:gridCol w:w="2296"/>
        <w:gridCol w:w="284"/>
        <w:gridCol w:w="6567"/>
      </w:tblGrid>
      <w:tr>
        <w:trPr>
          <w:trHeight w:val="290" w:hRule="atLeast"/>
        </w:trPr>
        <w:tc>
          <w:tcPr>
            <w:tcW w:w="2580" w:type="dxa"/>
            <w:gridSpan w:val="2"/>
            <w:tcBorders>
              <w:top w:val="double" w:sz="4" w:space="0" w:color="000000"/>
              <w:start w:val="double" w:sz="4" w:space="0" w:color="000000"/>
              <w:bottom w:val="double" w:sz="4" w:space="0" w:color="000000"/>
            </w:tcBorders>
            <w:vAlign w:val="center"/>
          </w:tcPr>
          <w:p>
            <w:pPr>
              <w:pStyle w:val="Normal"/>
              <w:ind w:firstLine="108"/>
              <w:jc w:val="both"/>
              <w:rPr>
                <w:rFonts w:ascii="楷体_GB2312;楷体" w:hAnsi="楷体_GB2312;楷体" w:eastAsia="楷体_GB2312;楷体"/>
                <w:b/>
                <w:b/>
                <w:bCs/>
                <w:sz w:val="22"/>
                <w:lang w:eastAsia="zh-CN"/>
              </w:rPr>
            </w:pPr>
            <w:r>
              <w:rPr>
                <w:rFonts w:ascii="楷体_GB2312;楷体" w:hAnsi="楷体_GB2312;楷体" w:eastAsia="楷体_GB2312;楷体"/>
                <w:b/>
                <w:bCs/>
                <w:sz w:val="22"/>
                <w:lang w:eastAsia="zh-CN"/>
              </w:rPr>
              <w:t>一、专利申请名称</w:t>
            </w:r>
          </w:p>
        </w:tc>
        <w:tc>
          <w:tcPr>
            <w:tcW w:w="6567" w:type="dxa"/>
            <w:tcBorders>
              <w:top w:val="double" w:sz="4" w:space="0" w:color="000000"/>
              <w:start w:val="single" w:sz="4" w:space="0" w:color="000000"/>
              <w:bottom w:val="doub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一种多源创作输入驱动的端侧轻量化眼神动画生成显示方法及系统</w:t>
            </w:r>
          </w:p>
        </w:tc>
      </w:tr>
      <w:tr>
        <w:trPr>
          <w:trHeight w:val="290" w:hRule="atLeast"/>
        </w:trPr>
        <w:tc>
          <w:tcPr>
            <w:tcW w:w="9147" w:type="dxa"/>
            <w:gridSpan w:val="3"/>
            <w:tcBorders>
              <w:top w:val="double" w:sz="4" w:space="0" w:color="000000"/>
              <w:start w:val="double" w:sz="4" w:space="0" w:color="000000"/>
              <w:bottom w:val="single" w:sz="4" w:space="0" w:color="000000"/>
              <w:end w:val="double" w:sz="4" w:space="0" w:color="000000"/>
            </w:tcBorders>
            <w:vAlign w:val="center"/>
          </w:tcPr>
          <w:p>
            <w:pPr>
              <w:pStyle w:val="Normal"/>
              <w:ind w:firstLine="108"/>
              <w:jc w:val="both"/>
              <w:rPr>
                <w:rFonts w:ascii="楷体_GB2312;楷体" w:hAnsi="楷体_GB2312;楷体" w:eastAsia="楷体_GB2312;楷体"/>
                <w:b/>
                <w:b/>
                <w:bCs/>
                <w:sz w:val="22"/>
                <w:lang w:eastAsia="zh-CN"/>
              </w:rPr>
            </w:pPr>
            <w:r>
              <w:rPr>
                <w:rFonts w:ascii="楷体_GB2312;楷体" w:hAnsi="楷体_GB2312;楷体" w:eastAsia="楷体_GB2312;楷体"/>
                <w:b/>
                <w:bCs/>
                <w:sz w:val="22"/>
                <w:lang w:eastAsia="zh-CN"/>
              </w:rPr>
              <w:t>二、专利申请的相关著录项目信息</w:t>
            </w:r>
          </w:p>
        </w:tc>
      </w:tr>
      <w:tr>
        <w:trPr>
          <w:trHeight w:val="364" w:hRule="atLeast"/>
        </w:trPr>
        <w:tc>
          <w:tcPr>
            <w:tcW w:w="2296" w:type="dxa"/>
            <w:tcBorders>
              <w:top w:val="single" w:sz="4" w:space="0" w:color="000000"/>
              <w:start w:val="double" w:sz="4" w:space="0" w:color="000000"/>
              <w:bottom w:val="single" w:sz="4" w:space="0" w:color="000000"/>
            </w:tcBorders>
            <w:vAlign w:val="center"/>
          </w:tcPr>
          <w:p>
            <w:pPr>
              <w:pStyle w:val="Normal"/>
              <w:ind w:firstLine="216"/>
              <w:jc w:val="both"/>
              <w:rPr>
                <w:rFonts w:ascii="楷体_GB2312;楷体" w:hAnsi="楷体_GB2312;楷体" w:eastAsia="楷体_GB2312;楷体"/>
                <w:b/>
                <w:b/>
                <w:sz w:val="22"/>
                <w:lang w:eastAsia="zh-CN"/>
              </w:rPr>
            </w:pPr>
            <w:r>
              <w:rPr>
                <w:rFonts w:ascii="楷体_GB2312;楷体" w:hAnsi="楷体_GB2312;楷体" w:eastAsia="楷体_GB2312;楷体"/>
                <w:b/>
                <w:sz w:val="22"/>
                <w:lang w:eastAsia="zh-CN"/>
              </w:rPr>
              <w:t>申请人</w:t>
            </w:r>
          </w:p>
        </w:tc>
        <w:tc>
          <w:tcPr>
            <w:tcW w:w="6851" w:type="dxa"/>
            <w:gridSpan w:val="2"/>
            <w:tcBorders>
              <w:top w:val="single" w:sz="4" w:space="0" w:color="000000"/>
              <w:start w:val="sing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姓名或名称：待申请人确认</w:t>
            </w:r>
          </w:p>
        </w:tc>
      </w:tr>
      <w:tr>
        <w:trPr/>
        <w:tc>
          <w:tcPr>
            <w:tcW w:w="2296" w:type="dxa"/>
            <w:tcBorders>
              <w:top w:val="single" w:sz="4" w:space="0" w:color="000000"/>
              <w:start w:val="double" w:sz="4" w:space="0" w:color="000000"/>
              <w:bottom w:val="single" w:sz="4" w:space="0" w:color="000000"/>
            </w:tcBorders>
            <w:vAlign w:val="center"/>
          </w:tcPr>
          <w:p>
            <w:pPr>
              <w:pStyle w:val="Normal"/>
              <w:ind w:firstLine="216"/>
              <w:jc w:val="both"/>
              <w:rPr>
                <w:rFonts w:ascii="楷体_GB2312;楷体" w:hAnsi="楷体_GB2312;楷体" w:eastAsia="楷体_GB2312;楷体"/>
                <w:b/>
                <w:b/>
                <w:sz w:val="22"/>
                <w:lang w:eastAsia="zh-CN"/>
              </w:rPr>
            </w:pPr>
            <w:r>
              <w:rPr>
                <w:rFonts w:ascii="楷体_GB2312;楷体" w:hAnsi="楷体_GB2312;楷体" w:eastAsia="楷体_GB2312;楷体"/>
                <w:b/>
                <w:sz w:val="22"/>
                <w:lang w:eastAsia="zh-CN"/>
              </w:rPr>
              <w:t>技术联系人</w:t>
            </w:r>
          </w:p>
        </w:tc>
        <w:tc>
          <w:tcPr>
            <w:tcW w:w="6851" w:type="dxa"/>
            <w:gridSpan w:val="2"/>
            <w:tcBorders>
              <w:top w:val="single" w:sz="4" w:space="0" w:color="000000"/>
              <w:start w:val="sing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姓名：雷文军</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电话：15814082410</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邮箱：wenjun.lei@videostrong.com</w:t>
            </w:r>
          </w:p>
        </w:tc>
      </w:tr>
      <w:tr>
        <w:trPr/>
        <w:tc>
          <w:tcPr>
            <w:tcW w:w="2296" w:type="dxa"/>
            <w:tcBorders>
              <w:top w:val="single" w:sz="4" w:space="0" w:color="000000"/>
              <w:start w:val="double" w:sz="4" w:space="0" w:color="000000"/>
              <w:bottom w:val="single" w:sz="4" w:space="0" w:color="000000"/>
            </w:tcBorders>
            <w:vAlign w:val="center"/>
          </w:tcPr>
          <w:p>
            <w:pPr>
              <w:pStyle w:val="Normal"/>
              <w:ind w:firstLine="216"/>
              <w:jc w:val="both"/>
              <w:rPr>
                <w:rFonts w:ascii="楷体_GB2312;楷体" w:hAnsi="楷体_GB2312;楷体" w:eastAsia="楷体_GB2312;楷体"/>
                <w:b/>
                <w:b/>
                <w:sz w:val="22"/>
                <w:lang w:eastAsia="zh-CN"/>
              </w:rPr>
            </w:pPr>
            <w:r>
              <w:rPr>
                <w:rFonts w:ascii="楷体_GB2312;楷体" w:hAnsi="楷体_GB2312;楷体" w:eastAsia="楷体_GB2312;楷体"/>
                <w:b/>
                <w:sz w:val="22"/>
                <w:lang w:eastAsia="zh-CN"/>
              </w:rPr>
              <w:t>第一发明人姓名</w:t>
            </w:r>
          </w:p>
        </w:tc>
        <w:tc>
          <w:tcPr>
            <w:tcW w:w="6851" w:type="dxa"/>
            <w:gridSpan w:val="2"/>
            <w:tcBorders>
              <w:top w:val="single" w:sz="4" w:space="0" w:color="000000"/>
              <w:start w:val="sing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b/>
                <w:sz w:val="22"/>
                <w:lang w:eastAsia="zh-CN"/>
              </w:rPr>
              <w:t>第一发明人身份证号码</w:t>
            </w:r>
          </w:p>
        </w:tc>
      </w:tr>
      <w:tr>
        <w:trPr/>
        <w:tc>
          <w:tcPr>
            <w:tcW w:w="2296" w:type="dxa"/>
            <w:tcBorders>
              <w:top w:val="single" w:sz="4" w:space="0" w:color="000000"/>
              <w:start w:val="double" w:sz="4" w:space="0" w:color="000000"/>
              <w:bottom w:val="sing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1、雷文军</w:t>
            </w:r>
          </w:p>
        </w:tc>
        <w:tc>
          <w:tcPr>
            <w:tcW w:w="6851" w:type="dxa"/>
            <w:gridSpan w:val="2"/>
            <w:tcBorders>
              <w:top w:val="single" w:sz="4" w:space="0" w:color="000000"/>
              <w:start w:val="sing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身份证号码：429004199209112373</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ind w:firstLine="216"/>
              <w:jc w:val="both"/>
              <w:rPr>
                <w:rFonts w:ascii="楷体_GB2312;楷体" w:hAnsi="楷体_GB2312;楷体" w:eastAsia="楷体_GB2312;楷体"/>
                <w:b/>
                <w:b/>
                <w:sz w:val="22"/>
                <w:lang w:eastAsia="zh-CN"/>
              </w:rPr>
            </w:pPr>
            <w:r>
              <w:rPr>
                <w:rFonts w:ascii="楷体_GB2312;楷体" w:hAnsi="楷体_GB2312;楷体" w:eastAsia="楷体_GB2312;楷体"/>
                <w:b/>
                <w:sz w:val="22"/>
                <w:lang w:eastAsia="zh-CN"/>
              </w:rPr>
              <w:t>其他发明人姓名</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1、如有其他发明人，请补充</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w:t>
            </w:r>
          </w:p>
        </w:tc>
      </w:tr>
      <w:tr>
        <w:trPr/>
        <w:tc>
          <w:tcPr>
            <w:tcW w:w="9147" w:type="dxa"/>
            <w:gridSpan w:val="3"/>
            <w:tcBorders>
              <w:top w:val="sing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5、</w:t>
            </w:r>
          </w:p>
        </w:tc>
      </w:tr>
      <w:tr>
        <w:trPr>
          <w:trHeight w:val="340" w:hRule="atLeast"/>
        </w:trPr>
        <w:tc>
          <w:tcPr>
            <w:tcW w:w="9147" w:type="dxa"/>
            <w:gridSpan w:val="3"/>
            <w:tcBorders>
              <w:top w:val="double" w:sz="4" w:space="0" w:color="000000"/>
              <w:start w:val="double" w:sz="4" w:space="0" w:color="000000"/>
              <w:bottom w:val="single" w:sz="4" w:space="0" w:color="000000"/>
              <w:end w:val="double" w:sz="4" w:space="0" w:color="000000"/>
            </w:tcBorders>
            <w:vAlign w:val="center"/>
          </w:tcPr>
          <w:p>
            <w:pPr>
              <w:pStyle w:val="Normal"/>
              <w:ind w:firstLine="108"/>
              <w:jc w:val="both"/>
              <w:rPr>
                <w:rFonts w:ascii="宋体;SimSun" w:hAnsi="宋体;SimSun" w:eastAsia="宋体;SimSun" w:cs="宋体;SimSun"/>
                <w:b/>
                <w:b/>
                <w:bCs/>
                <w:color w:val="000000"/>
                <w:sz w:val="22"/>
              </w:rPr>
            </w:pPr>
            <w:r>
              <w:rPr>
                <w:rFonts w:ascii="楷体_GB2312;楷体" w:hAnsi="楷体_GB2312;楷体" w:eastAsia="楷体_GB2312;楷体"/>
                <w:b/>
                <w:bCs/>
                <w:sz w:val="22"/>
                <w:lang w:eastAsia="zh-CN"/>
              </w:rPr>
              <w:t>三、发明背景及已知技术说明</w:t>
            </w:r>
          </w:p>
        </w:tc>
      </w:tr>
      <w:tr>
        <w:trPr>
          <w:trHeight w:val="1731" w:hRule="atLeast"/>
        </w:trPr>
        <w:tc>
          <w:tcPr>
            <w:tcW w:w="9147" w:type="dxa"/>
            <w:gridSpan w:val="3"/>
            <w:tcBorders>
              <w:top w:val="single" w:sz="4" w:space="0" w:color="000000"/>
              <w:start w:val="double" w:sz="4" w:space="0" w:color="000000"/>
              <w:bottom w:val="doub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本发明属于嵌入式显示、机器人交互动画、轻量化动画资产生成和端侧图形渲染技术领域，适用于具有一个或多个眼部显示屏的宠物机器人、陪伴设备、智能玩具、桌面交互终端等产品。</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已知技术一：机器人眼部多图层 JSON 动画，例如 US10957090B2 公开通过解析预制 JSON 文件、按图层关键帧和变化参数显示机器人眼部动画。该类方案侧重运行端播放已有动画描述，未解决 UI 参考视频、Lottie/AE 矢量、分层图片、手机编辑数据和 AI 生成结果如何统一转换为端侧轻量资产的问题。</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已知技术二：LVGL Rlottie、ESP LVGL Lottie 播放器等嵌入式动画播放组件，可直接播放 Lottie 文件或内存数据。该类组件属于通用播放控件，复杂 Lottie 在无硬件 2D 加速、Flash 和 DDR 受限设备上容易带来 CPU/RAM 峰值、掉帧和加载失败，且不理解眼白、虹膜、瞳孔、眼睑、高光等眼神专用层模型。</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已知技术三：设计工具直接导出视频、GIF 或逐帧 PNG。该方式直观，但将全帧存储、视频解码、Alpha 混合和双屏同步压力转移到设备端，不利于传感器状态实时驱动、低功耗休眠和量产资源约束。</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现有技术的不足在于：创作输入形态不统一，参考视频与运行资产边界不清；缺少自动求解、关键帧压缩、质量报告、二进制运行资产和降级策略；缺少从 AI/移动端高层意图到可执行眼神参数的安全约束；缺少端侧运行日志反向优化创作参数的闭环。</w:t>
            </w:r>
          </w:p>
        </w:tc>
      </w:tr>
      <w:tr>
        <w:trPr>
          <w:trHeight w:val="565" w:hRule="atLeast"/>
        </w:trPr>
        <w:tc>
          <w:tcPr>
            <w:tcW w:w="9147" w:type="dxa"/>
            <w:gridSpan w:val="3"/>
            <w:tcBorders>
              <w:top w:val="single" w:sz="4" w:space="0" w:color="000000"/>
              <w:start w:val="double" w:sz="4" w:space="0" w:color="000000"/>
              <w:bottom w:val="double" w:sz="4" w:space="0" w:color="000000"/>
              <w:end w:val="double" w:sz="4" w:space="0" w:color="000000"/>
            </w:tcBorders>
          </w:tcPr>
          <w:p>
            <w:pPr>
              <w:pStyle w:val="Normal"/>
              <w:spacing w:lineRule="exact" w:line="500"/>
              <w:ind w:firstLine="110"/>
              <w:rPr>
                <w:rFonts w:ascii="楷体_GB2312;楷体" w:hAnsi="楷体_GB2312;楷体" w:eastAsia="楷体_GB2312;楷体" w:cs="宋体;SimSun"/>
                <w:sz w:val="22"/>
                <w:lang w:eastAsia="zh-CN"/>
              </w:rPr>
            </w:pPr>
            <w:r>
              <w:rPr>
                <w:rFonts w:ascii="楷体_GB2312;楷体" w:hAnsi="楷体_GB2312;楷体" w:eastAsia="楷体_GB2312;楷体"/>
                <w:b/>
                <w:bCs/>
                <w:sz w:val="22"/>
                <w:lang w:eastAsia="zh-CN"/>
              </w:rPr>
              <w:t>四、专利申请内容（必须结合附图进行说明）</w:t>
            </w:r>
          </w:p>
        </w:tc>
      </w:tr>
      <w:tr>
        <w:trPr/>
        <w:tc>
          <w:tcPr>
            <w:tcW w:w="9147" w:type="dxa"/>
            <w:gridSpan w:val="3"/>
            <w:tcBorders>
              <w:top w:val="double" w:sz="4" w:space="0" w:color="000000"/>
              <w:start w:val="double" w:sz="4" w:space="0" w:color="000000"/>
              <w:bottom w:val="single" w:sz="4" w:space="0" w:color="000000"/>
              <w:end w:val="double" w:sz="4" w:space="0" w:color="000000"/>
            </w:tcBorders>
            <w:vAlign w:val="center"/>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1）拟申请产品所要解决的技术问题：在存储、内存和图形加速能力受限的嵌入式显示设备上，如何将 UI 参考视频、矢量动画、分层素材、移动端编辑参数和 AI 助手生成结果，自动或半自动转换为可稳定运行的轻量化眼神动画资产，并在端侧以低内存、低解码成本、可被传感器和系统状态抢占的方式显示高质量眼神动画。</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2）拟申请产品技术方案：系统分为创作输入层、资产规范化与求解层、产物与门禁层、设备端运行层。创作输入层接收 UI 参考视频、Lottie/AE 矢量、分层 PNG、移动端编辑参数和 AI 生成结果；资产规范化与求解层执行输入边界校验、主题与图层识别、视频帧抽取、ROI 定位、眼神参数求解、关键帧平滑压缩、矢量增强和降级生成；产物与门禁层输出参数规格文件、端侧二进制动画 animbin、调试脚本和质量报告；设备端运行层加载主题资源、选择眼睑分级素材、播放二进制动画、执行参数平滑并输出到单眼或双眼屏幕。</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产品侧形态：设计师可以上传参考视频或分层素材，手机端用户可通过滑块、拖拽和时间轴编辑眼神，AI 助手可根据文字提示生成主题建议、关键姿态和参数曲线。上述输入不直接进入设备运行时，而是统一进入眼神参数域。</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技术侧处理：系统将眼神拆分为眼白、虹膜、瞳孔、上眼睑、下眼睑、高光、背景和装饰层，参数包括时间戳、图层 ID、X/Y 偏移、缩放、透明度、旋转、眼睑高度、形变参数和质量参数。视频只作为视觉对齐参考，经帧抽样、ROI 定位和置信度评估后求解参数帧，再压缩为关键帧和二进制运行资产。端侧按固定周期读取目标关键帧，经平滑引擎应用到 LVGL 图层对象。</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算法流程：A. 校验输入类型并阻断视频/GIF 直接进入运行包；B. 识别主题、图层和眼部 ROI；C. 从参考视频或矢量数据求解眼球位移、缩放、眼睑开合、瞳孔聚缩和情绪节奏；D. 对长等待、重复帧和微小抖动进行折叠和平滑；E. 生成 spec、animbin、Lua 调试脚本和 report；F. 在质量门禁中检查尺寸、帧率、内存预算、置信度、二进制完整性和降级路径；G. 设备端按主题和动画 ID 加载资源并播放。</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多端交互：UI 工具输出参考视频和图层素材；手机端输出用户编辑参数；AI 助手输出受白名单约束的高层意图；资产流水线输出端侧运行包；设备端输出掉帧、内存峰值、播放状态和用户反馈，用于下一轮参数优化。</w:t>
            </w:r>
          </w:p>
          <w:p>
            <w:pPr>
              <w:pStyle w:val="Normal"/>
              <w:jc w:val="both"/>
              <w:rPr>
                <w:rFonts w:ascii="楷体_GB2312;楷体" w:hAnsi="楷体_GB2312;楷体" w:eastAsia="楷体_GB2312;楷体"/>
                <w:b/>
                <w:bCs/>
                <w:sz w:val="22"/>
                <w:lang w:eastAsia="zh-CN"/>
              </w:rPr>
            </w:pPr>
            <w:r>
              <w:rPr>
                <w:rFonts w:ascii="楷体_GB2312;楷体" w:hAnsi="楷体_GB2312;楷体" w:eastAsia="楷体_GB2312;楷体"/>
                <w:b/>
                <w:bCs/>
                <w:sz w:val="22"/>
                <w:lang w:eastAsia="zh-CN"/>
              </w:rPr>
              <w:t>附图说明</w:t>
            </w:r>
          </w:p>
          <w:p>
            <w:pPr>
              <w:pStyle w:val="Normal"/>
              <w:jc w:val="both"/>
              <w:rPr>
                <w:rFonts w:ascii="楷体_GB2312;楷体" w:hAnsi="楷体_GB2312;楷体" w:eastAsia="楷体_GB2312;楷体"/>
                <w:b/>
                <w:bCs/>
                <w:sz w:val="22"/>
                <w:lang w:eastAsia="zh-CN"/>
              </w:rPr>
            </w:pPr>
            <w:r>
              <w:rPr>
                <w:rFonts w:ascii="楷体_GB2312;楷体" w:hAnsi="楷体_GB2312;楷体" w:eastAsia="楷体_GB2312;楷体"/>
                <w:b/>
                <w:bCs/>
                <w:sz w:val="22"/>
                <w:lang w:eastAsia="zh-CN"/>
              </w:rPr>
              <w:t>图1 系统框图：展示创作输入、资产求解、产物门禁和端侧运行四层结构。</w:t>
            </w:r>
          </w:p>
          <w:p>
            <w:pPr>
              <w:jc w:val="center"/>
            </w:pPr>
            <w:r>
              <w:drawing>
                <wp:inline>
                  <wp:extent cx="5200000" cy="8295009"/>
                  <wp:docPr id="101" name="eye_fig_001.png"/>
                  <wp:cNvGraphicFramePr>
                    <a:graphicFrameLocks noChangeAspect="1"/>
                  </wp:cNvGraphicFramePr>
                  <a:graphic>
                    <a:graphicData uri="http://schemas.openxmlformats.org/drawingml/2006/picture">
                      <pic:pic>
                        <pic:nvPicPr>
                          <pic:cNvPr id="0" name="eye_fig_001.png"/>
                          <pic:cNvPicPr/>
                        </pic:nvPicPr>
                        <pic:blipFill>
                          <a:blip r:embed="rId6"/>
                          <a:stretch>
                            <a:fillRect/>
                          </a:stretch>
                        </pic:blipFill>
                        <pic:spPr>
                          <a:xfrm>
                            <a:off x="0" y="0"/>
                            <a:ext cx="5200000" cy="8295009"/>
                          </a:xfrm>
                          <a:prstGeom prst="rect"/>
                        </pic:spPr>
                      </pic:pic>
                    </a:graphicData>
                  </a:graphic>
                </wp:inline>
              </w:drawing>
            </w:r>
          </w:p>
          <w:p>
            <w:pPr>
              <w:pStyle w:val="Normal"/>
              <w:jc w:val="both"/>
              <w:rPr>
                <w:rFonts w:ascii="楷体_GB2312;楷体" w:hAnsi="楷体_GB2312;楷体" w:eastAsia="楷体_GB2312;楷体"/>
                <w:b/>
                <w:bCs/>
                <w:sz w:val="22"/>
                <w:lang w:eastAsia="zh-CN"/>
              </w:rPr>
            </w:pPr>
            <w:r>
              <w:rPr>
                <w:rFonts w:ascii="楷体_GB2312;楷体" w:hAnsi="楷体_GB2312;楷体" w:eastAsia="楷体_GB2312;楷体"/>
                <w:b/>
                <w:bCs/>
                <w:sz w:val="22"/>
                <w:lang w:eastAsia="zh-CN"/>
              </w:rPr>
              <w:t>图2 自动化流水线状态机：展示输入校验、求解、仿真、门禁、部署和反馈闭环。</w:t>
            </w:r>
          </w:p>
          <w:p>
            <w:pPr>
              <w:jc w:val="center"/>
            </w:pPr>
            <w:r>
              <w:drawing>
                <wp:inline>
                  <wp:extent cx="5200000" cy="14499270"/>
                  <wp:docPr id="102" name="eye_fig_002.png"/>
                  <wp:cNvGraphicFramePr>
                    <a:graphicFrameLocks noChangeAspect="1"/>
                  </wp:cNvGraphicFramePr>
                  <a:graphic>
                    <a:graphicData uri="http://schemas.openxmlformats.org/drawingml/2006/picture">
                      <pic:pic>
                        <pic:nvPicPr>
                          <pic:cNvPr id="0" name="eye_fig_002.png"/>
                          <pic:cNvPicPr/>
                        </pic:nvPicPr>
                        <pic:blipFill>
                          <a:blip r:embed="rId7"/>
                          <a:stretch>
                            <a:fillRect/>
                          </a:stretch>
                        </pic:blipFill>
                        <pic:spPr>
                          <a:xfrm>
                            <a:off x="0" y="0"/>
                            <a:ext cx="5200000" cy="14499270"/>
                          </a:xfrm>
                          <a:prstGeom prst="rect"/>
                        </pic:spPr>
                      </pic:pic>
                    </a:graphicData>
                  </a:graphic>
                </wp:inline>
              </w:drawing>
            </w:r>
          </w:p>
          <w:p>
            <w:pPr>
              <w:pStyle w:val="Normal"/>
              <w:jc w:val="both"/>
              <w:rPr>
                <w:rFonts w:ascii="楷体_GB2312;楷体" w:hAnsi="楷体_GB2312;楷体" w:eastAsia="楷体_GB2312;楷体"/>
                <w:b/>
                <w:bCs/>
                <w:sz w:val="22"/>
                <w:lang w:eastAsia="zh-CN"/>
              </w:rPr>
            </w:pPr>
            <w:r>
              <w:rPr>
                <w:rFonts w:ascii="楷体_GB2312;楷体" w:hAnsi="楷体_GB2312;楷体" w:eastAsia="楷体_GB2312;楷体"/>
                <w:b/>
                <w:bCs/>
                <w:sz w:val="22"/>
                <w:lang w:eastAsia="zh-CN"/>
              </w:rPr>
              <w:t>图3 设备端播放流程图：展示主题加载、关键帧读取、平滑插值和双屏输出过程。</w:t>
            </w:r>
          </w:p>
          <w:p>
            <w:pPr>
              <w:jc w:val="center"/>
            </w:pPr>
            <w:r>
              <w:drawing>
                <wp:inline>
                  <wp:extent cx="5200000" cy="8762798"/>
                  <wp:docPr id="103" name="eye_fig_003.png"/>
                  <wp:cNvGraphicFramePr>
                    <a:graphicFrameLocks noChangeAspect="1"/>
                  </wp:cNvGraphicFramePr>
                  <a:graphic>
                    <a:graphicData uri="http://schemas.openxmlformats.org/drawingml/2006/picture">
                      <pic:pic>
                        <pic:nvPicPr>
                          <pic:cNvPr id="0" name="eye_fig_003.png"/>
                          <pic:cNvPicPr/>
                        </pic:nvPicPr>
                        <pic:blipFill>
                          <a:blip r:embed="rId8"/>
                          <a:stretch>
                            <a:fillRect/>
                          </a:stretch>
                        </pic:blipFill>
                        <pic:spPr>
                          <a:xfrm>
                            <a:off x="0" y="0"/>
                            <a:ext cx="5200000" cy="8762798"/>
                          </a:xfrm>
                          <a:prstGeom prst="rect"/>
                        </pic:spPr>
                      </pic:pic>
                    </a:graphicData>
                  </a:graphic>
                </wp:inline>
              </w:drawing>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3）有益效果及发明点：</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（1）将视频限定为参考输入，运行端仅加载分层素材和参数化资产，降低 Flash、RAM、解码和掉帧风险。</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（2）将 UI、Lottie、分层素材、移动端编辑和 AI 结果统一到眼神参数域，提高创作输入兼容性。</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（3）通过质量报告和量产门禁提前发现越界、置信度低、帧率不达标、资源缺失和二进制不完整问题。</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（4）通过端侧二进制动画和参数平滑引擎减少运行时解析成本，并支持系统状态或传感器事件抢占。</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（5）通过端侧遥测反馈形成生成、仿真、门禁、部署、反馈和再优化闭环。</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核心保护点包括：多源创作输入统一映射为眼神参数资产的方法；参考视频到眼神参数的求解与压缩方法；端侧二进制眼神动画播放方法；质量门禁和自动降级方法；AI/手机意图受约束生成眼神动画的方法；双屏眼神同步或差异化显示方法。</w:t>
            </w:r>
          </w:p>
        </w:tc>
      </w:tr>
      <w:tr>
        <w:trPr>
          <w:trHeight w:val="428" w:hRule="atLeast"/>
        </w:trPr>
        <w:tc>
          <w:tcPr>
            <w:tcW w:w="9147" w:type="dxa"/>
            <w:gridSpan w:val="3"/>
            <w:tcBorders>
              <w:top w:val="sing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五、检测和实验验证</w:t>
            </w:r>
          </w:p>
        </w:tc>
      </w:tr>
      <w:tr>
        <w:trPr>
          <w:trHeight w:val="1544" w:hRule="atLeast"/>
        </w:trPr>
        <w:tc>
          <w:tcPr>
            <w:tcW w:w="9147" w:type="dxa"/>
            <w:gridSpan w:val="3"/>
            <w:tcBorders>
              <w:top w:val="single" w:sz="4" w:space="0" w:color="000000"/>
              <w:start w:val="double" w:sz="4" w:space="0" w:color="000000"/>
              <w:bottom w:val="sing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目前材料中未提供实测报告或量产测试数据，不应虚构实验结果。建议补充以下验证材料：</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1、资产转换验证：同一参考视频分别生成 spec、animbin 和 report，检查帧数、关键帧数量、尺寸、主题资源完整性和哈希。</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2、端侧运行验证：记录设备端加载耗时、RAM 峰值、播放帧率、掉帧次数、双屏同步误差和降级路径触发记录。</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3、质量门禁验证：用缺失图层、超尺寸 Lottie、低置信度视频、长等待动画等负样例验证门禁能阻断或降级。</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4、回归验证：保存输入素材、生成参数、运行日志和对比截图，支撑代理人后续补充实验数据。</w:t>
            </w:r>
          </w:p>
        </w:tc>
      </w:tr>
      <w:tr>
        <w:trPr>
          <w:trHeight w:val="365"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六、应用领域</w:t>
            </w:r>
          </w:p>
        </w:tc>
      </w:tr>
      <w:tr>
        <w:trPr>
          <w:trHeight w:val="1696"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本发明可应用于宠物机器人、陪伴机器人、智能玩具、桌面情感交互终端、带屏智能音箱、教育机器人、低功耗嵌入式表情显示设备等。</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应用方式包括：量产前批量生成眼神资产；手机端个性化编辑眼神；AI 根据场景生成受约束动画；设备端根据情绪、传感器和系统事件播放或抢占眼神动画。</w:t>
            </w:r>
          </w:p>
        </w:tc>
      </w:tr>
      <w:tr>
        <w:trPr>
          <w:trHeight w:val="367"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七、已公开的信息</w:t>
            </w:r>
          </w:p>
        </w:tc>
      </w:tr>
      <w:tr>
        <w:trPr>
          <w:trHeight w:val="2400"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未提供本发明已经在展会、学术会议、技术会议或公开渠道披露的信息。如存在对外演示、论文、公众号、客户材料、样机展示或第三方泄露，请在提交前补充时间、地点、材料和公开范围。</w:t>
            </w:r>
          </w:p>
        </w:tc>
      </w:tr>
      <w:tr>
        <w:trPr>
          <w:trHeight w:val="541" w:hRule="atLeast"/>
        </w:trPr>
        <w:tc>
          <w:tcPr>
            <w:tcW w:w="9147" w:type="dxa"/>
            <w:gridSpan w:val="3"/>
            <w:tcBorders>
              <w:top w:val="sing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八、引证资料或其他说明</w:t>
            </w:r>
          </w:p>
        </w:tc>
      </w:tr>
      <w:tr>
        <w:trPr>
          <w:trHeight w:val="1576" w:hRule="atLeast"/>
        </w:trPr>
        <w:tc>
          <w:tcPr>
            <w:tcW w:w="9147" w:type="dxa"/>
            <w:gridSpan w:val="3"/>
            <w:tcBorders>
              <w:top w:val="single" w:sz="4" w:space="0" w:color="000000"/>
              <w:start w:val="double" w:sz="4" w:space="0" w:color="000000"/>
              <w:bottom w:val="sing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1、US10957090B2，Eye animated expression display method and robot using the same，Google Patents。</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2、LVGL Rlottie 官方文档。</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3、Espressif esp_lv_lottie_player 组件说明。</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4、本地交底材料：一种多源创作输入驱动的端侧轻量化眼神动画生成显示方法及系统_20260530154742.md 及 figures_eye 图示。</w:t>
            </w:r>
          </w:p>
        </w:tc>
      </w:tr>
      <w:tr>
        <w:trPr>
          <w:trHeight w:val="368" w:hRule="atLeast"/>
        </w:trPr>
        <w:tc>
          <w:tcPr>
            <w:tcW w:w="9147" w:type="dxa"/>
            <w:gridSpan w:val="3"/>
            <w:tcBorders>
              <w:top w:val="double" w:sz="4" w:space="0" w:color="000000"/>
              <w:start w:val="double" w:sz="4" w:space="0" w:color="000000"/>
              <w:bottom w:val="single" w:sz="4" w:space="0" w:color="000000"/>
              <w:end w:val="double" w:sz="4" w:space="0" w:color="000000"/>
            </w:tcBorders>
          </w:tcPr>
          <w:p>
            <w:pPr>
              <w:pStyle w:val="Normal"/>
              <w:ind w:firstLine="108"/>
              <w:jc w:val="both"/>
              <w:rPr>
                <w:rFonts w:ascii="宋体;SimSun" w:hAnsi="宋体;SimSun" w:eastAsia="宋体;SimSun" w:cs="宋体;SimSun"/>
                <w:b/>
                <w:b/>
                <w:bCs/>
                <w:color w:val="000000"/>
                <w:sz w:val="22"/>
                <w:lang w:eastAsia="zh-CN"/>
              </w:rPr>
            </w:pPr>
            <w:r>
              <w:rPr>
                <w:rFonts w:ascii="楷体_GB2312;楷体" w:hAnsi="楷体_GB2312;楷体" w:eastAsia="楷体_GB2312;楷体"/>
                <w:b/>
                <w:bCs/>
                <w:sz w:val="22"/>
                <w:lang w:eastAsia="zh-CN"/>
              </w:rPr>
              <w:t>九、取证方式</w:t>
            </w:r>
          </w:p>
        </w:tc>
      </w:tr>
      <w:tr>
        <w:trPr/>
        <w:tc>
          <w:tcPr>
            <w:tcW w:w="9147" w:type="dxa"/>
            <w:gridSpan w:val="3"/>
            <w:tcBorders>
              <w:top w:val="double" w:sz="4" w:space="0" w:color="000000"/>
              <w:start w:val="double" w:sz="4" w:space="0" w:color="000000"/>
              <w:bottom w:val="double" w:sz="4" w:space="0" w:color="000000"/>
              <w:end w:val="double" w:sz="4" w:space="0" w:color="000000"/>
            </w:tcBorders>
          </w:tcPr>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可通过以下方式取证：</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1、在服务器或开发机保存输入素材、生成的 spec/animbin/report、版本号和哈希，证明多源输入到端侧资产的生成过程。</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2、在设备端保存动画加载日志、播放状态、掉帧次数、内存峰值、降级原因、主题 ID 和动画 ID。</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3、在手机端或 AI 助手侧保存受约束的意图参数、字段裁剪记录和生成结果。</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4、通过对比视频、仿真截图和设备端屏幕录制证明参数化资产与参考视觉效果的对应关系。</w:t>
            </w:r>
          </w:p>
        </w:tc>
      </w:tr>
      <w:tr>
        <w:trPr/>
        <w:tc>
          <w:tcPr>
            <w:tcW w:w="9147" w:type="dxa"/>
            <w:gridSpan w:val="3"/>
            <w:tcBorders>
              <w:top w:val="double" w:sz="4" w:space="0" w:color="000000"/>
              <w:start w:val="double" w:sz="4" w:space="0" w:color="000000"/>
              <w:bottom w:val="double" w:sz="4" w:space="0" w:color="000000"/>
              <w:end w:val="double" w:sz="4" w:space="0" w:color="000000"/>
            </w:tcBorders>
          </w:tcPr>
          <w:p>
            <w:pPr>
              <w:pStyle w:val="Normal"/>
              <w:spacing w:lineRule="auto"/>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（本栏由事务所人员填写）</w:t>
            </w:r>
          </w:p>
          <w:p>
            <w:pPr>
              <w:pStyle w:val="Normal"/>
              <w:jc w:val="both"/>
              <w:rPr>
                <w:rFonts w:ascii="楷体_GB2312;楷体" w:hAnsi="楷体_GB2312;楷体" w:eastAsia="楷体_GB2312;楷体"/>
                <w:sz w:val="22"/>
                <w:lang w:eastAsia="zh-CN"/>
              </w:rPr>
            </w:pPr>
            <w:r>
              <w:rPr>
                <w:rFonts w:ascii="楷体_GB2312;楷体" w:hAnsi="楷体_GB2312;楷体" w:eastAsia="楷体_GB2312;楷体"/>
                <w:sz w:val="22"/>
                <w:lang w:eastAsia="zh-CN"/>
              </w:rPr>
              <w:t>承办人员意见：</w:t>
            </w:r>
          </w:p>
          <w:p>
            <w:pPr>
              <w:pStyle w:val="Normal"/>
              <w:jc w:val="both"/>
              <w:rPr>
                <w:rFonts w:ascii="楷体_GB2312;楷体" w:hAnsi="楷体_GB2312;楷体" w:eastAsia="楷体_GB2312;楷体"/>
                <w:sz w:val="22"/>
                <w:lang w:eastAsia="zh-CN"/>
              </w:rPr>
            </w:pPr>
            <w:r>
              <w:rPr>
                <w:rFonts w:eastAsia="楷体_GB2312;楷体" w:ascii="楷体_GB2312;楷体" w:hAnsi="楷体_GB2312;楷体"/>
                <w:sz w:val="22"/>
                <w:lang w:eastAsia="zh-CN"/>
              </w:rPr>
            </w:r>
          </w:p>
          <w:p>
            <w:pPr>
              <w:pStyle w:val="Normal"/>
              <w:jc w:val="both"/>
              <w:rPr>
                <w:rFonts w:ascii="楷体_GB2312;楷体" w:hAnsi="楷体_GB2312;楷体" w:eastAsia="楷体_GB2312;楷体"/>
                <w:sz w:val="22"/>
                <w:lang w:eastAsia="zh-CN"/>
              </w:rPr>
            </w:pPr>
            <w:r>
              <w:rPr>
                <w:rFonts w:eastAsia="楷体_GB2312;楷体" w:ascii="楷体_GB2312;楷体" w:hAnsi="楷体_GB2312;楷体"/>
                <w:sz w:val="22"/>
                <w:lang w:eastAsia="zh-CN"/>
              </w:rPr>
            </w:r>
          </w:p>
          <w:p>
            <w:pPr>
              <w:pStyle w:val="Normal"/>
              <w:jc w:val="both"/>
              <w:rPr>
                <w:rFonts w:ascii="楷体_GB2312;楷体" w:hAnsi="楷体_GB2312;楷体" w:eastAsia="楷体_GB2312;楷体"/>
                <w:sz w:val="22"/>
                <w:lang w:eastAsia="zh-CN"/>
              </w:rPr>
            </w:pPr>
            <w:r>
              <w:rPr>
                <w:rFonts w:eastAsia="楷体_GB2312;楷体" w:ascii="楷体_GB2312;楷体" w:hAnsi="楷体_GB2312;楷体"/>
                <w:sz w:val="22"/>
                <w:lang w:eastAsia="zh-CN"/>
              </w:rPr>
            </w:r>
          </w:p>
        </w:tc>
      </w:tr>
    </w:tbl>
    <w:p>
      <w:pPr>
        <w:pStyle w:val="Normal"/>
        <w:rPr>
          <w:color w:val="000000"/>
        </w:rPr>
      </w:pPr>
      <w:r>
        <w:rPr>
          <w:color w:val="000000"/>
        </w:rPr>
      </w:r>
    </w:p>
    <w:sectPr>
      <w:headerReference w:type="default" r:id="rId2"/>
      <w:footerReference w:type="default" r:id="rId3"/>
      <w:type w:val="nextPage"/>
      <w:pgSz w:w="11906" w:h="16838"/>
      <w:pgMar w:left="1418" w:right="1418" w:header="567" w:top="1134" w:footer="284" w:bottom="851" w:gutter="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Fonts w:eastAsia="Times New Roman"/>
        <w:color w:val="7F7F7F"/>
        <w:sz w:val="16"/>
        <w:szCs w:val="16"/>
      </w:rPr>
      <w:t xml:space="preserve">                                    </w:t>
    </w:r>
    <w:r>
      <w:rPr>
        <w:rFonts w:eastAsia="Times New Roman"/>
        <w:color w:val="7F7F7F"/>
        <w:sz w:val="16"/>
        <w:szCs w:val="16"/>
        <w:lang w:eastAsia="zh-CN"/>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b/>
        <w:b/>
        <w:bCs/>
        <w:sz w:val="28"/>
        <w:u w:val="single"/>
      </w:rPr>
    </w:pPr>
    <w:r>
      <w:rPr>
        <w:rFonts w:eastAsia="Times New Roman"/>
        <w:b/>
        <w:bCs/>
        <w:sz w:val="28"/>
        <w:lang w:eastAsia="zh-CN"/>
      </w:rPr>
      <w:t xml:space="preserve">    </w:t>
    </w:r>
    <w:r>
      <w:rPr>
        <w:rFonts w:eastAsia="宋体;SimSun"/>
        <w:b/>
        <w:bCs/>
        <w:sz w:val="36"/>
        <w:lang w:eastAsia="zh-CN"/>
      </w:rPr>
      <w:t>深</w:t>
    </w:r>
    <w:r>
      <w:rPr>
        <w:rFonts w:eastAsia="Times New Roman"/>
        <w:b/>
        <w:bCs/>
        <w:sz w:val="36"/>
        <w:lang w:eastAsia="zh-CN"/>
      </w:rPr>
      <w:t xml:space="preserve"> </w:t>
    </w:r>
    <w:r>
      <w:rPr>
        <w:rFonts w:eastAsia="宋体;SimSun"/>
        <w:b/>
        <w:bCs/>
        <w:sz w:val="36"/>
        <w:lang w:eastAsia="zh-CN"/>
      </w:rPr>
      <w:t>圳</w:t>
    </w:r>
    <w:r>
      <w:rPr>
        <w:rFonts w:eastAsia="Times New Roman"/>
        <w:b/>
        <w:bCs/>
        <w:sz w:val="36"/>
        <w:lang w:eastAsia="zh-CN"/>
      </w:rPr>
      <w:t xml:space="preserve"> </w:t>
    </w:r>
    <w:r>
      <w:rPr>
        <w:rFonts w:eastAsia="宋体;SimSun"/>
        <w:b/>
        <w:bCs/>
        <w:sz w:val="36"/>
        <w:lang w:eastAsia="zh-CN"/>
      </w:rPr>
      <w:t>中</w:t>
    </w:r>
    <w:r>
      <w:rPr>
        <w:rFonts w:eastAsia="Times New Roman"/>
        <w:b/>
        <w:bCs/>
        <w:sz w:val="36"/>
        <w:lang w:eastAsia="zh-CN"/>
      </w:rPr>
      <w:t xml:space="preserve"> </w:t>
    </w:r>
    <w:r>
      <w:rPr>
        <w:rFonts w:eastAsia="宋体;SimSun"/>
        <w:b/>
        <w:bCs/>
        <w:sz w:val="36"/>
        <w:lang w:eastAsia="zh-CN"/>
      </w:rPr>
      <w:t>一</w:t>
    </w:r>
    <w:r>
      <w:rPr>
        <w:rFonts w:eastAsia="Times New Roman"/>
        <w:b/>
        <w:bCs/>
        <w:sz w:val="36"/>
        <w:lang w:eastAsia="zh-CN"/>
      </w:rPr>
      <w:t xml:space="preserve"> </w:t>
    </w:r>
    <w:r>
      <w:rPr>
        <w:rFonts w:eastAsia="宋体;SimSun"/>
        <w:b/>
        <w:bCs/>
        <w:sz w:val="36"/>
        <w:lang w:eastAsia="zh-CN"/>
      </w:rPr>
      <w:t>联</w:t>
    </w:r>
    <w:r>
      <w:rPr>
        <w:rFonts w:eastAsia="Times New Roman"/>
        <w:b/>
        <w:bCs/>
        <w:sz w:val="36"/>
        <w:lang w:eastAsia="zh-CN"/>
      </w:rPr>
      <w:t xml:space="preserve"> </w:t>
    </w:r>
    <w:r>
      <w:rPr>
        <w:rFonts w:eastAsia="宋体;SimSun"/>
        <w:b/>
        <w:bCs/>
        <w:sz w:val="36"/>
        <w:lang w:eastAsia="zh-CN"/>
      </w:rPr>
      <w:t>合</w:t>
    </w:r>
    <w:r>
      <w:rPr>
        <w:rFonts w:eastAsia="Times New Roman"/>
        <w:b/>
        <w:bCs/>
        <w:sz w:val="36"/>
        <w:lang w:eastAsia="zh-CN"/>
      </w:rPr>
      <w:t xml:space="preserve"> </w:t>
    </w:r>
    <w:r>
      <w:rPr>
        <w:rFonts w:eastAsia="宋体;SimSun"/>
        <w:b/>
        <w:bCs/>
        <w:sz w:val="36"/>
        <w:lang w:eastAsia="zh-CN"/>
      </w:rPr>
      <w:t>知</w:t>
    </w:r>
    <w:r>
      <w:rPr>
        <w:rFonts w:eastAsia="Times New Roman"/>
        <w:b/>
        <w:bCs/>
        <w:sz w:val="36"/>
        <w:lang w:eastAsia="zh-CN"/>
      </w:rPr>
      <w:t xml:space="preserve"> </w:t>
    </w:r>
    <w:r>
      <w:rPr>
        <w:rFonts w:eastAsia="宋体;SimSun"/>
        <w:b/>
        <w:bCs/>
        <w:sz w:val="36"/>
        <w:lang w:eastAsia="zh-CN"/>
      </w:rPr>
      <w:t>识</w:t>
    </w:r>
    <w:r>
      <w:rPr>
        <w:rFonts w:eastAsia="Times New Roman"/>
        <w:b/>
        <w:bCs/>
        <w:sz w:val="36"/>
        <w:lang w:eastAsia="zh-CN"/>
      </w:rPr>
      <w:t xml:space="preserve"> </w:t>
    </w:r>
    <w:r>
      <w:rPr>
        <w:rFonts w:eastAsia="宋体;SimSun"/>
        <w:b/>
        <w:bCs/>
        <w:sz w:val="36"/>
        <w:lang w:eastAsia="zh-CN"/>
      </w:rPr>
      <w:t>产</w:t>
    </w:r>
    <w:r>
      <w:rPr>
        <w:rFonts w:eastAsia="Times New Roman"/>
        <w:b/>
        <w:bCs/>
        <w:sz w:val="36"/>
        <w:lang w:eastAsia="zh-CN"/>
      </w:rPr>
      <w:t xml:space="preserve"> </w:t>
    </w:r>
    <w:r>
      <w:rPr>
        <w:rFonts w:eastAsia="宋体;SimSun"/>
        <w:b/>
        <w:bCs/>
        <w:sz w:val="36"/>
        <w:lang w:eastAsia="zh-CN"/>
      </w:rPr>
      <w:t>权</w:t>
    </w:r>
    <w:r>
      <w:rPr>
        <w:rFonts w:eastAsia="Times New Roman"/>
        <w:b/>
        <w:bCs/>
        <w:sz w:val="36"/>
        <w:lang w:eastAsia="zh-CN"/>
      </w:rPr>
      <w:t xml:space="preserve"> </w:t>
    </w:r>
    <w:r>
      <w:rPr>
        <w:rFonts w:eastAsia="宋体;SimSun"/>
        <w:b/>
        <w:bCs/>
        <w:sz w:val="36"/>
        <w:lang w:eastAsia="zh-CN"/>
      </w:rPr>
      <w:t>代</w:t>
    </w:r>
    <w:r>
      <w:rPr>
        <w:rFonts w:eastAsia="Times New Roman"/>
        <w:b/>
        <w:bCs/>
        <w:sz w:val="36"/>
        <w:lang w:eastAsia="zh-CN"/>
      </w:rPr>
      <w:t xml:space="preserve"> </w:t>
    </w:r>
    <w:r>
      <w:rPr>
        <w:rFonts w:eastAsia="宋体;SimSun"/>
        <w:b/>
        <w:bCs/>
        <w:sz w:val="36"/>
        <w:lang w:eastAsia="zh-CN"/>
      </w:rPr>
      <w:t>理</w:t>
    </w:r>
    <w:r>
      <w:rPr>
        <w:rFonts w:eastAsia="Times New Roman"/>
        <w:b/>
        <w:bCs/>
        <w:sz w:val="36"/>
        <w:lang w:eastAsia="zh-CN"/>
      </w:rPr>
      <w:t xml:space="preserve"> </w:t>
    </w:r>
    <w:r>
      <w:rPr>
        <w:rFonts w:eastAsia="宋体;SimSun"/>
        <w:b/>
        <w:bCs/>
        <w:sz w:val="36"/>
        <w:lang w:eastAsia="zh-CN"/>
      </w:rPr>
      <w:t>有</w:t>
    </w:r>
    <w:r>
      <w:rPr>
        <w:rFonts w:eastAsia="Times New Roman"/>
        <w:b/>
        <w:bCs/>
        <w:sz w:val="36"/>
        <w:lang w:eastAsia="zh-CN"/>
      </w:rPr>
      <w:t xml:space="preserve"> </w:t>
    </w:r>
    <w:r>
      <w:rPr>
        <w:rFonts w:eastAsia="宋体;SimSun"/>
        <w:b/>
        <w:bCs/>
        <w:sz w:val="36"/>
        <w:lang w:eastAsia="zh-CN"/>
      </w:rPr>
      <w:t>限</w:t>
    </w:r>
    <w:r>
      <w:rPr>
        <w:rFonts w:eastAsia="Times New Roman"/>
        <w:b/>
        <w:bCs/>
        <w:sz w:val="36"/>
        <w:lang w:eastAsia="zh-CN"/>
      </w:rPr>
      <w:t xml:space="preserve"> </w:t>
    </w:r>
    <w:r>
      <w:rPr>
        <w:rFonts w:eastAsia="宋体;SimSun"/>
        <w:b/>
        <w:bCs/>
        <w:sz w:val="36"/>
        <w:lang w:eastAsia="zh-CN"/>
      </w:rPr>
      <w:t>公</w:t>
    </w:r>
    <w:r>
      <w:rPr>
        <w:rFonts w:eastAsia="Times New Roman"/>
        <w:b/>
        <w:bCs/>
        <w:sz w:val="36"/>
        <w:lang w:eastAsia="zh-CN"/>
      </w:rPr>
      <w:t xml:space="preserve"> </w:t>
    </w:r>
    <w:r>
      <w:rPr>
        <w:rFonts w:eastAsia="宋体;SimSun"/>
        <w:b/>
        <w:bCs/>
        <w:sz w:val="36"/>
        <w:lang w:eastAsia="zh-CN"/>
      </w:rPr>
      <w:t>司</w:t>
    </w:r>
    <w:r>
      <w:rPr>
        <w:b/>
        <w:bCs/>
        <w:sz w:val="28"/>
        <w:u w:val="single"/>
      </w:rPr>
      <w:t>CONFIDENTIAL</w:t>
    </w:r>
  </w:p>
  <w:p>
    <w:pPr>
      <w:pStyle w:val="Header"/>
      <w:rPr>
        <w:b/>
        <w:b/>
        <w:bCs/>
        <w:sz w:val="28"/>
        <w:u w:val="single"/>
      </w:rPr>
    </w:pPr>
    <w:r>
      <w:rPr>
        <w:b/>
        <w:bCs/>
        <w:sz w:val="28"/>
        <w:u w:val="single"/>
      </w:rPr>
    </w:r>
  </w:p>
</w:hdr>
</file>

<file path=word/settings.xml><?xml version="1.0" encoding="utf-8"?>
<w:settings xmlns:w="http://schemas.openxmlformats.org/wordprocessingml/2006/main">
  <w:zoom w:percent="110"/>
  <w:defaultTabStop w:val="480"/>
  <w:compat>
    <w:doNotExpandShiftReturn/>
  </w:compat>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PMingLiU;新細明體" w:cs="Times New Roman"/>
      <w:color w:val="auto"/>
      <w:kern w:val="2"/>
      <w:sz w:val="24"/>
      <w:szCs w:val="24"/>
      <w:lang w:val="en-US" w:eastAsia="zh-TW" w:bidi="ar-SA"/>
    </w:rPr>
  </w:style>
  <w:style w:type="character" w:styleId="WW8Num1z0">
    <w:name w:val="WW8Num1z0"/>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lang w:eastAsia="zh-T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Style15">
    <w:name w:val="批注框文本"/>
    <w:basedOn w:val="Normal"/>
    <w:qFormat/>
    <w:pPr/>
    <w:rPr>
      <w:sz w:val="18"/>
      <w:szCs w:val="18"/>
    </w:rPr>
  </w:style>
  <w:style w:type="paragraph" w:styleId="Style16">
    <w:name w:val="纯文本"/>
    <w:basedOn w:val="Normal"/>
    <w:qFormat/>
    <w:pPr>
      <w:jc w:val="both"/>
    </w:pPr>
    <w:rPr>
      <w:rFonts w:ascii="宋体;SimSun" w:hAnsi="宋体;SimSun" w:eastAsia="宋体;SimSun" w:cs="Courier New"/>
      <w:sz w:val="21"/>
      <w:szCs w:val="21"/>
      <w:lang w:eastAsia="zh-CN"/>
    </w:rPr>
  </w:style>
  <w:style w:type="paragraph" w:styleId="Style17">
    <w:name w:val="列出段落"/>
    <w:basedOn w:val="Normal"/>
    <w:qFormat/>
    <w:pPr>
      <w:ind w:firstLine="42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fontTable" Target="fontTable.xml" /><Relationship Id="rId5" Type="http://schemas.openxmlformats.org/officeDocument/2006/relationships/settings" Target="settings.xml" />
<Relationship Id="rId6" Type="http://schemas.openxmlformats.org/officeDocument/2006/relationships/image" Target="media/eye_fig_001.png" /><Relationship Id="rId7" Type="http://schemas.openxmlformats.org/officeDocument/2006/relationships/image" Target="media/eye_fig_002.png" /><Relationship Id="rId8" Type="http://schemas.openxmlformats.org/officeDocument/2006/relationships/image" Target="media/eye_fig_003.png"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2013-04-03T14:06:00Z</dcterms:created>
  <dc:creator>Jim</dc:creator>
  <dc:description/>
  <cp:keywords/>
  <dc:language>en-US</dc:language>
  <cp:lastModifiedBy>z</cp:lastModifiedBy>
  <cp:lastPrinted>2010-04-28T10:15:00Z</cp:lastPrinted>
  <dcterms:modified xsi:type="dcterms:W3CDTF">2022-08-23T10:59:00Z</dcterms:modified>
  <cp:revision>5</cp:revision>
  <dc:subject/>
  <dc:title>patent disclosure 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