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DE861D">
      <w:pPr>
        <w:spacing w:before="0" w:after="180"/>
        <w:jc w:val="center"/>
        <w:rPr>
          <w:rFonts w:eastAsia="DFKai-SB"/>
          <w:b/>
          <w:bCs/>
          <w:color w:val="000000"/>
          <w:sz w:val="48"/>
        </w:rPr>
      </w:pPr>
      <w:r>
        <w:rPr>
          <w:rFonts w:eastAsia="DFKai-SB"/>
          <w:b/>
          <w:bCs/>
          <w:color w:val="000000"/>
          <w:spacing w:val="140"/>
          <w:sz w:val="48"/>
          <w:lang w:eastAsia="zh-CN"/>
        </w:rPr>
        <w:t>专利技术交底</w:t>
      </w:r>
      <w:r>
        <w:rPr>
          <w:rFonts w:eastAsia="DFKai-SB"/>
          <w:b/>
          <w:bCs/>
          <w:color w:val="000000"/>
          <w:sz w:val="48"/>
          <w:lang w:eastAsia="zh-CN"/>
        </w:rPr>
        <w:t>书</w:t>
      </w:r>
    </w:p>
    <w:tbl>
      <w:tblPr>
        <w:tblStyle w:val="8"/>
        <w:tblW w:w="9147" w:type="dxa"/>
        <w:tblInd w:w="-5" w:type="dxa"/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2296"/>
        <w:gridCol w:w="284"/>
        <w:gridCol w:w="6567"/>
      </w:tblGrid>
      <w:tr w14:paraId="42CE2FA8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90" w:hRule="atLeast"/>
        </w:trPr>
        <w:tc>
          <w:tcPr>
            <w:tcW w:w="2580" w:type="dxa"/>
            <w:gridSpan w:val="2"/>
            <w:tcBorders>
              <w:top w:val="double" w:color="000000" w:sz="4" w:space="0"/>
              <w:left w:val="double" w:color="000000" w:sz="4" w:space="0"/>
              <w:bottom w:val="double" w:color="000000" w:sz="4" w:space="0"/>
            </w:tcBorders>
            <w:vAlign w:val="center"/>
          </w:tcPr>
          <w:p w14:paraId="2A13F948">
            <w:pPr>
              <w:ind w:firstLine="108"/>
              <w:jc w:val="both"/>
              <w:rPr>
                <w:rFonts w:ascii="楷体_GB2312;楷体" w:hAnsi="楷体_GB2312;楷体" w:eastAsia="楷体_GB2312;楷体"/>
                <w:b/>
                <w:bCs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b/>
                <w:bCs/>
                <w:sz w:val="22"/>
                <w:lang w:eastAsia="zh-CN"/>
              </w:rPr>
              <w:t>一、专利申请名称</w:t>
            </w:r>
          </w:p>
        </w:tc>
        <w:tc>
          <w:tcPr>
            <w:tcW w:w="6567" w:type="dxa"/>
            <w:tcBorders>
              <w:top w:val="double" w:color="000000" w:sz="4" w:space="0"/>
              <w:left w:val="single" w:color="000000" w:sz="4" w:space="0"/>
              <w:bottom w:val="double" w:color="000000" w:sz="4" w:space="0"/>
              <w:right w:val="double" w:color="000000" w:sz="4" w:space="0"/>
            </w:tcBorders>
            <w:vAlign w:val="center"/>
          </w:tcPr>
          <w:p w14:paraId="3A9DB227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一种宠物机器人多传感器产测标定与诊断命令闭环方法及系统</w:t>
            </w:r>
          </w:p>
        </w:tc>
      </w:tr>
      <w:tr w14:paraId="284342DC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90" w:hRule="atLeast"/>
        </w:trPr>
        <w:tc>
          <w:tcPr>
            <w:tcW w:w="9147" w:type="dxa"/>
            <w:gridSpan w:val="3"/>
            <w:tcBorders>
              <w:top w:val="double" w:color="000000" w:sz="4" w:space="0"/>
              <w:left w:val="double" w:color="000000" w:sz="4" w:space="0"/>
              <w:bottom w:val="single" w:color="000000" w:sz="4" w:space="0"/>
              <w:right w:val="double" w:color="000000" w:sz="4" w:space="0"/>
            </w:tcBorders>
            <w:vAlign w:val="center"/>
          </w:tcPr>
          <w:p w14:paraId="68F4430E">
            <w:pPr>
              <w:ind w:firstLine="108"/>
              <w:jc w:val="both"/>
              <w:rPr>
                <w:rFonts w:ascii="楷体_GB2312;楷体" w:hAnsi="楷体_GB2312;楷体" w:eastAsia="楷体_GB2312;楷体"/>
                <w:b/>
                <w:bCs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b/>
                <w:bCs/>
                <w:sz w:val="22"/>
                <w:lang w:eastAsia="zh-CN"/>
              </w:rPr>
              <w:t>二、专利申请的相关著录项目信息</w:t>
            </w:r>
          </w:p>
        </w:tc>
      </w:tr>
      <w:tr w14:paraId="4803C1A4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64" w:hRule="atLeast"/>
        </w:trPr>
        <w:tc>
          <w:tcPr>
            <w:tcW w:w="2296" w:type="dxa"/>
            <w:tcBorders>
              <w:top w:val="single" w:color="000000" w:sz="4" w:space="0"/>
              <w:left w:val="double" w:color="000000" w:sz="4" w:space="0"/>
              <w:bottom w:val="single" w:color="000000" w:sz="4" w:space="0"/>
            </w:tcBorders>
            <w:vAlign w:val="center"/>
          </w:tcPr>
          <w:p w14:paraId="29AFFD22">
            <w:pPr>
              <w:ind w:firstLine="216"/>
              <w:jc w:val="both"/>
              <w:rPr>
                <w:rFonts w:ascii="楷体_GB2312;楷体" w:hAnsi="楷体_GB2312;楷体" w:eastAsia="楷体_GB2312;楷体"/>
                <w:b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b/>
                <w:sz w:val="22"/>
                <w:lang w:eastAsia="zh-CN"/>
              </w:rPr>
              <w:t>申请人</w:t>
            </w:r>
          </w:p>
        </w:tc>
        <w:tc>
          <w:tcPr>
            <w:tcW w:w="68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vAlign w:val="center"/>
          </w:tcPr>
          <w:p w14:paraId="34F4DA7E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姓名或名称：待申请人确认</w:t>
            </w:r>
          </w:p>
        </w:tc>
      </w:tr>
      <w:tr w14:paraId="760B1337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2296" w:type="dxa"/>
            <w:tcBorders>
              <w:top w:val="single" w:color="000000" w:sz="4" w:space="0"/>
              <w:left w:val="double" w:color="000000" w:sz="4" w:space="0"/>
              <w:bottom w:val="single" w:color="000000" w:sz="4" w:space="0"/>
            </w:tcBorders>
            <w:vAlign w:val="center"/>
          </w:tcPr>
          <w:p w14:paraId="3A962DC6">
            <w:pPr>
              <w:ind w:firstLine="216"/>
              <w:jc w:val="both"/>
              <w:rPr>
                <w:rFonts w:ascii="楷体_GB2312;楷体" w:hAnsi="楷体_GB2312;楷体" w:eastAsia="楷体_GB2312;楷体"/>
                <w:b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b/>
                <w:sz w:val="22"/>
                <w:lang w:eastAsia="zh-CN"/>
              </w:rPr>
              <w:t>技术联系人</w:t>
            </w:r>
          </w:p>
        </w:tc>
        <w:tc>
          <w:tcPr>
            <w:tcW w:w="68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vAlign w:val="center"/>
          </w:tcPr>
          <w:p w14:paraId="4811885B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姓名：雷文军</w:t>
            </w:r>
          </w:p>
          <w:p w14:paraId="4CF3F5D6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电话：15814082410</w:t>
            </w:r>
          </w:p>
          <w:p w14:paraId="1EA29CF5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邮箱：wenjun.lei@videostrong.com</w:t>
            </w:r>
          </w:p>
        </w:tc>
      </w:tr>
      <w:tr w14:paraId="1B66B32A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2296" w:type="dxa"/>
            <w:tcBorders>
              <w:top w:val="single" w:color="000000" w:sz="4" w:space="0"/>
              <w:left w:val="double" w:color="000000" w:sz="4" w:space="0"/>
              <w:bottom w:val="single" w:color="000000" w:sz="4" w:space="0"/>
            </w:tcBorders>
            <w:vAlign w:val="center"/>
          </w:tcPr>
          <w:p w14:paraId="46A70AC2">
            <w:pPr>
              <w:ind w:firstLine="216"/>
              <w:jc w:val="both"/>
              <w:rPr>
                <w:rFonts w:ascii="楷体_GB2312;楷体" w:hAnsi="楷体_GB2312;楷体" w:eastAsia="楷体_GB2312;楷体"/>
                <w:b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b/>
                <w:sz w:val="22"/>
                <w:lang w:eastAsia="zh-CN"/>
              </w:rPr>
              <w:t>第一发明人姓名</w:t>
            </w:r>
          </w:p>
        </w:tc>
        <w:tc>
          <w:tcPr>
            <w:tcW w:w="68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vAlign w:val="center"/>
          </w:tcPr>
          <w:p w14:paraId="2AF396E9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b/>
                <w:sz w:val="22"/>
                <w:lang w:eastAsia="zh-CN"/>
              </w:rPr>
              <w:t>第一发明人身份证号码</w:t>
            </w:r>
          </w:p>
        </w:tc>
      </w:tr>
      <w:tr w14:paraId="6782E7EA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2296" w:type="dxa"/>
            <w:tcBorders>
              <w:top w:val="single" w:color="000000" w:sz="4" w:space="0"/>
              <w:left w:val="double" w:color="000000" w:sz="4" w:space="0"/>
              <w:bottom w:val="single" w:color="000000" w:sz="4" w:space="0"/>
            </w:tcBorders>
            <w:vAlign w:val="center"/>
          </w:tcPr>
          <w:p w14:paraId="4440E096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1、雷文军</w:t>
            </w:r>
          </w:p>
        </w:tc>
        <w:tc>
          <w:tcPr>
            <w:tcW w:w="68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vAlign w:val="center"/>
          </w:tcPr>
          <w:p w14:paraId="41554809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身份证号码：429004199209112373</w:t>
            </w:r>
          </w:p>
        </w:tc>
      </w:tr>
      <w:tr w14:paraId="1A50070F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9147" w:type="dxa"/>
            <w:gridSpan w:val="3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double" w:color="000000" w:sz="4" w:space="0"/>
            </w:tcBorders>
            <w:vAlign w:val="center"/>
          </w:tcPr>
          <w:p w14:paraId="572853A3">
            <w:pPr>
              <w:ind w:firstLine="216"/>
              <w:jc w:val="both"/>
              <w:rPr>
                <w:rFonts w:ascii="楷体_GB2312;楷体" w:hAnsi="楷体_GB2312;楷体" w:eastAsia="楷体_GB2312;楷体"/>
                <w:b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b/>
                <w:sz w:val="22"/>
                <w:lang w:eastAsia="zh-CN"/>
              </w:rPr>
              <w:t>其他发明人姓名</w:t>
            </w:r>
          </w:p>
        </w:tc>
      </w:tr>
      <w:tr w14:paraId="37AA48A4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9147" w:type="dxa"/>
            <w:gridSpan w:val="3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double" w:color="000000" w:sz="4" w:space="0"/>
            </w:tcBorders>
            <w:vAlign w:val="center"/>
          </w:tcPr>
          <w:p w14:paraId="7761B1D1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1、如有其他发明人，请补充</w:t>
            </w:r>
          </w:p>
        </w:tc>
      </w:tr>
      <w:tr w14:paraId="2C923C2F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9147" w:type="dxa"/>
            <w:gridSpan w:val="3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double" w:color="000000" w:sz="4" w:space="0"/>
            </w:tcBorders>
            <w:vAlign w:val="center"/>
          </w:tcPr>
          <w:p w14:paraId="7A4FF6C9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2、</w:t>
            </w:r>
          </w:p>
        </w:tc>
      </w:tr>
      <w:tr w14:paraId="3FC0AB08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9147" w:type="dxa"/>
            <w:gridSpan w:val="3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double" w:color="000000" w:sz="4" w:space="0"/>
            </w:tcBorders>
            <w:vAlign w:val="center"/>
          </w:tcPr>
          <w:p w14:paraId="20FE7554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3、</w:t>
            </w:r>
          </w:p>
        </w:tc>
      </w:tr>
      <w:tr w14:paraId="17A45B30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9147" w:type="dxa"/>
            <w:gridSpan w:val="3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double" w:color="000000" w:sz="4" w:space="0"/>
            </w:tcBorders>
            <w:vAlign w:val="center"/>
          </w:tcPr>
          <w:p w14:paraId="090D6C3A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4、</w:t>
            </w:r>
          </w:p>
        </w:tc>
      </w:tr>
      <w:tr w14:paraId="66908F9E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9147" w:type="dxa"/>
            <w:gridSpan w:val="3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double" w:color="000000" w:sz="4" w:space="0"/>
            </w:tcBorders>
            <w:vAlign w:val="center"/>
          </w:tcPr>
          <w:p w14:paraId="2144C59C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5、</w:t>
            </w:r>
          </w:p>
        </w:tc>
      </w:tr>
      <w:tr w14:paraId="0C0F8F8B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40" w:hRule="atLeast"/>
        </w:trPr>
        <w:tc>
          <w:tcPr>
            <w:tcW w:w="9147" w:type="dxa"/>
            <w:gridSpan w:val="3"/>
            <w:tcBorders>
              <w:top w:val="double" w:color="000000" w:sz="4" w:space="0"/>
              <w:left w:val="double" w:color="000000" w:sz="4" w:space="0"/>
              <w:bottom w:val="single" w:color="000000" w:sz="4" w:space="0"/>
              <w:right w:val="double" w:color="000000" w:sz="4" w:space="0"/>
            </w:tcBorders>
            <w:vAlign w:val="center"/>
          </w:tcPr>
          <w:p w14:paraId="04299AC0">
            <w:pPr>
              <w:ind w:firstLine="108"/>
              <w:jc w:val="both"/>
              <w:rPr>
                <w:rFonts w:ascii="宋体;SimSun" w:hAnsi="宋体;SimSun" w:eastAsia="宋体;SimSun" w:cs="宋体;SimSun"/>
                <w:b/>
                <w:bCs/>
                <w:color w:val="000000"/>
                <w:sz w:val="22"/>
              </w:rPr>
            </w:pPr>
            <w:r>
              <w:rPr>
                <w:rFonts w:ascii="楷体_GB2312;楷体" w:hAnsi="楷体_GB2312;楷体" w:eastAsia="楷体_GB2312;楷体"/>
                <w:b/>
                <w:bCs/>
                <w:sz w:val="22"/>
                <w:lang w:eastAsia="zh-CN"/>
              </w:rPr>
              <w:t>三、发明背景及已知技术说明</w:t>
            </w:r>
          </w:p>
        </w:tc>
      </w:tr>
      <w:tr w14:paraId="5EECF477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731" w:hRule="atLeast"/>
        </w:trPr>
        <w:tc>
          <w:tcPr>
            <w:tcW w:w="9147" w:type="dxa"/>
            <w:gridSpan w:val="3"/>
            <w:tcBorders>
              <w:top w:val="sing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7224F949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本发明属于宠物机器人、嵌入式产测、传感器标定、诊断命令协议和工厂数据追溯技术领域。</w:t>
            </w:r>
          </w:p>
          <w:p w14:paraId="54A31758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已知技术一：CN105758426A 公开移动机器人多传感器联合标定，重点在摄像头与二维激光雷达之间的外参求解。该技术未覆盖量产产测模式隔离、统一诊断命令、PCBA 状态发布、工厂数据固化和失败处置闭环。</w:t>
            </w:r>
          </w:p>
          <w:p w14:paraId="0887A572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已知技术二：CN114440957A 公开多方向传感器融合标定设备，重点在治具结构和多个方向传感器对准。该技术未覆盖 TOF、Camera、IMU、音频、电机、电池等消费级宠物机器人 PCBA 产测项的统一命令路由和追溯模型。</w:t>
            </w:r>
          </w:p>
          <w:p w14:paraId="2FCDF929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已知技术三：一般在线或工位标定技术多面向工业机械臂或位置校正，缺少面向小型宠物机器人的产测/应用模式隔离、质量评分、失败自动重试和工厂固化数据模型。</w:t>
            </w:r>
          </w:p>
          <w:p w14:paraId="34C7AB3B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现有技术不足包括：单项测试脚本割裂、诊断入口不统一、标定质量不可追溯、正常应用业务干扰产测采样、工装依赖人工判读且不能根据失败类型自动重试、跳过、降级或判废。</w:t>
            </w:r>
          </w:p>
        </w:tc>
      </w:tr>
      <w:tr w14:paraId="6F0BD529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5" w:hRule="atLeast"/>
        </w:trPr>
        <w:tc>
          <w:tcPr>
            <w:tcW w:w="9147" w:type="dxa"/>
            <w:gridSpan w:val="3"/>
            <w:tcBorders>
              <w:top w:val="sing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4EAE9072">
            <w:pPr>
              <w:spacing w:line="500" w:lineRule="exact"/>
              <w:ind w:firstLine="110"/>
              <w:rPr>
                <w:rFonts w:ascii="楷体_GB2312;楷体" w:hAnsi="楷体_GB2312;楷体" w:eastAsia="楷体_GB2312;楷体" w:cs="宋体;SimSun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b/>
                <w:bCs/>
                <w:sz w:val="22"/>
                <w:lang w:eastAsia="zh-CN"/>
              </w:rPr>
              <w:t>四、专利申请内容（必须结合附图进行说明）</w:t>
            </w:r>
          </w:p>
        </w:tc>
      </w:tr>
      <w:tr w14:paraId="1762BB02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9147" w:type="dxa"/>
            <w:gridSpan w:val="3"/>
            <w:tcBorders>
              <w:top w:val="double" w:color="000000" w:sz="4" w:space="0"/>
              <w:left w:val="double" w:color="000000" w:sz="4" w:space="0"/>
              <w:bottom w:val="single" w:color="000000" w:sz="4" w:space="0"/>
              <w:right w:val="double" w:color="000000" w:sz="4" w:space="0"/>
            </w:tcBorders>
            <w:vAlign w:val="center"/>
          </w:tcPr>
          <w:p w14:paraId="16756F5F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1）拟申请产品所要解决的技术问题：在宠物机器人量产、返修和现场维护过程中，如何通过统一诊断命令协议和独立产测模式，对多种传感器和执行器进行自动检测、自动标定、质量评分、结果固化和追溯，并避免正常应用业务对产测准确性的干扰。</w:t>
            </w:r>
          </w:p>
          <w:p w14:paraId="63AA2A77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2）拟申请产品技术方案：系统包括上位机/CLI/自动脚本、统一命令服务、动态诊断路由、应用模式诊断节点、产测模式诊断节点、产测公共服务、硬件抽象层、标定编排模块、TOF 标定器、Camera 外参标定器、IMU 标定器、音频/电机/电池测试器、质量评分与判定模块、PCBA 状态发布模块、工厂数据固化模块和追溯记录模块。</w:t>
            </w:r>
          </w:p>
          <w:p w14:paraId="413F44F9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模式隔离：设备进入产测模式后启动独立产测运行体，禁用或隔离非必要 AI、导航、音视频、网络和运动控制业务，仅保留产测需要的硬件抽象和诊断框架。应用模式则启动正常业务运行体。</w:t>
            </w:r>
          </w:p>
          <w:p w14:paraId="30D3CF21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统一命令：命令服务负责协议接入、解析、限流、超时、幂等和路由，</w:t>
            </w:r>
            <w:r>
              <w:rPr>
                <w:rFonts w:ascii="楷体_GB2312;楷体" w:hAnsi="楷体_GB2312;楷体" w:eastAsia="楷体_GB2312;楷体"/>
                <w:color w:val="0000FF"/>
                <w:sz w:val="22"/>
                <w:lang w:eastAsia="zh-CN"/>
              </w:rPr>
              <w:t>不直接执行采样或标定</w:t>
            </w: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。产测 profile 下注册 PCBA 检测、模块检测、标定、老化和版本查询命令；不属于当前 profile 的命令返回 no_active_handler 或等价错误语义。</w:t>
            </w:r>
          </w:p>
          <w:p w14:paraId="0F51F9DD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标定编排：标定编排模块以统一 provider 接口或策略表调度 TOF、Camera、IMU 等流程。每个 provider 输出状态、质量分数、失败阶段、失败类型、原始采样摘要和可重试建议。质量判定可包括 TOF 有效点比例、目标距离偏差、距离方差、异常点比例，相机重投影误差、高度/俯仰角范围，以及 IMU 零偏、比例因子和安装角范围。</w:t>
            </w:r>
          </w:p>
          <w:p w14:paraId="56E5088D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结果闭环：通过项写入工厂数据区并发布 PCBA 状态；失败项根据失败类型和重试次数执行治具调整提示、自动重试、跳过下游、降级或判废；所有结果关联命令 ID、测试项 ID、设备 SN、批次、固件版本、质量分数、失败原因、重试次数、固化路径和原始数据摘要。</w:t>
            </w:r>
          </w:p>
          <w:p w14:paraId="5A8BF63A">
            <w:pPr>
              <w:jc w:val="both"/>
              <w:rPr>
                <w:rFonts w:ascii="楷体_GB2312;楷体" w:hAnsi="楷体_GB2312;楷体" w:eastAsia="楷体_GB2312;楷体"/>
                <w:b/>
                <w:bCs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b/>
                <w:bCs/>
                <w:sz w:val="22"/>
                <w:lang w:eastAsia="zh-CN"/>
              </w:rPr>
              <w:t>附图说明</w:t>
            </w:r>
            <w:r>
              <w:commentReference w:id="0"/>
            </w:r>
          </w:p>
          <w:p w14:paraId="3A57D173">
            <w:pPr>
              <w:jc w:val="both"/>
              <w:rPr>
                <w:rFonts w:ascii="楷体_GB2312;楷体" w:hAnsi="楷体_GB2312;楷体" w:eastAsia="楷体_GB2312;楷体"/>
                <w:b/>
                <w:bCs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b/>
                <w:bCs/>
                <w:sz w:val="22"/>
                <w:lang w:eastAsia="zh-CN"/>
              </w:rPr>
              <w:t>图1 系统框图：展示统一命令服务、动态诊断路由、产测节点、标定 provider、质量评分和工厂固化关系。</w:t>
            </w:r>
          </w:p>
          <w:p w14:paraId="646D4558">
            <w:pPr>
              <w:jc w:val="center"/>
            </w:pPr>
            <w:r>
              <w:drawing>
                <wp:inline distT="0" distB="0" distL="114300" distR="114300">
                  <wp:extent cx="5199380" cy="5257800"/>
                  <wp:effectExtent l="0" t="0" r="1270" b="0"/>
                  <wp:docPr id="101" name="multisensor_fig_0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multisensor_fig_001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000" cy="5257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14:paraId="215724D2">
            <w:pPr>
              <w:jc w:val="both"/>
              <w:rPr>
                <w:rFonts w:ascii="楷体_GB2312;楷体" w:hAnsi="楷体_GB2312;楷体" w:eastAsia="楷体_GB2312;楷体"/>
                <w:b/>
                <w:bCs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b/>
                <w:bCs/>
                <w:sz w:val="22"/>
                <w:lang w:eastAsia="zh-CN"/>
              </w:rPr>
              <w:t>图2 系统流程图：展示进入产测模式、命令路由、采样标定、质量判定、重试/判废和追溯输出流程。</w:t>
            </w:r>
          </w:p>
          <w:p w14:paraId="240D22DA">
            <w:pPr>
              <w:jc w:val="center"/>
            </w:pPr>
            <w:r>
              <w:drawing>
                <wp:inline distT="0" distB="0" distL="114300" distR="114300">
                  <wp:extent cx="5199380" cy="9630410"/>
                  <wp:effectExtent l="0" t="0" r="1270" b="8890"/>
                  <wp:docPr id="102" name="multisensor_fig_00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multisensor_fig_002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000" cy="9630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4F332A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3）有益效果及发明点：</w:t>
            </w:r>
          </w:p>
          <w:p w14:paraId="1A85CAC0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（1）产测模式与应用模式隔离，减少业务线程对传感器采样和标定结果的干扰。</w:t>
            </w:r>
          </w:p>
          <w:p w14:paraId="511FF63F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（2）产测、研发调试、售后维护复用统一诊断命令入口，降低工装和现场维护成本。</w:t>
            </w:r>
          </w:p>
          <w:p w14:paraId="4E750037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（3）统一 provider 接口便于扩展新的传感器、执行器和标定项。</w:t>
            </w:r>
          </w:p>
          <w:p w14:paraId="6E68AAA5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（4）质量分数、失败原因、PCBA 状态和工厂固化结果</w:t>
            </w:r>
            <w:commentRangeStart w:id="1"/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绑定到同一追溯模型</w:t>
            </w:r>
            <w:commentRangeEnd w:id="1"/>
            <w:r>
              <w:commentReference w:id="1"/>
            </w: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，提高量产可审计性。</w:t>
            </w:r>
          </w:p>
          <w:p w14:paraId="0139ADE2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（5）</w:t>
            </w:r>
            <w:commentRangeStart w:id="2"/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根据失败类型和重试次数自动执行重试、跳过、降级、判废或治具提示，提高自动化程度</w:t>
            </w:r>
            <w:commentRangeEnd w:id="2"/>
            <w:r>
              <w:commentReference w:id="2"/>
            </w: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。</w:t>
            </w:r>
          </w:p>
          <w:p w14:paraId="3A86176B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核心保护点包括：产测/应用模式隔离但共享硬件抽象和诊断协议的架构；动态诊断命令路由和 profile 隔离机制；多传感器标定编排方法；统一质量评分方法；PCBA 状态、工厂数据和追溯记录关联方法；失败自动处置方法。</w:t>
            </w:r>
          </w:p>
        </w:tc>
      </w:tr>
      <w:tr w14:paraId="5458B329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28" w:hRule="atLeast"/>
        </w:trPr>
        <w:tc>
          <w:tcPr>
            <w:tcW w:w="9147" w:type="dxa"/>
            <w:gridSpan w:val="3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double" w:color="000000" w:sz="4" w:space="0"/>
            </w:tcBorders>
          </w:tcPr>
          <w:p w14:paraId="1FFBA522">
            <w:pPr>
              <w:ind w:firstLine="108"/>
              <w:jc w:val="both"/>
              <w:rPr>
                <w:rFonts w:ascii="宋体;SimSun" w:hAnsi="宋体;SimSun" w:eastAsia="宋体;SimSun" w:cs="宋体;SimSun"/>
                <w:b/>
                <w:bCs/>
                <w:color w:val="000000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b/>
                <w:bCs/>
                <w:sz w:val="22"/>
                <w:lang w:eastAsia="zh-CN"/>
              </w:rPr>
              <w:t>五、检测和实验验证</w:t>
            </w:r>
          </w:p>
        </w:tc>
      </w:tr>
      <w:tr w14:paraId="07821411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544" w:hRule="atLeast"/>
        </w:trPr>
        <w:tc>
          <w:tcPr>
            <w:tcW w:w="9147" w:type="dxa"/>
            <w:gridSpan w:val="3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double" w:color="000000" w:sz="4" w:space="0"/>
            </w:tcBorders>
          </w:tcPr>
          <w:p w14:paraId="7B8CE419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目前材料未提供真实产线测试报告，不应虚构通过率或节拍数据。建议补充以下验证：</w:t>
            </w:r>
          </w:p>
          <w:p w14:paraId="2BD315FD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1、命令协议验证：记录 factory.calib.tof.start、factory.calib.camera.poll、factory.pcba.status.get、factory.result.persist 等命令的请求、响应、超时和错误语义。</w:t>
            </w:r>
          </w:p>
          <w:p w14:paraId="289755E7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2、产测隔离验证：记录产测模式下非必要业务任务禁用状态、硬件占用状态和采样稳定性。</w:t>
            </w:r>
          </w:p>
          <w:p w14:paraId="7274EF77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3、标定质量验证：保存 TOF 质量分数、相机重投影误差、IMU 零偏/比例/安装角等指标及阈值判定。</w:t>
            </w:r>
          </w:p>
          <w:p w14:paraId="60BE2379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4、失败处置验证：构造治具偏移、传感器缺失、数据异常等负样例，验证自动重试、跳过下游、判废和追溯记录。</w:t>
            </w:r>
          </w:p>
        </w:tc>
      </w:tr>
      <w:tr w14:paraId="6D24BBDD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65" w:hRule="atLeast"/>
        </w:trPr>
        <w:tc>
          <w:tcPr>
            <w:tcW w:w="9147" w:type="dxa"/>
            <w:gridSpan w:val="3"/>
            <w:tcBorders>
              <w:top w:val="double" w:color="000000" w:sz="4" w:space="0"/>
              <w:left w:val="double" w:color="000000" w:sz="4" w:space="0"/>
              <w:bottom w:val="single" w:color="000000" w:sz="4" w:space="0"/>
              <w:right w:val="double" w:color="000000" w:sz="4" w:space="0"/>
            </w:tcBorders>
          </w:tcPr>
          <w:p w14:paraId="0F24864D">
            <w:pPr>
              <w:ind w:firstLine="108"/>
              <w:jc w:val="both"/>
              <w:rPr>
                <w:rFonts w:ascii="宋体;SimSun" w:hAnsi="宋体;SimSun" w:eastAsia="宋体;SimSun" w:cs="宋体;SimSun"/>
                <w:b/>
                <w:bCs/>
                <w:color w:val="000000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b/>
                <w:bCs/>
                <w:sz w:val="22"/>
                <w:lang w:eastAsia="zh-CN"/>
              </w:rPr>
              <w:t>六、应用领域</w:t>
            </w:r>
          </w:p>
        </w:tc>
      </w:tr>
      <w:tr w14:paraId="0A3B0269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696" w:hRule="atLeast"/>
        </w:trPr>
        <w:tc>
          <w:tcPr>
            <w:tcW w:w="9147" w:type="dxa"/>
            <w:gridSpan w:val="3"/>
            <w:tcBorders>
              <w:top w:val="double" w:color="000000" w:sz="4" w:space="0"/>
              <w:left w:val="double" w:color="000000" w:sz="4" w:space="0"/>
              <w:bottom w:val="single" w:color="000000" w:sz="4" w:space="0"/>
              <w:right w:val="double" w:color="000000" w:sz="4" w:space="0"/>
            </w:tcBorders>
          </w:tcPr>
          <w:p w14:paraId="78827DEE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本发明可应用于宠物机器人、消费级移动机器人、陪伴机器人、带多传感器的智能终端 PCBA 产测、整机产测、返修检测、售后诊断和现场维护。</w:t>
            </w:r>
          </w:p>
          <w:p w14:paraId="72B4F0C0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应用方式包括：工厂自动化产测工位；研发 CLI 诊断；售后远程或本地检测；固件版本升级后的传感器复核；批次质量追溯与异常分析。</w:t>
            </w:r>
          </w:p>
        </w:tc>
      </w:tr>
      <w:tr w14:paraId="2F0378EC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67" w:hRule="atLeast"/>
        </w:trPr>
        <w:tc>
          <w:tcPr>
            <w:tcW w:w="9147" w:type="dxa"/>
            <w:gridSpan w:val="3"/>
            <w:tcBorders>
              <w:top w:val="double" w:color="000000" w:sz="4" w:space="0"/>
              <w:left w:val="double" w:color="000000" w:sz="4" w:space="0"/>
              <w:bottom w:val="single" w:color="000000" w:sz="4" w:space="0"/>
              <w:right w:val="double" w:color="000000" w:sz="4" w:space="0"/>
            </w:tcBorders>
          </w:tcPr>
          <w:p w14:paraId="3F41A2F8">
            <w:pPr>
              <w:ind w:firstLine="108"/>
              <w:jc w:val="both"/>
              <w:rPr>
                <w:rFonts w:ascii="宋体;SimSun" w:hAnsi="宋体;SimSun" w:eastAsia="宋体;SimSun" w:cs="宋体;SimSun"/>
                <w:b/>
                <w:bCs/>
                <w:color w:val="000000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b/>
                <w:bCs/>
                <w:sz w:val="22"/>
                <w:lang w:eastAsia="zh-CN"/>
              </w:rPr>
              <w:t>七、已公开的信息</w:t>
            </w:r>
          </w:p>
        </w:tc>
      </w:tr>
      <w:tr w14:paraId="2C131ED8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400" w:hRule="atLeast"/>
        </w:trPr>
        <w:tc>
          <w:tcPr>
            <w:tcW w:w="9147" w:type="dxa"/>
            <w:gridSpan w:val="3"/>
            <w:tcBorders>
              <w:top w:val="double" w:color="000000" w:sz="4" w:space="0"/>
              <w:left w:val="double" w:color="000000" w:sz="4" w:space="0"/>
              <w:bottom w:val="single" w:color="000000" w:sz="4" w:space="0"/>
              <w:right w:val="double" w:color="000000" w:sz="4" w:space="0"/>
            </w:tcBorders>
          </w:tcPr>
          <w:p w14:paraId="74F8462C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未提供本发明已经公开展示、发表或被泄露的信息。如存在产线 SOP、客户验收材料、演示视频或会议发表，应补充公开日期、对象和材料范围。</w:t>
            </w:r>
          </w:p>
        </w:tc>
      </w:tr>
      <w:tr w14:paraId="09947EDB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41" w:hRule="atLeast"/>
        </w:trPr>
        <w:tc>
          <w:tcPr>
            <w:tcW w:w="9147" w:type="dxa"/>
            <w:gridSpan w:val="3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double" w:color="000000" w:sz="4" w:space="0"/>
            </w:tcBorders>
          </w:tcPr>
          <w:p w14:paraId="0DC2D8EA">
            <w:pPr>
              <w:ind w:firstLine="108"/>
              <w:jc w:val="both"/>
              <w:rPr>
                <w:rFonts w:ascii="宋体;SimSun" w:hAnsi="宋体;SimSun" w:eastAsia="宋体;SimSun" w:cs="宋体;SimSun"/>
                <w:b/>
                <w:bCs/>
                <w:color w:val="000000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b/>
                <w:bCs/>
                <w:sz w:val="22"/>
                <w:lang w:eastAsia="zh-CN"/>
              </w:rPr>
              <w:t>八、引证资料或其他说明</w:t>
            </w:r>
          </w:p>
        </w:tc>
      </w:tr>
      <w:tr w14:paraId="6BBE5DEE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576" w:hRule="atLeast"/>
        </w:trPr>
        <w:tc>
          <w:tcPr>
            <w:tcW w:w="9147" w:type="dxa"/>
            <w:gridSpan w:val="3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double" w:color="000000" w:sz="4" w:space="0"/>
            </w:tcBorders>
          </w:tcPr>
          <w:p w14:paraId="7E5980CF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1、CN105758426A，Combined calibration method for multiple sensors of mobile robot。</w:t>
            </w:r>
          </w:p>
          <w:p w14:paraId="6C9DB786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2、CN114440957A，Sensor fusion calibration equipment and method thereof。</w:t>
            </w:r>
          </w:p>
          <w:p w14:paraId="12B455DD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3、WO2014060516A1，Method for in-line calibration of an industrial robot。</w:t>
            </w:r>
          </w:p>
          <w:p w14:paraId="14159D6E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4、本地交底材料：一种宠物机器人多传感器产测标定与诊断命令闭环方法及系统_20260530204854.md 及 figures_multisensor 图示。</w:t>
            </w:r>
          </w:p>
        </w:tc>
      </w:tr>
      <w:tr w14:paraId="2B54C7EA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68" w:hRule="atLeast"/>
        </w:trPr>
        <w:tc>
          <w:tcPr>
            <w:tcW w:w="9147" w:type="dxa"/>
            <w:gridSpan w:val="3"/>
            <w:tcBorders>
              <w:top w:val="double" w:color="000000" w:sz="4" w:space="0"/>
              <w:left w:val="double" w:color="000000" w:sz="4" w:space="0"/>
              <w:bottom w:val="single" w:color="000000" w:sz="4" w:space="0"/>
              <w:right w:val="double" w:color="000000" w:sz="4" w:space="0"/>
            </w:tcBorders>
          </w:tcPr>
          <w:p w14:paraId="637282F9">
            <w:pPr>
              <w:ind w:firstLine="108"/>
              <w:jc w:val="both"/>
              <w:rPr>
                <w:rFonts w:ascii="宋体;SimSun" w:hAnsi="宋体;SimSun" w:eastAsia="宋体;SimSun" w:cs="宋体;SimSun"/>
                <w:b/>
                <w:bCs/>
                <w:color w:val="000000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b/>
                <w:bCs/>
                <w:sz w:val="22"/>
                <w:lang w:eastAsia="zh-CN"/>
              </w:rPr>
              <w:t>九、取证方式</w:t>
            </w:r>
          </w:p>
        </w:tc>
      </w:tr>
      <w:tr w14:paraId="63BF0A3C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9147" w:type="dxa"/>
            <w:gridSpan w:val="3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046DE570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可通过以下方式取证：</w:t>
            </w:r>
          </w:p>
          <w:p w14:paraId="0F1424D5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1、设备或上位机保存统一诊断命令请求/响应、cmd_id、profile、timeout、provider、result_code 和时间戳。</w:t>
            </w:r>
          </w:p>
          <w:p w14:paraId="0DC67747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2、工厂数据区保存版本、长度、CRC、签名、标定参数和写入结果。</w:t>
            </w:r>
          </w:p>
          <w:p w14:paraId="23735EE8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3、PCBA 状态接口返回每个测试项的状态、质量分数、失败类型、重试次数和固件版本。</w:t>
            </w:r>
          </w:p>
          <w:p w14:paraId="32999184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4、产测日志保存进入/退出产测模式、业务隔离状态、采样摘要、失败处置动作和追溯记录。</w:t>
            </w:r>
          </w:p>
        </w:tc>
      </w:tr>
      <w:tr w14:paraId="6EB63022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9147" w:type="dxa"/>
            <w:gridSpan w:val="3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6DF1D7ED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（本栏由事务所人员填写）</w:t>
            </w:r>
          </w:p>
          <w:p w14:paraId="67048B3A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承办人员意见：</w:t>
            </w:r>
          </w:p>
          <w:p w14:paraId="34E7C076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</w:p>
          <w:p w14:paraId="5AA5DEC2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</w:p>
          <w:p w14:paraId="5D76CE34">
            <w:pPr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</w:p>
        </w:tc>
      </w:tr>
    </w:tbl>
    <w:p w14:paraId="1DD561F1">
      <w:pPr>
        <w:rPr>
          <w:color w:val="000000"/>
        </w:rPr>
      </w:pPr>
    </w:p>
    <w:sectPr>
      <w:headerReference r:id="rId5" w:type="default"/>
      <w:footerReference r:id="rId6" w:type="default"/>
      <w:pgSz w:w="11906" w:h="16838"/>
      <w:pgMar w:top="1134" w:right="1418" w:bottom="851" w:left="1418" w:header="567" w:footer="284" w:gutter="0"/>
      <w:pgNumType w:fmt="decimal"/>
      <w:cols w:space="720" w:num="1"/>
      <w:formProt w:val="0"/>
      <w:docGrid w:type="lines"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Song" w:date="2026-06-08T20:16:13Z" w:initials="">
    <w:p w14:paraId="6FE9F01C">
      <w:pPr>
        <w:pStyle w:val="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从处理器执行方法的角度，补充从头到尾要执行怎样的方法逻辑</w:t>
      </w:r>
    </w:p>
  </w:comment>
  <w:comment w:id="1" w:author="Song" w:date="2026-06-08T20:14:57Z" w:initials="">
    <w:p w14:paraId="6FCAD0A3">
      <w:pPr>
        <w:pStyle w:val="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如何实现，绑定到统一追溯模型体现在哪里</w:t>
      </w:r>
    </w:p>
  </w:comment>
  <w:comment w:id="2" w:author="Song" w:date="2026-06-08T20:14:14Z" w:initials="">
    <w:p w14:paraId="36C6C75D">
      <w:pPr>
        <w:pStyle w:val="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具体逻辑不清楚，请补充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FE9F01C" w15:done="0"/>
  <w15:commentEx w15:paraId="6FCAD0A3" w15:done="0"/>
  <w15:commentEx w15:paraId="36C6C75D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ohit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erif CJK SC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MingLiU;新細明體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;SimSun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DFKai-SB">
    <w:altName w:val="Microsoft JhengHei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;楷体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8D2A26">
    <w:pPr>
      <w:pStyle w:val="5"/>
    </w:pPr>
    <w:r>
      <w:rPr>
        <w:rFonts w:eastAsia="Times New Roman"/>
        <w:color w:val="7F7F7F"/>
        <w:sz w:val="16"/>
        <w:szCs w:val="16"/>
      </w:rPr>
      <w:t xml:space="preserve">                                    </w:t>
    </w:r>
    <w:r>
      <w:rPr>
        <w:rFonts w:eastAsia="Times New Roman"/>
        <w:color w:val="7F7F7F"/>
        <w:sz w:val="16"/>
        <w:szCs w:val="16"/>
        <w:lang w:eastAsia="zh-CN"/>
      </w:rPr>
      <w:t xml:space="preserve">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CFCA79">
    <w:pPr>
      <w:pStyle w:val="6"/>
      <w:jc w:val="center"/>
      <w:rPr>
        <w:b/>
        <w:bCs/>
        <w:sz w:val="28"/>
        <w:u w:val="single"/>
      </w:rPr>
    </w:pPr>
    <w:r>
      <w:rPr>
        <w:rFonts w:eastAsia="Times New Roman"/>
        <w:b/>
        <w:bCs/>
        <w:sz w:val="28"/>
        <w:lang w:eastAsia="zh-CN"/>
      </w:rPr>
      <w:t xml:space="preserve">    </w:t>
    </w:r>
    <w:r>
      <w:rPr>
        <w:rFonts w:eastAsia="宋体;SimSun"/>
        <w:b/>
        <w:bCs/>
        <w:sz w:val="36"/>
        <w:lang w:eastAsia="zh-CN"/>
      </w:rPr>
      <w:t>深</w:t>
    </w:r>
    <w:r>
      <w:rPr>
        <w:rFonts w:eastAsia="Times New Roman"/>
        <w:b/>
        <w:bCs/>
        <w:sz w:val="36"/>
        <w:lang w:eastAsia="zh-CN"/>
      </w:rPr>
      <w:t xml:space="preserve"> </w:t>
    </w:r>
    <w:r>
      <w:rPr>
        <w:rFonts w:eastAsia="宋体;SimSun"/>
        <w:b/>
        <w:bCs/>
        <w:sz w:val="36"/>
        <w:lang w:eastAsia="zh-CN"/>
      </w:rPr>
      <w:t>圳</w:t>
    </w:r>
    <w:r>
      <w:rPr>
        <w:rFonts w:eastAsia="Times New Roman"/>
        <w:b/>
        <w:bCs/>
        <w:sz w:val="36"/>
        <w:lang w:eastAsia="zh-CN"/>
      </w:rPr>
      <w:t xml:space="preserve"> </w:t>
    </w:r>
    <w:r>
      <w:rPr>
        <w:rFonts w:eastAsia="宋体;SimSun"/>
        <w:b/>
        <w:bCs/>
        <w:sz w:val="36"/>
        <w:lang w:eastAsia="zh-CN"/>
      </w:rPr>
      <w:t>中</w:t>
    </w:r>
    <w:r>
      <w:rPr>
        <w:rFonts w:eastAsia="Times New Roman"/>
        <w:b/>
        <w:bCs/>
        <w:sz w:val="36"/>
        <w:lang w:eastAsia="zh-CN"/>
      </w:rPr>
      <w:t xml:space="preserve"> </w:t>
    </w:r>
    <w:r>
      <w:rPr>
        <w:rFonts w:eastAsia="宋体;SimSun"/>
        <w:b/>
        <w:bCs/>
        <w:sz w:val="36"/>
        <w:lang w:eastAsia="zh-CN"/>
      </w:rPr>
      <w:t>一</w:t>
    </w:r>
    <w:r>
      <w:rPr>
        <w:rFonts w:eastAsia="Times New Roman"/>
        <w:b/>
        <w:bCs/>
        <w:sz w:val="36"/>
        <w:lang w:eastAsia="zh-CN"/>
      </w:rPr>
      <w:t xml:space="preserve"> </w:t>
    </w:r>
    <w:r>
      <w:rPr>
        <w:rFonts w:eastAsia="宋体;SimSun"/>
        <w:b/>
        <w:bCs/>
        <w:sz w:val="36"/>
        <w:lang w:eastAsia="zh-CN"/>
      </w:rPr>
      <w:t>联</w:t>
    </w:r>
    <w:r>
      <w:rPr>
        <w:rFonts w:eastAsia="Times New Roman"/>
        <w:b/>
        <w:bCs/>
        <w:sz w:val="36"/>
        <w:lang w:eastAsia="zh-CN"/>
      </w:rPr>
      <w:t xml:space="preserve"> </w:t>
    </w:r>
    <w:r>
      <w:rPr>
        <w:rFonts w:eastAsia="宋体;SimSun"/>
        <w:b/>
        <w:bCs/>
        <w:sz w:val="36"/>
        <w:lang w:eastAsia="zh-CN"/>
      </w:rPr>
      <w:t>合</w:t>
    </w:r>
    <w:r>
      <w:rPr>
        <w:rFonts w:eastAsia="Times New Roman"/>
        <w:b/>
        <w:bCs/>
        <w:sz w:val="36"/>
        <w:lang w:eastAsia="zh-CN"/>
      </w:rPr>
      <w:t xml:space="preserve"> </w:t>
    </w:r>
    <w:r>
      <w:rPr>
        <w:rFonts w:eastAsia="宋体;SimSun"/>
        <w:b/>
        <w:bCs/>
        <w:sz w:val="36"/>
        <w:lang w:eastAsia="zh-CN"/>
      </w:rPr>
      <w:t>知</w:t>
    </w:r>
    <w:r>
      <w:rPr>
        <w:rFonts w:eastAsia="Times New Roman"/>
        <w:b/>
        <w:bCs/>
        <w:sz w:val="36"/>
        <w:lang w:eastAsia="zh-CN"/>
      </w:rPr>
      <w:t xml:space="preserve"> </w:t>
    </w:r>
    <w:r>
      <w:rPr>
        <w:rFonts w:eastAsia="宋体;SimSun"/>
        <w:b/>
        <w:bCs/>
        <w:sz w:val="36"/>
        <w:lang w:eastAsia="zh-CN"/>
      </w:rPr>
      <w:t>识</w:t>
    </w:r>
    <w:r>
      <w:rPr>
        <w:rFonts w:eastAsia="Times New Roman"/>
        <w:b/>
        <w:bCs/>
        <w:sz w:val="36"/>
        <w:lang w:eastAsia="zh-CN"/>
      </w:rPr>
      <w:t xml:space="preserve"> </w:t>
    </w:r>
    <w:r>
      <w:rPr>
        <w:rFonts w:eastAsia="宋体;SimSun"/>
        <w:b/>
        <w:bCs/>
        <w:sz w:val="36"/>
        <w:lang w:eastAsia="zh-CN"/>
      </w:rPr>
      <w:t>产</w:t>
    </w:r>
    <w:r>
      <w:rPr>
        <w:rFonts w:eastAsia="Times New Roman"/>
        <w:b/>
        <w:bCs/>
        <w:sz w:val="36"/>
        <w:lang w:eastAsia="zh-CN"/>
      </w:rPr>
      <w:t xml:space="preserve"> </w:t>
    </w:r>
    <w:r>
      <w:rPr>
        <w:rFonts w:eastAsia="宋体;SimSun"/>
        <w:b/>
        <w:bCs/>
        <w:sz w:val="36"/>
        <w:lang w:eastAsia="zh-CN"/>
      </w:rPr>
      <w:t>权</w:t>
    </w:r>
    <w:r>
      <w:rPr>
        <w:rFonts w:eastAsia="Times New Roman"/>
        <w:b/>
        <w:bCs/>
        <w:sz w:val="36"/>
        <w:lang w:eastAsia="zh-CN"/>
      </w:rPr>
      <w:t xml:space="preserve"> </w:t>
    </w:r>
    <w:r>
      <w:rPr>
        <w:rFonts w:eastAsia="宋体;SimSun"/>
        <w:b/>
        <w:bCs/>
        <w:sz w:val="36"/>
        <w:lang w:eastAsia="zh-CN"/>
      </w:rPr>
      <w:t>代</w:t>
    </w:r>
    <w:r>
      <w:rPr>
        <w:rFonts w:eastAsia="Times New Roman"/>
        <w:b/>
        <w:bCs/>
        <w:sz w:val="36"/>
        <w:lang w:eastAsia="zh-CN"/>
      </w:rPr>
      <w:t xml:space="preserve"> </w:t>
    </w:r>
    <w:r>
      <w:rPr>
        <w:rFonts w:eastAsia="宋体;SimSun"/>
        <w:b/>
        <w:bCs/>
        <w:sz w:val="36"/>
        <w:lang w:eastAsia="zh-CN"/>
      </w:rPr>
      <w:t>理</w:t>
    </w:r>
    <w:r>
      <w:rPr>
        <w:rFonts w:eastAsia="Times New Roman"/>
        <w:b/>
        <w:bCs/>
        <w:sz w:val="36"/>
        <w:lang w:eastAsia="zh-CN"/>
      </w:rPr>
      <w:t xml:space="preserve"> </w:t>
    </w:r>
    <w:r>
      <w:rPr>
        <w:rFonts w:eastAsia="宋体;SimSun"/>
        <w:b/>
        <w:bCs/>
        <w:sz w:val="36"/>
        <w:lang w:eastAsia="zh-CN"/>
      </w:rPr>
      <w:t>有</w:t>
    </w:r>
    <w:r>
      <w:rPr>
        <w:rFonts w:eastAsia="Times New Roman"/>
        <w:b/>
        <w:bCs/>
        <w:sz w:val="36"/>
        <w:lang w:eastAsia="zh-CN"/>
      </w:rPr>
      <w:t xml:space="preserve"> </w:t>
    </w:r>
    <w:r>
      <w:rPr>
        <w:rFonts w:eastAsia="宋体;SimSun"/>
        <w:b/>
        <w:bCs/>
        <w:sz w:val="36"/>
        <w:lang w:eastAsia="zh-CN"/>
      </w:rPr>
      <w:t>限</w:t>
    </w:r>
    <w:r>
      <w:rPr>
        <w:rFonts w:eastAsia="Times New Roman"/>
        <w:b/>
        <w:bCs/>
        <w:sz w:val="36"/>
        <w:lang w:eastAsia="zh-CN"/>
      </w:rPr>
      <w:t xml:space="preserve"> </w:t>
    </w:r>
    <w:r>
      <w:rPr>
        <w:rFonts w:eastAsia="宋体;SimSun"/>
        <w:b/>
        <w:bCs/>
        <w:sz w:val="36"/>
        <w:lang w:eastAsia="zh-CN"/>
      </w:rPr>
      <w:t>公</w:t>
    </w:r>
    <w:r>
      <w:rPr>
        <w:rFonts w:eastAsia="Times New Roman"/>
        <w:b/>
        <w:bCs/>
        <w:sz w:val="36"/>
        <w:lang w:eastAsia="zh-CN"/>
      </w:rPr>
      <w:t xml:space="preserve"> </w:t>
    </w:r>
    <w:r>
      <w:rPr>
        <w:rFonts w:eastAsia="宋体;SimSun"/>
        <w:b/>
        <w:bCs/>
        <w:sz w:val="36"/>
        <w:lang w:eastAsia="zh-CN"/>
      </w:rPr>
      <w:t>司</w:t>
    </w:r>
    <w:r>
      <w:rPr>
        <w:b/>
        <w:bCs/>
        <w:sz w:val="28"/>
        <w:u w:val="single"/>
      </w:rPr>
      <w:t>CONFIDENTIAL</w:t>
    </w:r>
  </w:p>
  <w:p w14:paraId="6ECF3FB0">
    <w:pPr>
      <w:pStyle w:val="6"/>
      <w:rPr>
        <w:b/>
        <w:bCs/>
        <w:sz w:val="28"/>
        <w:u w:val="single"/>
      </w:rPr>
    </w:pPr>
  </w:p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Song">
    <w15:presenceInfo w15:providerId="WPS Office" w15:userId="389525648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480"/>
  <w:autoHyphenation/>
  <w:compat>
    <w:doNotExpandShiftReturn/>
    <w:useFELayout/>
    <w:compatSetting w:name="compatibilityMode" w:uri="http://schemas.microsoft.com/office/word" w:val="12"/>
  </w:compat>
  <w:rsids>
    <w:rsidRoot w:val="00000000"/>
    <w:rsid w:val="1A115C4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erif CJK SC" w:cs="Lohit Devanaga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</w:pPr>
    <w:rPr>
      <w:rFonts w:ascii="Times New Roman" w:hAnsi="Times New Roman" w:eastAsia="PMingLiU;新細明體" w:cs="Times New Roman"/>
      <w:color w:val="auto"/>
      <w:kern w:val="2"/>
      <w:sz w:val="24"/>
      <w:szCs w:val="24"/>
      <w:lang w:val="en-US" w:eastAsia="zh-TW" w:bidi="ar-SA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3">
    <w:name w:val="annotation text"/>
    <w:basedOn w:val="1"/>
    <w:uiPriority w:val="0"/>
    <w:pPr>
      <w:jc w:val="left"/>
    </w:pPr>
  </w:style>
  <w:style w:type="paragraph" w:styleId="4">
    <w:name w:val="Body Text"/>
    <w:basedOn w:val="1"/>
    <w:uiPriority w:val="0"/>
    <w:pPr>
      <w:spacing w:before="0" w:after="140" w:line="276" w:lineRule="auto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7">
    <w:name w:val="List"/>
    <w:basedOn w:val="4"/>
    <w:qFormat/>
    <w:uiPriority w:val="0"/>
    <w:rPr>
      <w:rFonts w:cs="Lohit Devanagari"/>
    </w:rPr>
  </w:style>
  <w:style w:type="character" w:styleId="10">
    <w:name w:val="page number"/>
    <w:basedOn w:val="11"/>
    <w:uiPriority w:val="0"/>
  </w:style>
  <w:style w:type="character" w:customStyle="1" w:styleId="11">
    <w:name w:val="默认段落字体1"/>
    <w:qFormat/>
    <w:uiPriority w:val="0"/>
  </w:style>
  <w:style w:type="character" w:customStyle="1" w:styleId="12">
    <w:name w:val="WW8Num1z0"/>
    <w:qFormat/>
    <w:uiPriority w:val="0"/>
  </w:style>
  <w:style w:type="character" w:customStyle="1" w:styleId="13">
    <w:name w:val="WW8Num1z2"/>
    <w:qFormat/>
    <w:uiPriority w:val="0"/>
  </w:style>
  <w:style w:type="character" w:customStyle="1" w:styleId="14">
    <w:name w:val="WW8Num1z3"/>
    <w:qFormat/>
    <w:uiPriority w:val="0"/>
  </w:style>
  <w:style w:type="character" w:customStyle="1" w:styleId="15">
    <w:name w:val="WW8Num1z4"/>
    <w:qFormat/>
    <w:uiPriority w:val="0"/>
  </w:style>
  <w:style w:type="character" w:customStyle="1" w:styleId="16">
    <w:name w:val="WW8Num1z5"/>
    <w:qFormat/>
    <w:uiPriority w:val="0"/>
  </w:style>
  <w:style w:type="character" w:customStyle="1" w:styleId="17">
    <w:name w:val="WW8Num1z6"/>
    <w:qFormat/>
    <w:uiPriority w:val="0"/>
  </w:style>
  <w:style w:type="character" w:customStyle="1" w:styleId="18">
    <w:name w:val="WW8Num1z7"/>
    <w:qFormat/>
    <w:uiPriority w:val="0"/>
  </w:style>
  <w:style w:type="character" w:customStyle="1" w:styleId="19">
    <w:name w:val="WW8Num1z8"/>
    <w:qFormat/>
    <w:uiPriority w:val="0"/>
  </w:style>
  <w:style w:type="character" w:customStyle="1" w:styleId="20">
    <w:name w:val="页眉 Char"/>
    <w:qFormat/>
    <w:uiPriority w:val="0"/>
    <w:rPr>
      <w:kern w:val="2"/>
      <w:lang w:eastAsia="zh-TW"/>
    </w:rPr>
  </w:style>
  <w:style w:type="paragraph" w:customStyle="1" w:styleId="21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22">
    <w:name w:val="Index"/>
    <w:basedOn w:val="1"/>
    <w:qFormat/>
    <w:uiPriority w:val="0"/>
    <w:pPr>
      <w:suppressLineNumbers/>
    </w:pPr>
    <w:rPr>
      <w:rFonts w:cs="Lohit Devanagari"/>
    </w:rPr>
  </w:style>
  <w:style w:type="paragraph" w:customStyle="1" w:styleId="23">
    <w:name w:val="Header and Footer"/>
    <w:basedOn w:val="1"/>
    <w:qFormat/>
    <w:uiPriority w:val="0"/>
    <w:pPr>
      <w:suppressLineNumbers/>
      <w:tabs>
        <w:tab w:val="center" w:pos="4819"/>
        <w:tab w:val="right" w:pos="9638"/>
      </w:tabs>
    </w:pPr>
  </w:style>
  <w:style w:type="paragraph" w:customStyle="1" w:styleId="24">
    <w:name w:val="批注框文本1"/>
    <w:basedOn w:val="1"/>
    <w:qFormat/>
    <w:uiPriority w:val="0"/>
    <w:rPr>
      <w:sz w:val="18"/>
      <w:szCs w:val="18"/>
    </w:rPr>
  </w:style>
  <w:style w:type="paragraph" w:customStyle="1" w:styleId="25">
    <w:name w:val="纯文本1"/>
    <w:basedOn w:val="1"/>
    <w:qFormat/>
    <w:uiPriority w:val="0"/>
    <w:pPr>
      <w:jc w:val="both"/>
    </w:pPr>
    <w:rPr>
      <w:rFonts w:ascii="宋体;SimSun" w:hAnsi="宋体;SimSun" w:eastAsia="宋体;SimSun" w:cs="Courier New"/>
      <w:sz w:val="21"/>
      <w:szCs w:val="21"/>
      <w:lang w:eastAsia="zh-CN"/>
    </w:rPr>
  </w:style>
  <w:style w:type="paragraph" w:customStyle="1" w:styleId="26">
    <w:name w:val="列出段落"/>
    <w:basedOn w:val="1"/>
    <w:qFormat/>
    <w:uiPriority w:val="0"/>
    <w:pPr>
      <w:ind w:firstLine="420"/>
    </w:pPr>
  </w:style>
  <w:style w:type="paragraph" w:customStyle="1" w:styleId="27">
    <w:name w:val="Table Contents"/>
    <w:basedOn w:val="1"/>
    <w:qFormat/>
    <w:uiPriority w:val="0"/>
    <w:pPr>
      <w:suppressLineNumbers/>
    </w:pPr>
  </w:style>
  <w:style w:type="paragraph" w:customStyle="1" w:styleId="28">
    <w:name w:val="Table Heading"/>
    <w:basedOn w:val="27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2295</Words>
  <Characters>2826</Characters>
  <TotalTime>136</TotalTime>
  <ScaleCrop>false</ScaleCrop>
  <LinksUpToDate>false</LinksUpToDate>
  <CharactersWithSpaces>2905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2026-06-08T09:48:00Z</dcterms:created>
  <dc:creator>SingASong</dc:creator>
  <cp:lastModifiedBy>Song</cp:lastModifiedBy>
  <dcterms:modified xsi:type="dcterms:W3CDTF">2026-06-08T12:17:06Z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eyJoZGlkIjoiZTNiMmJjMGUyMDNhMGI0MjllZTc4OTE3ODRjOTBjMWQiLCJ1c2VySWQiOiIzODA5OTI4ODEifQ==</vt:lpwstr>
  </property>
  <property fmtid="{D5CDD505-2E9C-101B-9397-08002B2CF9AE}" pid="4" name="ICV">
    <vt:lpwstr>2C2AA36D6A014F1D9720D9AA272C765C_12</vt:lpwstr>
  </property>
</Properties>
</file>