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169A1">
      <w:pPr>
        <w:widowControl/>
        <w:spacing w:after="0"/>
      </w:pPr>
    </w:p>
    <w:p w14:paraId="704C8608">
      <w:pPr>
        <w:widowControl/>
        <w:spacing w:after="0"/>
      </w:pPr>
    </w:p>
    <w:p w14:paraId="289C0669">
      <w:pPr>
        <w:widowControl/>
        <w:spacing w:after="0"/>
      </w:pPr>
    </w:p>
    <w:p w14:paraId="33A77D09">
      <w:pPr>
        <w:widowControl/>
        <w:spacing w:after="100"/>
      </w:pPr>
      <w:r>
        <w:rPr>
          <w:rFonts w:ascii="Arial" w:hAnsi="Arial" w:eastAsia="Arial" w:cs="Arial"/>
          <w:b/>
          <w:i w:val="0"/>
          <w:color w:val="12324B"/>
          <w:sz w:val="44"/>
          <w:lang w:val="en-GB" w:eastAsia="en-GB" w:bidi="en-GB"/>
        </w:rPr>
        <w:t>Task 5 — Data Collection</w:t>
      </w:r>
    </w:p>
    <w:p w14:paraId="189C2B02">
      <w:pPr>
        <w:widowControl/>
        <w:pBdr>
          <w:bottom w:val="single" w:color="EF4D52" w:sz="18" w:space="6"/>
        </w:pBdr>
        <w:spacing w:after="80"/>
      </w:pPr>
      <w:r>
        <w:rPr>
          <w:rFonts w:ascii="Arial" w:hAnsi="Arial" w:eastAsia="Arial" w:cs="Arial"/>
          <w:b/>
          <w:i w:val="0"/>
          <w:color w:val="EF4D52"/>
          <w:sz w:val="26"/>
          <w:lang w:val="en-GB" w:eastAsia="en-GB" w:bidi="en-GB"/>
        </w:rPr>
        <w:t>Historical Stock Price Data</w:t>
      </w:r>
    </w:p>
    <w:tbl>
      <w:tblPr>
        <w:tblStyle w:val="32"/>
        <w:tblW w:w="9791" w:type="dxa"/>
        <w:jc w:val="center"/>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Layout w:type="fixed"/>
        <w:tblCellMar>
          <w:top w:w="0" w:type="dxa"/>
          <w:left w:w="108" w:type="dxa"/>
          <w:bottom w:w="0" w:type="dxa"/>
          <w:right w:w="108" w:type="dxa"/>
        </w:tblCellMar>
        <w:tblInd w:type="dxa" w:w="120"/>
      </w:tblPr>
      <w:tblGrid>
        <w:gridCol w:w="2088"/>
        <w:gridCol w:w="7703"/>
      </w:tblGrid>
      <w:tr w14:paraId="4D28D7B8">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tblHeader/>
          <w:jc w:val="center"/>
        </w:trPr>
        <w:tc>
          <w:tcPr>
            <w:tcW w:w="2088" w:type="dxa"/>
            <w:shd w:val="clear" w:color="auto" w:fill="EAF2F8"/>
            <w:tcMar>
              <w:top w:w="75" w:type="dxa"/>
              <w:left w:w="100" w:type="dxa"/>
              <w:bottom w:w="75" w:type="dxa"/>
              <w:right w:w="100" w:type="dxa"/>
            </w:tcMar>
            <w:vAlign w:val="center"/>
          </w:tcPr>
          <w:p w14:paraId="5FBFE8D8">
            <w:pPr>
              <w:spacing w:after="0" w:line="240" w:lineRule="auto"/>
            </w:pPr>
            <w:r>
              <w:rPr>
                <w:rFonts w:ascii="Arial" w:hAnsi="Arial" w:eastAsia="Arial" w:cs="Arial"/>
                <w:b/>
                <w:i w:val="0"/>
                <w:color w:val="12324B"/>
                <w:sz w:val="18"/>
                <w:lang w:val="en-GB" w:eastAsia="en-GB" w:bidi="en-GB"/>
              </w:rPr>
              <w:t>Author</w:t>
            </w:r>
          </w:p>
        </w:tc>
        <w:tc>
          <w:tcPr>
            <w:tcW w:w="7703" w:type="dxa"/>
            <w:shd w:val="clear" w:color="auto" w:fill="F2F4F7"/>
            <w:tcMar>
              <w:top w:w="75" w:type="dxa"/>
              <w:left w:w="100" w:type="dxa"/>
              <w:bottom w:w="75" w:type="dxa"/>
              <w:right w:w="100" w:type="dxa"/>
            </w:tcMar>
            <w:vAlign w:val="center"/>
          </w:tcPr>
          <w:p w14:paraId="38AF49A2">
            <w:pPr>
              <w:spacing w:after="0" w:line="240" w:lineRule="auto"/>
            </w:pPr>
            <w:r>
              <w:rPr>
                <w:rFonts w:ascii="Times New Roman" w:hAnsi="Times New Roman" w:eastAsia="Times New Roman" w:cs="Times New Roman"/>
                <w:b w:val="0"/>
                <w:i w:val="0"/>
                <w:color w:val="20262B"/>
                <w:sz w:val="18"/>
                <w:lang w:val="en-GB" w:eastAsia="en-GB" w:bidi="en-GB"/>
              </w:rPr>
              <w:t>Yingtan Ji</w:t>
            </w:r>
          </w:p>
        </w:tc>
      </w:tr>
      <w:tr w14:paraId="34E53C30">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jc w:val="center"/>
        </w:trPr>
        <w:tc>
          <w:tcPr>
            <w:tcW w:w="2088" w:type="dxa"/>
            <w:shd w:val="clear" w:color="auto" w:fill="EAF2F8"/>
            <w:tcMar>
              <w:top w:w="75" w:type="dxa"/>
              <w:left w:w="100" w:type="dxa"/>
              <w:bottom w:w="75" w:type="dxa"/>
              <w:right w:w="100" w:type="dxa"/>
            </w:tcMar>
            <w:vAlign w:val="center"/>
          </w:tcPr>
          <w:p w14:paraId="41B41644">
            <w:pPr>
              <w:spacing w:after="0" w:line="240" w:lineRule="auto"/>
            </w:pPr>
            <w:r>
              <w:rPr>
                <w:rFonts w:ascii="Arial" w:hAnsi="Arial" w:eastAsia="Arial" w:cs="Arial"/>
                <w:b/>
                <w:i w:val="0"/>
                <w:color w:val="12324B"/>
                <w:sz w:val="18"/>
                <w:lang w:val="en-GB" w:eastAsia="en-GB" w:bidi="en-GB"/>
              </w:rPr>
              <w:t>Submission date</w:t>
            </w:r>
          </w:p>
        </w:tc>
        <w:tc>
          <w:tcPr>
            <w:tcW w:w="7703" w:type="dxa"/>
            <w:shd w:val="clear" w:color="auto" w:fill="F2F4F7"/>
            <w:tcMar>
              <w:top w:w="75" w:type="dxa"/>
              <w:left w:w="100" w:type="dxa"/>
              <w:bottom w:w="75" w:type="dxa"/>
              <w:right w:w="100" w:type="dxa"/>
            </w:tcMar>
            <w:vAlign w:val="center"/>
          </w:tcPr>
          <w:p w14:paraId="6894F2E9">
            <w:pPr>
              <w:spacing w:after="0" w:line="240" w:lineRule="auto"/>
            </w:pPr>
            <w:r>
              <w:rPr>
                <w:rFonts w:ascii="Times New Roman" w:hAnsi="Times New Roman" w:eastAsia="Times New Roman" w:cs="Times New Roman"/>
                <w:b w:val="0"/>
                <w:i w:val="0"/>
                <w:color w:val="20262B"/>
                <w:sz w:val="18"/>
                <w:lang w:val="en-GB" w:eastAsia="en-GB" w:bidi="en-GB"/>
              </w:rPr>
              <w:t>4 August 2026 (revised)</w:t>
            </w:r>
          </w:p>
        </w:tc>
      </w:tr>
      <w:tr w14:paraId="1E559839">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jc w:val="center"/>
        </w:trPr>
        <w:tc>
          <w:tcPr>
            <w:tcW w:w="2088" w:type="dxa"/>
            <w:shd w:val="clear" w:color="auto" w:fill="EAF2F8"/>
            <w:tcMar>
              <w:top w:w="75" w:type="dxa"/>
              <w:left w:w="100" w:type="dxa"/>
              <w:bottom w:w="75" w:type="dxa"/>
              <w:right w:w="100" w:type="dxa"/>
            </w:tcMar>
            <w:vAlign w:val="center"/>
          </w:tcPr>
          <w:p w14:paraId="2C8982CC">
            <w:pPr>
              <w:spacing w:after="0" w:line="240" w:lineRule="auto"/>
            </w:pPr>
            <w:r>
              <w:rPr>
                <w:rFonts w:ascii="Arial" w:hAnsi="Arial" w:eastAsia="Arial" w:cs="Arial"/>
                <w:b/>
                <w:i w:val="0"/>
                <w:color w:val="12324B"/>
                <w:sz w:val="18"/>
                <w:lang w:val="en-GB" w:eastAsia="en-GB" w:bidi="en-GB"/>
              </w:rPr>
              <w:t>Data source</w:t>
            </w:r>
          </w:p>
        </w:tc>
        <w:tc>
          <w:tcPr>
            <w:tcW w:w="7703" w:type="dxa"/>
            <w:shd w:val="clear" w:color="auto" w:fill="F2F4F7"/>
            <w:tcMar>
              <w:top w:w="75" w:type="dxa"/>
              <w:left w:w="100" w:type="dxa"/>
              <w:bottom w:w="75" w:type="dxa"/>
              <w:right w:w="100" w:type="dxa"/>
            </w:tcMar>
            <w:vAlign w:val="center"/>
          </w:tcPr>
          <w:p w14:paraId="3F41AE33">
            <w:pPr>
              <w:spacing w:after="0" w:line="240" w:lineRule="auto"/>
            </w:pPr>
            <w:r>
              <w:rPr>
                <w:rFonts w:ascii="Times New Roman" w:hAnsi="Times New Roman" w:eastAsia="Times New Roman" w:cs="Times New Roman"/>
                <w:b w:val="0"/>
                <w:i w:val="0"/>
                <w:color w:val="20262B"/>
                <w:sz w:val="18"/>
                <w:lang w:val="en-GB" w:eastAsia="en-GB" w:bidi="en-GB"/>
              </w:rPr>
              <w:t>Yahoo Finance via yfinance 1.5.2</w:t>
            </w:r>
          </w:p>
        </w:tc>
      </w:tr>
      <w:tr w14:paraId="323E6B9E">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jc w:val="center"/>
        </w:trPr>
        <w:tc>
          <w:tcPr>
            <w:tcW w:w="2088" w:type="dxa"/>
            <w:shd w:val="clear" w:color="auto" w:fill="EAF2F8"/>
            <w:tcMar>
              <w:top w:w="75" w:type="dxa"/>
              <w:left w:w="100" w:type="dxa"/>
              <w:bottom w:w="75" w:type="dxa"/>
              <w:right w:w="100" w:type="dxa"/>
            </w:tcMar>
            <w:vAlign w:val="center"/>
          </w:tcPr>
          <w:p w14:paraId="5341310C">
            <w:pPr>
              <w:spacing w:after="0" w:line="240" w:lineRule="auto"/>
            </w:pPr>
            <w:r>
              <w:rPr>
                <w:rFonts w:ascii="Arial" w:hAnsi="Arial" w:eastAsia="Arial" w:cs="Arial"/>
                <w:b/>
                <w:i w:val="0"/>
                <w:color w:val="12324B"/>
                <w:sz w:val="18"/>
                <w:lang w:val="en-GB" w:eastAsia="en-GB" w:bidi="en-GB"/>
              </w:rPr>
              <w:t>Study period</w:t>
            </w:r>
          </w:p>
        </w:tc>
        <w:tc>
          <w:tcPr>
            <w:tcW w:w="7703" w:type="dxa"/>
            <w:shd w:val="clear" w:color="auto" w:fill="F2F4F7"/>
            <w:tcMar>
              <w:top w:w="75" w:type="dxa"/>
              <w:left w:w="100" w:type="dxa"/>
              <w:bottom w:w="75" w:type="dxa"/>
              <w:right w:w="100" w:type="dxa"/>
            </w:tcMar>
            <w:vAlign w:val="center"/>
          </w:tcPr>
          <w:p w14:paraId="1DF32658">
            <w:pPr>
              <w:spacing w:after="0" w:line="240" w:lineRule="auto"/>
            </w:pPr>
            <w:r>
              <w:rPr>
                <w:rFonts w:ascii="Times New Roman" w:hAnsi="Times New Roman" w:eastAsia="Times New Roman" w:cs="Times New Roman"/>
                <w:b w:val="0"/>
                <w:i w:val="0"/>
                <w:color w:val="20262B"/>
                <w:sz w:val="18"/>
                <w:lang w:val="en-GB" w:eastAsia="en-GB" w:bidi="en-GB"/>
              </w:rPr>
              <w:t>1 January 2021–31 December 2025 (inclusive)</w:t>
            </w:r>
          </w:p>
        </w:tc>
      </w:tr>
      <w:tr w14:paraId="2E153B80">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jc w:val="center"/>
        </w:trPr>
        <w:tc>
          <w:tcPr>
            <w:tcW w:w="2088" w:type="dxa"/>
            <w:shd w:val="clear" w:color="auto" w:fill="EAF2F8"/>
            <w:tcMar>
              <w:top w:w="75" w:type="dxa"/>
              <w:left w:w="100" w:type="dxa"/>
              <w:bottom w:w="75" w:type="dxa"/>
              <w:right w:w="100" w:type="dxa"/>
            </w:tcMar>
            <w:vAlign w:val="center"/>
          </w:tcPr>
          <w:p w14:paraId="47BCF214">
            <w:pPr>
              <w:spacing w:after="0" w:line="240" w:lineRule="auto"/>
            </w:pPr>
            <w:r>
              <w:rPr>
                <w:rFonts w:ascii="Arial" w:hAnsi="Arial" w:eastAsia="Arial" w:cs="Arial"/>
                <w:b/>
                <w:i w:val="0"/>
                <w:color w:val="12324B"/>
                <w:sz w:val="18"/>
                <w:lang w:val="en-GB" w:eastAsia="en-GB" w:bidi="en-GB"/>
              </w:rPr>
              <w:t>Securities</w:t>
            </w:r>
          </w:p>
        </w:tc>
        <w:tc>
          <w:tcPr>
            <w:tcW w:w="7703" w:type="dxa"/>
            <w:shd w:val="clear" w:color="auto" w:fill="F2F4F7"/>
            <w:tcMar>
              <w:top w:w="75" w:type="dxa"/>
              <w:left w:w="100" w:type="dxa"/>
              <w:bottom w:w="75" w:type="dxa"/>
              <w:right w:w="100" w:type="dxa"/>
            </w:tcMar>
            <w:vAlign w:val="center"/>
          </w:tcPr>
          <w:p w14:paraId="0659F09B">
            <w:pPr>
              <w:spacing w:after="0" w:line="240" w:lineRule="auto"/>
            </w:pPr>
            <w:r>
              <w:rPr>
                <w:rFonts w:ascii="Times New Roman" w:hAnsi="Times New Roman" w:eastAsia="Times New Roman" w:cs="Times New Roman"/>
                <w:b w:val="0"/>
                <w:i w:val="0"/>
                <w:color w:val="20262B"/>
                <w:sz w:val="18"/>
                <w:lang w:val="en-GB" w:eastAsia="en-GB" w:bidi="en-GB"/>
              </w:rPr>
              <w:t>AAPL, MSFT, GOOGL, AMZN, and NVDA</w:t>
            </w:r>
          </w:p>
        </w:tc>
      </w:tr>
      <w:tr w14:paraId="3E11EC10">
        <w:tblPrEx>
          <w:tblBorders>
            <w:top w:val="single" w:color="E3E7EA" w:sz="2" w:space="0"/>
            <w:left w:val="single" w:color="E3E7EA" w:sz="2" w:space="0"/>
            <w:bottom w:val="single" w:color="E3E7EA" w:sz="2" w:space="0"/>
            <w:right w:val="single" w:color="E3E7EA" w:sz="2" w:space="0"/>
            <w:insideH w:val="single" w:color="E3E7EA" w:sz="2" w:space="0"/>
            <w:insideV w:val="single" w:color="E3E7EA" w:sz="2" w:space="0"/>
          </w:tblBorders>
          <w:tblCellMar>
            <w:top w:w="0" w:type="dxa"/>
            <w:left w:w="108" w:type="dxa"/>
            <w:bottom w:w="0" w:type="dxa"/>
            <w:right w:w="108" w:type="dxa"/>
          </w:tblCellMar>
        </w:tblPrEx>
        <w:trPr>
          <w:cantSplit/>
          <w:jc w:val="center"/>
        </w:trPr>
        <w:tc>
          <w:tcPr>
            <w:tcW w:w="2088" w:type="dxa"/>
            <w:shd w:val="clear" w:color="auto" w:fill="EAF2F8"/>
            <w:tcMar>
              <w:top w:w="75" w:type="dxa"/>
              <w:left w:w="100" w:type="dxa"/>
              <w:bottom w:w="75" w:type="dxa"/>
              <w:right w:w="100" w:type="dxa"/>
            </w:tcMar>
            <w:vAlign w:val="center"/>
          </w:tcPr>
          <w:p w14:paraId="25C37173">
            <w:pPr>
              <w:spacing w:after="0" w:line="240" w:lineRule="auto"/>
            </w:pPr>
            <w:r>
              <w:rPr>
                <w:rFonts w:ascii="Arial" w:hAnsi="Arial" w:eastAsia="Arial" w:cs="Arial"/>
                <w:b/>
                <w:i w:val="0"/>
                <w:color w:val="12324B"/>
                <w:sz w:val="18"/>
                <w:lang w:val="en-GB" w:eastAsia="en-GB" w:bidi="en-GB"/>
              </w:rPr>
              <w:t>Submission package</w:t>
            </w:r>
          </w:p>
        </w:tc>
        <w:tc>
          <w:tcPr>
            <w:tcW w:w="7703" w:type="dxa"/>
            <w:shd w:val="clear" w:color="auto" w:fill="F2F4F7"/>
            <w:tcMar>
              <w:top w:w="75" w:type="dxa"/>
              <w:left w:w="100" w:type="dxa"/>
              <w:bottom w:w="75" w:type="dxa"/>
              <w:right w:w="100" w:type="dxa"/>
            </w:tcMar>
            <w:vAlign w:val="center"/>
          </w:tcPr>
          <w:p>
            <w:r>
              <w:t>Configuration-driven Python script, five CSV files, validation metadata, 24 tests, configured CI workflow, and documentation</w:t>
            </w:r>
          </w:p>
        </w:tc>
      </w:tr>
    </w:tbl>
    <w:p w14:paraId="3846DF29">
      <w:pPr>
        <w:widowControl/>
        <w:spacing w:before="100" w:after="0"/>
      </w:pPr>
      <w:r>
        <w:rPr>
          <w:rFonts w:ascii="Times New Roman" w:hAnsi="Times New Roman" w:eastAsia="Times New Roman" w:cs="Times New Roman"/>
          <w:b w:val="0"/>
          <w:i/>
          <w:color w:val="4E5B66"/>
          <w:sz w:val="21"/>
          <w:lang w:val="en-GB" w:eastAsia="en-GB" w:bidi="en-GB"/>
        </w:rPr>
        <w:t>Reproducible acquisition  •  Explicit provenance  •  Exchange-session completeness  •  No imputation</w:t>
      </w:r>
    </w:p>
    <w:p w14:paraId="204A5F9A">
      <w:pPr>
        <w:widowControl/>
      </w:pPr>
      <w:r>
        <w:rPr>
          <w:rFonts w:ascii="Times New Roman" w:hAnsi="Times New Roman" w:eastAsia="Times New Roman" w:cs="Times New Roman"/>
          <w:sz w:val="21"/>
          <w:lang w:val="en-GB" w:eastAsia="en-GB" w:bidi="en-GB"/>
        </w:rPr>
        <w:br w:type="page"/>
      </w:r>
    </w:p>
    <w:p w14:paraId="4C7864EC">
      <w:pPr>
        <w:pStyle w:val="3"/>
        <w:widowControl/>
      </w:pPr>
      <w:r>
        <w:rPr>
          <w:rFonts w:ascii="Arial" w:hAnsi="Arial" w:eastAsia="Arial" w:cs="Arial"/>
          <w:b/>
          <w:sz w:val="28"/>
          <w:lang w:val="en-GB" w:eastAsia="en-GB" w:bidi="en-GB"/>
        </w:rPr>
        <w:t>Abstract</w:t>
      </w:r>
    </w:p>
    <w:p w14:paraId="585D48CA">
      <w:pPr>
        <w:pStyle w:val="19"/>
        <w:widowControl/>
        <w:spacing w:before="0" w:after="100"/>
        <w:ind w:left="0" w:firstLine="0"/>
        <w:jc w:val="left"/>
      </w:pPr>
      <w:r>
        <w:t>This report documents a reproducible workflow for collecting, organizing, validating, and safely publishing daily historical equity prices for Apple, Microsoft, Alphabet, Amazon, and NVIDIA. The configured sample covers 1 January 2021 through 31 December 2025. Yahoo Finance data were accessed through the third-party open-source yfinance 1.5.2 client without an API key. The submission contains one structured CSV per security, a configuration-driven Python command-line script, provenance and validation metadata, logs, documentation, and a 24-test deterministic suite. Each security contains 1,255 scheduled sessions, giving 6,275 accepted rows. All submitted files passed schema, date, session-coverage, uniqueness, numeric-value, volume, and OHLC-coherence checks; all five SHA-256 digests were reproduced. A five-row Nasdaq.com sample independently cross-checks the submitted 2025-12-31 closes. No missing value was imputed, no price was reconstructed, and yfinance price repair was disabled.</w:t>
      </w:r>
    </w:p>
    <w:p w14:paraId="34FEA2A2">
      <w:pPr>
        <w:pStyle w:val="3"/>
        <w:widowControl/>
      </w:pPr>
      <w:r>
        <w:rPr>
          <w:rFonts w:ascii="Arial" w:hAnsi="Arial" w:eastAsia="Arial" w:cs="Arial"/>
          <w:b/>
          <w:sz w:val="28"/>
          <w:lang w:val="en-GB" w:eastAsia="en-GB" w:bidi="en-GB"/>
        </w:rPr>
        <w:t>1. Objective and Scope</w:t>
      </w:r>
    </w:p>
    <w:p w14:paraId="194AD559">
      <w:pPr>
        <w:pStyle w:val="19"/>
        <w:widowControl/>
        <w:spacing w:before="0" w:after="100"/>
        <w:ind w:left="0" w:firstLine="0"/>
        <w:jc w:val="left"/>
      </w:pPr>
      <w:r>
        <w:t>The objective is to collect and organize historical stock-price data in a transparent, auditable format suitable for subsequent statistical and financial analysis. The ordered universe and company names are loaded from config/selected_companies.csv rather than embedded in source code. The five configured securities are large-capitalization, NASDAQ-listed companies with continuous listings throughout the study period. This assignment design choice is not presented as a representative portfolio or an equity-market proxy.</w:t>
      </w:r>
    </w:p>
    <w:p w14:paraId="065371ED">
      <w:pPr>
        <w:pStyle w:val="15"/>
        <w:keepNext/>
        <w:widowControl/>
        <w:spacing w:before="60" w:after="60"/>
      </w:pPr>
      <w:r>
        <w:rPr>
          <w:rFonts w:ascii="Arial" w:hAnsi="Arial" w:eastAsia="Arial" w:cs="Arial"/>
          <w:b/>
          <w:i w:val="0"/>
          <w:color w:val="12324B"/>
          <w:sz w:val="18"/>
          <w:lang w:val="en-GB" w:eastAsia="en-GB" w:bidi="en-GB"/>
        </w:rPr>
        <w:t>Table 1. Collection scope and design decisions</w:t>
      </w:r>
    </w:p>
    <w:tbl>
      <w:tblPr>
        <w:tblStyle w:val="32"/>
        <w:tblW w:w="9891"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1655"/>
        <w:gridCol w:w="2476"/>
        <w:gridCol w:w="5760"/>
      </w:tblGrid>
      <w:tr w14:paraId="5C93268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1655" w:type="dxa"/>
            <w:shd w:val="clear" w:color="auto" w:fill="12324B"/>
            <w:tcMar>
              <w:top w:w="75" w:type="dxa"/>
              <w:left w:w="85" w:type="dxa"/>
              <w:bottom w:w="75" w:type="dxa"/>
              <w:right w:w="85" w:type="dxa"/>
            </w:tcMar>
            <w:vAlign w:val="center"/>
          </w:tcPr>
          <w:p w14:paraId="697BE0EF">
            <w:pPr>
              <w:spacing w:after="0" w:line="240" w:lineRule="auto"/>
              <w:jc w:val="left"/>
            </w:pPr>
            <w:r>
              <w:rPr>
                <w:rFonts w:ascii="Arial" w:hAnsi="Arial" w:eastAsia="Arial" w:cs="Arial"/>
                <w:b/>
                <w:i w:val="0"/>
                <w:color w:val="FFFFFF"/>
                <w:sz w:val="16"/>
                <w:lang w:val="en-GB" w:eastAsia="en-GB" w:bidi="en-GB"/>
              </w:rPr>
              <w:t>Dimension</w:t>
            </w:r>
          </w:p>
        </w:tc>
        <w:tc>
          <w:tcPr>
            <w:tcW w:w="2476" w:type="dxa"/>
            <w:shd w:val="clear" w:color="auto" w:fill="12324B"/>
            <w:tcMar>
              <w:top w:w="75" w:type="dxa"/>
              <w:left w:w="85" w:type="dxa"/>
              <w:bottom w:w="75" w:type="dxa"/>
              <w:right w:w="85" w:type="dxa"/>
            </w:tcMar>
            <w:vAlign w:val="center"/>
          </w:tcPr>
          <w:p w14:paraId="3E881261">
            <w:pPr>
              <w:spacing w:after="0" w:line="240" w:lineRule="auto"/>
              <w:jc w:val="left"/>
            </w:pPr>
            <w:r>
              <w:rPr>
                <w:rFonts w:ascii="Arial" w:hAnsi="Arial" w:eastAsia="Arial" w:cs="Arial"/>
                <w:b/>
                <w:i w:val="0"/>
                <w:color w:val="FFFFFF"/>
                <w:sz w:val="16"/>
                <w:lang w:val="en-GB" w:eastAsia="en-GB" w:bidi="en-GB"/>
              </w:rPr>
              <w:t>Decision</w:t>
            </w:r>
          </w:p>
        </w:tc>
        <w:tc>
          <w:tcPr>
            <w:tcW w:w="5760" w:type="dxa"/>
            <w:shd w:val="clear" w:color="auto" w:fill="12324B"/>
            <w:tcMar>
              <w:top w:w="75" w:type="dxa"/>
              <w:left w:w="85" w:type="dxa"/>
              <w:bottom w:w="75" w:type="dxa"/>
              <w:right w:w="85" w:type="dxa"/>
            </w:tcMar>
            <w:vAlign w:val="center"/>
          </w:tcPr>
          <w:p w14:paraId="235380C2">
            <w:pPr>
              <w:spacing w:after="0" w:line="240" w:lineRule="auto"/>
              <w:jc w:val="left"/>
            </w:pPr>
            <w:r>
              <w:rPr>
                <w:rFonts w:ascii="Arial" w:hAnsi="Arial" w:eastAsia="Arial" w:cs="Arial"/>
                <w:b/>
                <w:i w:val="0"/>
                <w:color w:val="FFFFFF"/>
                <w:sz w:val="16"/>
                <w:lang w:val="en-GB" w:eastAsia="en-GB" w:bidi="en-GB"/>
              </w:rPr>
              <w:t>Rationale / implementation</w:t>
            </w:r>
          </w:p>
        </w:tc>
      </w:tr>
      <w:tr w14:paraId="35B2CC9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tcMar>
              <w:top w:w="68" w:type="dxa"/>
              <w:left w:w="85" w:type="dxa"/>
              <w:bottom w:w="68" w:type="dxa"/>
              <w:right w:w="85" w:type="dxa"/>
            </w:tcMar>
            <w:vAlign w:val="center"/>
          </w:tcPr>
          <w:p w14:paraId="7FBFAC91">
            <w:pPr>
              <w:spacing w:after="0" w:line="240" w:lineRule="auto"/>
              <w:jc w:val="left"/>
            </w:pPr>
            <w:r>
              <w:rPr>
                <w:rFonts w:ascii="Times New Roman" w:hAnsi="Times New Roman" w:eastAsia="Times New Roman" w:cs="Times New Roman"/>
                <w:b w:val="0"/>
                <w:i w:val="0"/>
                <w:color w:val="20262B"/>
                <w:sz w:val="17"/>
                <w:lang w:val="en-GB" w:eastAsia="en-GB" w:bidi="en-GB"/>
              </w:rPr>
              <w:t>Provider and access</w:t>
            </w:r>
          </w:p>
        </w:tc>
        <w:tc>
          <w:tcPr>
            <w:tcW w:w="2476" w:type="dxa"/>
            <w:tcMar>
              <w:top w:w="68" w:type="dxa"/>
              <w:left w:w="85" w:type="dxa"/>
              <w:bottom w:w="68" w:type="dxa"/>
              <w:right w:w="85" w:type="dxa"/>
            </w:tcMar>
            <w:vAlign w:val="center"/>
          </w:tcPr>
          <w:p w14:paraId="19201CF2">
            <w:pPr>
              <w:spacing w:after="0" w:line="240" w:lineRule="auto"/>
              <w:jc w:val="left"/>
            </w:pPr>
            <w:r>
              <w:rPr>
                <w:rFonts w:ascii="Times New Roman" w:hAnsi="Times New Roman" w:eastAsia="Times New Roman" w:cs="Times New Roman"/>
                <w:b w:val="0"/>
                <w:i w:val="0"/>
                <w:color w:val="20262B"/>
                <w:sz w:val="17"/>
                <w:lang w:val="en-GB" w:eastAsia="en-GB" w:bidi="en-GB"/>
              </w:rPr>
              <w:t>Yahoo Finance via yfinance; no API key</w:t>
            </w:r>
          </w:p>
        </w:tc>
        <w:tc>
          <w:tcPr>
            <w:tcW w:w="5760" w:type="dxa"/>
            <w:tcMar>
              <w:top w:w="68" w:type="dxa"/>
              <w:left w:w="85" w:type="dxa"/>
              <w:bottom w:w="68" w:type="dxa"/>
              <w:right w:w="85" w:type="dxa"/>
            </w:tcMar>
            <w:vAlign w:val="center"/>
          </w:tcPr>
          <w:p>
            <w:r>
              <w:t>Appropriate for daily historical prices; direct dependencies are version-pinned in requirements.txt.</w:t>
            </w:r>
          </w:p>
        </w:tc>
      </w:tr>
      <w:tr w14:paraId="67ECD05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shd w:val="clear" w:color="auto" w:fill="F2F4F7"/>
            <w:tcMar>
              <w:top w:w="68" w:type="dxa"/>
              <w:left w:w="85" w:type="dxa"/>
              <w:bottom w:w="68" w:type="dxa"/>
              <w:right w:w="85" w:type="dxa"/>
            </w:tcMar>
            <w:vAlign w:val="center"/>
          </w:tcPr>
          <w:p w14:paraId="5A9E9865">
            <w:pPr>
              <w:spacing w:after="0" w:line="240" w:lineRule="auto"/>
              <w:jc w:val="left"/>
            </w:pPr>
            <w:r>
              <w:rPr>
                <w:rFonts w:ascii="Times New Roman" w:hAnsi="Times New Roman" w:eastAsia="Times New Roman" w:cs="Times New Roman"/>
                <w:b w:val="0"/>
                <w:i w:val="0"/>
                <w:color w:val="20262B"/>
                <w:sz w:val="17"/>
                <w:lang w:val="en-GB" w:eastAsia="en-GB" w:bidi="en-GB"/>
              </w:rPr>
              <w:t>Frequency</w:t>
            </w:r>
          </w:p>
        </w:tc>
        <w:tc>
          <w:tcPr>
            <w:tcW w:w="2476" w:type="dxa"/>
            <w:shd w:val="clear" w:color="auto" w:fill="F2F4F7"/>
            <w:tcMar>
              <w:top w:w="68" w:type="dxa"/>
              <w:left w:w="85" w:type="dxa"/>
              <w:bottom w:w="68" w:type="dxa"/>
              <w:right w:w="85" w:type="dxa"/>
            </w:tcMar>
            <w:vAlign w:val="center"/>
          </w:tcPr>
          <w:p w14:paraId="078928A4">
            <w:pPr>
              <w:spacing w:after="0" w:line="240" w:lineRule="auto"/>
              <w:jc w:val="left"/>
            </w:pPr>
            <w:r>
              <w:rPr>
                <w:rFonts w:ascii="Times New Roman" w:hAnsi="Times New Roman" w:eastAsia="Times New Roman" w:cs="Times New Roman"/>
                <w:b w:val="0"/>
                <w:i w:val="0"/>
                <w:color w:val="20262B"/>
                <w:sz w:val="17"/>
                <w:lang w:val="en-GB" w:eastAsia="en-GB" w:bidi="en-GB"/>
              </w:rPr>
              <w:t>Daily (1d)</w:t>
            </w:r>
          </w:p>
        </w:tc>
        <w:tc>
          <w:tcPr>
            <w:tcW w:w="5760" w:type="dxa"/>
            <w:shd w:val="clear" w:color="auto" w:fill="F2F4F7"/>
            <w:tcMar>
              <w:top w:w="68" w:type="dxa"/>
              <w:left w:w="85" w:type="dxa"/>
              <w:bottom w:w="68" w:type="dxa"/>
              <w:right w:w="85" w:type="dxa"/>
            </w:tcMar>
            <w:vAlign w:val="center"/>
          </w:tcPr>
          <w:p w14:paraId="55CBC1EC">
            <w:pPr>
              <w:spacing w:after="0" w:line="240" w:lineRule="auto"/>
              <w:jc w:val="left"/>
            </w:pPr>
            <w:r>
              <w:rPr>
                <w:rFonts w:ascii="Times New Roman" w:hAnsi="Times New Roman" w:eastAsia="Times New Roman" w:cs="Times New Roman"/>
                <w:b w:val="0"/>
                <w:i w:val="0"/>
                <w:color w:val="20262B"/>
                <w:sz w:val="17"/>
                <w:lang w:val="en-GB" w:eastAsia="en-GB" w:bidi="en-GB"/>
              </w:rPr>
              <w:t>Matches the task requirement and supports validation against scheduled exchange sessions.</w:t>
            </w:r>
          </w:p>
        </w:tc>
      </w:tr>
      <w:tr w14:paraId="77B1F13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tcMar>
              <w:top w:w="68" w:type="dxa"/>
              <w:left w:w="85" w:type="dxa"/>
              <w:bottom w:w="68" w:type="dxa"/>
              <w:right w:w="85" w:type="dxa"/>
            </w:tcMar>
            <w:vAlign w:val="center"/>
          </w:tcPr>
          <w:p w14:paraId="4E4D54AF">
            <w:pPr>
              <w:spacing w:after="0" w:line="240" w:lineRule="auto"/>
              <w:jc w:val="left"/>
            </w:pPr>
            <w:r>
              <w:rPr>
                <w:rFonts w:ascii="Times New Roman" w:hAnsi="Times New Roman" w:eastAsia="Times New Roman" w:cs="Times New Roman"/>
                <w:b w:val="0"/>
                <w:i w:val="0"/>
                <w:color w:val="20262B"/>
                <w:sz w:val="17"/>
                <w:lang w:val="en-GB" w:eastAsia="en-GB" w:bidi="en-GB"/>
              </w:rPr>
              <w:t>Study period</w:t>
            </w:r>
          </w:p>
        </w:tc>
        <w:tc>
          <w:tcPr>
            <w:tcW w:w="2476" w:type="dxa"/>
            <w:tcMar>
              <w:top w:w="68" w:type="dxa"/>
              <w:left w:w="85" w:type="dxa"/>
              <w:bottom w:w="68" w:type="dxa"/>
              <w:right w:w="85" w:type="dxa"/>
            </w:tcMar>
            <w:vAlign w:val="center"/>
          </w:tcPr>
          <w:p w14:paraId="28AA0748">
            <w:pPr>
              <w:spacing w:after="0" w:line="240" w:lineRule="auto"/>
              <w:jc w:val="left"/>
            </w:pPr>
            <w:r>
              <w:rPr>
                <w:rFonts w:ascii="Times New Roman" w:hAnsi="Times New Roman" w:eastAsia="Times New Roman" w:cs="Times New Roman"/>
                <w:b w:val="0"/>
                <w:i w:val="0"/>
                <w:color w:val="20262B"/>
                <w:sz w:val="17"/>
                <w:lang w:val="en-GB" w:eastAsia="en-GB" w:bidi="en-GB"/>
              </w:rPr>
              <w:t>2021-01-01 to 2025-12-31, inclusive</w:t>
            </w:r>
          </w:p>
        </w:tc>
        <w:tc>
          <w:tcPr>
            <w:tcW w:w="5760" w:type="dxa"/>
            <w:tcMar>
              <w:top w:w="68" w:type="dxa"/>
              <w:left w:w="85" w:type="dxa"/>
              <w:bottom w:w="68" w:type="dxa"/>
              <w:right w:w="85" w:type="dxa"/>
            </w:tcMar>
            <w:vAlign w:val="center"/>
          </w:tcPr>
          <w:p w14:paraId="2752919B">
            <w:pPr>
              <w:spacing w:after="0" w:line="240" w:lineRule="auto"/>
              <w:jc w:val="left"/>
            </w:pPr>
            <w:r>
              <w:rPr>
                <w:rFonts w:ascii="Times New Roman" w:hAnsi="Times New Roman" w:eastAsia="Times New Roman" w:cs="Times New Roman"/>
                <w:b w:val="0"/>
                <w:i w:val="0"/>
                <w:color w:val="20262B"/>
                <w:sz w:val="17"/>
                <w:lang w:val="en-GB" w:eastAsia="en-GB" w:bidi="en-GB"/>
              </w:rPr>
              <w:t>Five complete calendar years; the provider end date is set internally to 2026-01-01.</w:t>
            </w:r>
          </w:p>
        </w:tc>
      </w:tr>
      <w:tr w14:paraId="726EB81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shd w:val="clear" w:color="auto" w:fill="F2F4F7"/>
            <w:tcMar>
              <w:top w:w="68" w:type="dxa"/>
              <w:left w:w="85" w:type="dxa"/>
              <w:bottom w:w="68" w:type="dxa"/>
              <w:right w:w="85" w:type="dxa"/>
            </w:tcMar>
            <w:vAlign w:val="center"/>
          </w:tcPr>
          <w:p w14:paraId="6AC8E66F">
            <w:pPr>
              <w:spacing w:after="0" w:line="240" w:lineRule="auto"/>
              <w:jc w:val="left"/>
            </w:pPr>
            <w:r>
              <w:rPr>
                <w:rFonts w:ascii="Times New Roman" w:hAnsi="Times New Roman" w:eastAsia="Times New Roman" w:cs="Times New Roman"/>
                <w:b w:val="0"/>
                <w:i w:val="0"/>
                <w:color w:val="20262B"/>
                <w:sz w:val="17"/>
                <w:lang w:val="en-GB" w:eastAsia="en-GB" w:bidi="en-GB"/>
              </w:rPr>
              <w:t>Securities</w:t>
            </w:r>
          </w:p>
        </w:tc>
        <w:tc>
          <w:tcPr>
            <w:tcW w:w="2476" w:type="dxa"/>
            <w:shd w:val="clear" w:color="auto" w:fill="F2F4F7"/>
            <w:tcMar>
              <w:top w:w="68" w:type="dxa"/>
              <w:left w:w="85" w:type="dxa"/>
              <w:bottom w:w="68" w:type="dxa"/>
              <w:right w:w="85" w:type="dxa"/>
            </w:tcMar>
            <w:vAlign w:val="center"/>
          </w:tcPr>
          <w:p>
            <w:r>
              <w:t>Loaded from config/selected_companies.csv (submitted values: AAPL, MSFT, GOOGL, AMZN, NVDA)</w:t>
            </w:r>
          </w:p>
        </w:tc>
        <w:tc>
          <w:tcPr>
            <w:tcW w:w="5760" w:type="dxa"/>
            <w:shd w:val="clear" w:color="auto" w:fill="F2F4F7"/>
            <w:tcMar>
              <w:top w:w="68" w:type="dxa"/>
              <w:left w:w="85" w:type="dxa"/>
              <w:bottom w:w="68" w:type="dxa"/>
              <w:right w:w="85" w:type="dxa"/>
            </w:tcMar>
            <w:vAlign w:val="center"/>
          </w:tcPr>
          <w:p>
            <w:r>
              <w:t>Ordered universe and company names are configuration-driven rather than embedded in source code.</w:t>
            </w:r>
          </w:p>
        </w:tc>
      </w:tr>
      <w:tr w14:paraId="3C9311B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tcMar>
              <w:top w:w="68" w:type="dxa"/>
              <w:left w:w="85" w:type="dxa"/>
              <w:bottom w:w="68" w:type="dxa"/>
              <w:right w:w="85" w:type="dxa"/>
            </w:tcMar>
            <w:vAlign w:val="center"/>
          </w:tcPr>
          <w:p w14:paraId="494C1A91">
            <w:pPr>
              <w:spacing w:after="0" w:line="240" w:lineRule="auto"/>
              <w:jc w:val="left"/>
            </w:pPr>
            <w:r>
              <w:rPr>
                <w:rFonts w:ascii="Times New Roman" w:hAnsi="Times New Roman" w:eastAsia="Times New Roman" w:cs="Times New Roman"/>
                <w:b w:val="0"/>
                <w:i w:val="0"/>
                <w:color w:val="20262B"/>
                <w:sz w:val="17"/>
                <w:lang w:val="en-GB" w:eastAsia="en-GB" w:bidi="en-GB"/>
              </w:rPr>
              <w:t>Schema</w:t>
            </w:r>
          </w:p>
        </w:tc>
        <w:tc>
          <w:tcPr>
            <w:tcW w:w="2476" w:type="dxa"/>
            <w:tcMar>
              <w:top w:w="68" w:type="dxa"/>
              <w:left w:w="85" w:type="dxa"/>
              <w:bottom w:w="68" w:type="dxa"/>
              <w:right w:w="85" w:type="dxa"/>
            </w:tcMar>
            <w:vAlign w:val="center"/>
          </w:tcPr>
          <w:p w14:paraId="0AFAFA68">
            <w:pPr>
              <w:spacing w:after="0" w:line="240" w:lineRule="auto"/>
              <w:jc w:val="left"/>
            </w:pPr>
            <w:r>
              <w:rPr>
                <w:rFonts w:ascii="Times New Roman" w:hAnsi="Times New Roman" w:eastAsia="Times New Roman" w:cs="Times New Roman"/>
                <w:b w:val="0"/>
                <w:i w:val="0"/>
                <w:color w:val="20262B"/>
                <w:sz w:val="17"/>
                <w:lang w:val="en-GB" w:eastAsia="en-GB" w:bidi="en-GB"/>
              </w:rPr>
              <w:t>Date, Open, High, Low, Close, Adj Close, Volume</w:t>
            </w:r>
          </w:p>
        </w:tc>
        <w:tc>
          <w:tcPr>
            <w:tcW w:w="5760" w:type="dxa"/>
            <w:tcMar>
              <w:top w:w="68" w:type="dxa"/>
              <w:left w:w="85" w:type="dxa"/>
              <w:bottom w:w="68" w:type="dxa"/>
              <w:right w:w="85" w:type="dxa"/>
            </w:tcMar>
            <w:vAlign w:val="center"/>
          </w:tcPr>
          <w:p w14:paraId="5A6E033B">
            <w:pPr>
              <w:spacing w:after="0" w:line="240" w:lineRule="auto"/>
              <w:jc w:val="left"/>
            </w:pPr>
            <w:r>
              <w:rPr>
                <w:rFonts w:ascii="Times New Roman" w:hAnsi="Times New Roman" w:eastAsia="Times New Roman" w:cs="Times New Roman"/>
                <w:b w:val="0"/>
                <w:i w:val="0"/>
                <w:color w:val="20262B"/>
                <w:sz w:val="17"/>
                <w:lang w:val="en-GB" w:eastAsia="en-GB" w:bidi="en-GB"/>
              </w:rPr>
              <w:t>Includes every required field and retains adjusted close as an additional analysis field.</w:t>
            </w:r>
          </w:p>
        </w:tc>
      </w:tr>
      <w:tr w14:paraId="19C6991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shd w:val="clear" w:color="auto" w:fill="F2F4F7"/>
            <w:tcMar>
              <w:top w:w="68" w:type="dxa"/>
              <w:left w:w="85" w:type="dxa"/>
              <w:bottom w:w="68" w:type="dxa"/>
              <w:right w:w="85" w:type="dxa"/>
            </w:tcMar>
            <w:vAlign w:val="center"/>
          </w:tcPr>
          <w:p w14:paraId="641AE081">
            <w:pPr>
              <w:spacing w:after="0" w:line="240" w:lineRule="auto"/>
              <w:jc w:val="left"/>
            </w:pPr>
            <w:r>
              <w:rPr>
                <w:rFonts w:ascii="Times New Roman" w:hAnsi="Times New Roman" w:eastAsia="Times New Roman" w:cs="Times New Roman"/>
                <w:b w:val="0"/>
                <w:i w:val="0"/>
                <w:color w:val="20262B"/>
                <w:sz w:val="17"/>
                <w:lang w:val="en-GB" w:eastAsia="en-GB" w:bidi="en-GB"/>
              </w:rPr>
              <w:t>Output</w:t>
            </w:r>
          </w:p>
        </w:tc>
        <w:tc>
          <w:tcPr>
            <w:tcW w:w="2476" w:type="dxa"/>
            <w:shd w:val="clear" w:color="auto" w:fill="F2F4F7"/>
            <w:tcMar>
              <w:top w:w="68" w:type="dxa"/>
              <w:left w:w="85" w:type="dxa"/>
              <w:bottom w:w="68" w:type="dxa"/>
              <w:right w:w="85" w:type="dxa"/>
            </w:tcMar>
            <w:vAlign w:val="center"/>
          </w:tcPr>
          <w:p w14:paraId="4EE52C78">
            <w:pPr>
              <w:spacing w:after="0" w:line="240" w:lineRule="auto"/>
              <w:jc w:val="left"/>
            </w:pPr>
            <w:r>
              <w:rPr>
                <w:rFonts w:ascii="Times New Roman" w:hAnsi="Times New Roman" w:eastAsia="Times New Roman" w:cs="Times New Roman"/>
                <w:b w:val="0"/>
                <w:i w:val="0"/>
                <w:color w:val="20262B"/>
                <w:sz w:val="17"/>
                <w:lang w:val="en-GB" w:eastAsia="en-GB" w:bidi="en-GB"/>
              </w:rPr>
              <w:t>One UTF-8 CSV per security</w:t>
            </w:r>
          </w:p>
        </w:tc>
        <w:tc>
          <w:tcPr>
            <w:tcW w:w="5760" w:type="dxa"/>
            <w:shd w:val="clear" w:color="auto" w:fill="F2F4F7"/>
            <w:tcMar>
              <w:top w:w="68" w:type="dxa"/>
              <w:left w:w="85" w:type="dxa"/>
              <w:bottom w:w="68" w:type="dxa"/>
              <w:right w:w="85" w:type="dxa"/>
            </w:tcMar>
            <w:vAlign w:val="center"/>
          </w:tcPr>
          <w:p w14:paraId="2750B234">
            <w:pPr>
              <w:spacing w:after="0" w:line="240" w:lineRule="auto"/>
              <w:jc w:val="left"/>
            </w:pPr>
            <w:r>
              <w:rPr>
                <w:rFonts w:ascii="Times New Roman" w:hAnsi="Times New Roman" w:eastAsia="Times New Roman" w:cs="Times New Roman"/>
                <w:b w:val="0"/>
                <w:i w:val="0"/>
                <w:color w:val="20262B"/>
                <w:sz w:val="17"/>
                <w:lang w:val="en-GB" w:eastAsia="en-GB" w:bidi="en-GB"/>
              </w:rPr>
              <w:t>Clear naming, flat tabular structure, and straightforward reuse.</w:t>
            </w:r>
          </w:p>
        </w:tc>
      </w:tr>
      <w:tr w14:paraId="059E84B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655" w:type="dxa"/>
            <w:tcMar>
              <w:top w:w="68" w:type="dxa"/>
              <w:left w:w="85" w:type="dxa"/>
              <w:bottom w:w="68" w:type="dxa"/>
              <w:right w:w="85" w:type="dxa"/>
            </w:tcMar>
            <w:vAlign w:val="center"/>
          </w:tcPr>
          <w:p w14:paraId="325DF5D1">
            <w:pPr>
              <w:spacing w:after="0" w:line="240" w:lineRule="auto"/>
              <w:jc w:val="left"/>
            </w:pPr>
            <w:r>
              <w:rPr>
                <w:rFonts w:ascii="Times New Roman" w:hAnsi="Times New Roman" w:eastAsia="Times New Roman" w:cs="Times New Roman"/>
                <w:b w:val="0"/>
                <w:i w:val="0"/>
                <w:color w:val="20262B"/>
                <w:sz w:val="17"/>
                <w:lang w:val="en-GB" w:eastAsia="en-GB" w:bidi="en-GB"/>
              </w:rPr>
              <w:t>Quality policy</w:t>
            </w:r>
          </w:p>
        </w:tc>
        <w:tc>
          <w:tcPr>
            <w:tcW w:w="2476" w:type="dxa"/>
            <w:tcMar>
              <w:top w:w="68" w:type="dxa"/>
              <w:left w:w="85" w:type="dxa"/>
              <w:bottom w:w="68" w:type="dxa"/>
              <w:right w:w="85" w:type="dxa"/>
            </w:tcMar>
            <w:vAlign w:val="center"/>
          </w:tcPr>
          <w:p>
            <w:r>
              <w:t>Fail closed by default; optional partial snapshot with isolated failure evidence</w:t>
            </w:r>
          </w:p>
        </w:tc>
        <w:tc>
          <w:tcPr>
            <w:tcW w:w="5760" w:type="dxa"/>
            <w:tcMar>
              <w:top w:w="68" w:type="dxa"/>
              <w:left w:w="85" w:type="dxa"/>
              <w:bottom w:w="68" w:type="dxa"/>
              <w:right w:w="85" w:type="dxa"/>
            </w:tcMar>
            <w:vAlign w:val="center"/>
          </w:tcPr>
          <w:p>
            <w:r>
              <w:t>No imputation or repair. Runs are staged; publication replaces the complete data snapshot by directory rename and restores the preceding snapshot on failure.</w:t>
            </w:r>
          </w:p>
        </w:tc>
      </w:tr>
    </w:tbl>
    <w:p w14:paraId="713F635C">
      <w:pPr>
        <w:pStyle w:val="15"/>
        <w:keepNext/>
        <w:widowControl/>
        <w:spacing w:before="60" w:after="60"/>
      </w:pPr>
      <w:r>
        <w:rPr>
          <w:rFonts w:ascii="Arial" w:hAnsi="Arial" w:eastAsia="Arial" w:cs="Arial"/>
          <w:b/>
          <w:i w:val="0"/>
          <w:color w:val="12324B"/>
          <w:sz w:val="18"/>
          <w:lang w:val="en-GB" w:eastAsia="en-GB" w:bidi="en-GB"/>
        </w:rPr>
        <w:t>Table 2. Required deliverables</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2880"/>
        <w:gridCol w:w="5688"/>
        <w:gridCol w:w="1324"/>
      </w:tblGrid>
      <w:tr w14:paraId="2804FCF5">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2880" w:type="dxa"/>
            <w:shd w:val="clear" w:color="auto" w:fill="12324B"/>
            <w:tcMar>
              <w:top w:w="75" w:type="dxa"/>
              <w:left w:w="85" w:type="dxa"/>
              <w:bottom w:w="75" w:type="dxa"/>
              <w:right w:w="85" w:type="dxa"/>
            </w:tcMar>
            <w:vAlign w:val="center"/>
          </w:tcPr>
          <w:p w14:paraId="6526AE8B">
            <w:pPr>
              <w:spacing w:after="0" w:line="240" w:lineRule="auto"/>
              <w:jc w:val="left"/>
            </w:pPr>
            <w:r>
              <w:rPr>
                <w:rFonts w:ascii="Arial" w:hAnsi="Arial" w:eastAsia="Arial" w:cs="Arial"/>
                <w:b/>
                <w:i w:val="0"/>
                <w:color w:val="FFFFFF"/>
                <w:sz w:val="16"/>
                <w:lang w:val="en-GB" w:eastAsia="en-GB" w:bidi="en-GB"/>
              </w:rPr>
              <w:t>Deliverable</w:t>
            </w:r>
          </w:p>
        </w:tc>
        <w:tc>
          <w:tcPr>
            <w:tcW w:w="5688" w:type="dxa"/>
            <w:shd w:val="clear" w:color="auto" w:fill="12324B"/>
            <w:tcMar>
              <w:top w:w="75" w:type="dxa"/>
              <w:left w:w="85" w:type="dxa"/>
              <w:bottom w:w="75" w:type="dxa"/>
              <w:right w:w="85" w:type="dxa"/>
            </w:tcMar>
            <w:vAlign w:val="center"/>
          </w:tcPr>
          <w:p w14:paraId="5D31FB1C">
            <w:pPr>
              <w:spacing w:after="0" w:line="240" w:lineRule="auto"/>
              <w:jc w:val="left"/>
            </w:pPr>
            <w:r>
              <w:rPr>
                <w:rFonts w:ascii="Arial" w:hAnsi="Arial" w:eastAsia="Arial" w:cs="Arial"/>
                <w:b/>
                <w:i w:val="0"/>
                <w:color w:val="FFFFFF"/>
                <w:sz w:val="16"/>
                <w:lang w:val="en-GB" w:eastAsia="en-GB" w:bidi="en-GB"/>
              </w:rPr>
              <w:t>Package location</w:t>
            </w:r>
          </w:p>
        </w:tc>
        <w:tc>
          <w:tcPr>
            <w:tcW w:w="1324" w:type="dxa"/>
            <w:shd w:val="clear" w:color="auto" w:fill="12324B"/>
            <w:tcMar>
              <w:top w:w="75" w:type="dxa"/>
              <w:left w:w="85" w:type="dxa"/>
              <w:bottom w:w="75" w:type="dxa"/>
              <w:right w:w="85" w:type="dxa"/>
            </w:tcMar>
            <w:vAlign w:val="center"/>
          </w:tcPr>
          <w:p w14:paraId="5BB907EB">
            <w:pPr>
              <w:spacing w:after="0" w:line="240" w:lineRule="auto"/>
              <w:jc w:val="center"/>
            </w:pPr>
            <w:r>
              <w:rPr>
                <w:rFonts w:ascii="Arial" w:hAnsi="Arial" w:eastAsia="Arial" w:cs="Arial"/>
                <w:b/>
                <w:i w:val="0"/>
                <w:color w:val="FFFFFF"/>
                <w:sz w:val="16"/>
                <w:lang w:val="en-GB" w:eastAsia="en-GB" w:bidi="en-GB"/>
              </w:rPr>
              <w:t>Status</w:t>
            </w:r>
          </w:p>
        </w:tc>
      </w:tr>
      <w:tr w14:paraId="050D327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tcMar>
              <w:top w:w="68" w:type="dxa"/>
              <w:left w:w="85" w:type="dxa"/>
              <w:bottom w:w="68" w:type="dxa"/>
              <w:right w:w="85" w:type="dxa"/>
            </w:tcMar>
            <w:vAlign w:val="center"/>
          </w:tcPr>
          <w:p w14:paraId="2ABF3389">
            <w:pPr>
              <w:spacing w:after="0" w:line="240" w:lineRule="auto"/>
              <w:jc w:val="left"/>
            </w:pPr>
            <w:r>
              <w:rPr>
                <w:rFonts w:ascii="Times New Roman" w:hAnsi="Times New Roman" w:eastAsia="Times New Roman" w:cs="Times New Roman"/>
                <w:b w:val="0"/>
                <w:i w:val="0"/>
                <w:color w:val="20262B"/>
                <w:sz w:val="17"/>
                <w:lang w:val="en-GB" w:eastAsia="en-GB" w:bidi="en-GB"/>
              </w:rPr>
              <w:t>Python data-collection script</w:t>
            </w:r>
          </w:p>
        </w:tc>
        <w:tc>
          <w:tcPr>
            <w:tcW w:w="5688" w:type="dxa"/>
            <w:tcMar>
              <w:top w:w="68" w:type="dxa"/>
              <w:left w:w="85" w:type="dxa"/>
              <w:bottom w:w="68" w:type="dxa"/>
              <w:right w:w="85" w:type="dxa"/>
            </w:tcMar>
            <w:vAlign w:val="center"/>
          </w:tcPr>
          <w:p w14:paraId="50D163D0">
            <w:pPr>
              <w:spacing w:after="0" w:line="240" w:lineRule="auto"/>
              <w:jc w:val="left"/>
            </w:pPr>
            <w:r>
              <w:rPr>
                <w:rFonts w:ascii="Times New Roman" w:hAnsi="Times New Roman" w:eastAsia="Times New Roman" w:cs="Times New Roman"/>
                <w:b w:val="0"/>
                <w:i w:val="0"/>
                <w:color w:val="20262B"/>
                <w:sz w:val="17"/>
                <w:lang w:val="en-GB" w:eastAsia="en-GB" w:bidi="en-GB"/>
              </w:rPr>
              <w:t>scripts/collect_stock_data.py</w:t>
            </w:r>
          </w:p>
        </w:tc>
        <w:tc>
          <w:tcPr>
            <w:tcW w:w="1324" w:type="dxa"/>
            <w:tcMar>
              <w:top w:w="68" w:type="dxa"/>
              <w:left w:w="85" w:type="dxa"/>
              <w:bottom w:w="68" w:type="dxa"/>
              <w:right w:w="85" w:type="dxa"/>
            </w:tcMar>
            <w:vAlign w:val="center"/>
          </w:tcPr>
          <w:p w14:paraId="1F3F714E">
            <w:pPr>
              <w:spacing w:after="0" w:line="240" w:lineRule="auto"/>
              <w:jc w:val="center"/>
            </w:pPr>
            <w:r>
              <w:rPr>
                <w:rFonts w:ascii="Times New Roman" w:hAnsi="Times New Roman" w:eastAsia="Times New Roman" w:cs="Times New Roman"/>
                <w:b w:val="0"/>
                <w:i w:val="0"/>
                <w:color w:val="20262B"/>
                <w:sz w:val="17"/>
                <w:lang w:val="en-GB" w:eastAsia="en-GB" w:bidi="en-GB"/>
              </w:rPr>
              <w:t>Complete</w:t>
            </w:r>
          </w:p>
        </w:tc>
      </w:tr>
      <w:tr w14:paraId="0D4422CE">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shd w:val="clear" w:color="auto" w:fill="F2F4F7"/>
            <w:tcMar>
              <w:top w:w="68" w:type="dxa"/>
              <w:left w:w="85" w:type="dxa"/>
              <w:bottom w:w="68" w:type="dxa"/>
              <w:right w:w="85" w:type="dxa"/>
            </w:tcMar>
            <w:vAlign w:val="center"/>
          </w:tcPr>
          <w:p w14:paraId="25D47D23">
            <w:pPr>
              <w:spacing w:after="0" w:line="240" w:lineRule="auto"/>
              <w:jc w:val="left"/>
            </w:pPr>
            <w:r>
              <w:rPr>
                <w:rFonts w:ascii="Times New Roman" w:hAnsi="Times New Roman" w:eastAsia="Times New Roman" w:cs="Times New Roman"/>
                <w:b w:val="0"/>
                <w:i w:val="0"/>
                <w:color w:val="20262B"/>
                <w:sz w:val="17"/>
                <w:lang w:val="en-GB" w:eastAsia="en-GB" w:bidi="en-GB"/>
              </w:rPr>
              <w:t>Historical stock-price CSV files</w:t>
            </w:r>
          </w:p>
        </w:tc>
        <w:tc>
          <w:tcPr>
            <w:tcW w:w="5688" w:type="dxa"/>
            <w:shd w:val="clear" w:color="auto" w:fill="F2F4F7"/>
            <w:tcMar>
              <w:top w:w="68" w:type="dxa"/>
              <w:left w:w="85" w:type="dxa"/>
              <w:bottom w:w="68" w:type="dxa"/>
              <w:right w:w="85" w:type="dxa"/>
            </w:tcMar>
            <w:vAlign w:val="center"/>
          </w:tcPr>
          <w:p w14:paraId="5C156EC7">
            <w:pPr>
              <w:spacing w:after="0" w:line="240" w:lineRule="auto"/>
              <w:jc w:val="left"/>
            </w:pPr>
            <w:r>
              <w:rPr>
                <w:rFonts w:ascii="Times New Roman" w:hAnsi="Times New Roman" w:eastAsia="Times New Roman" w:cs="Times New Roman"/>
                <w:b w:val="0"/>
                <w:i w:val="0"/>
                <w:sz w:val="17"/>
                <w:lang w:val="en-GB" w:eastAsia="en-GB" w:bidi="en-GB"/>
              </w:rPr>
              <w:t>data/raw/&lt;TICKER&gt;_daily_2021-01-01_2025-12-31.csv</w:t>
            </w:r>
          </w:p>
        </w:tc>
        <w:tc>
          <w:tcPr>
            <w:tcW w:w="1324" w:type="dxa"/>
            <w:shd w:val="clear" w:color="auto" w:fill="F2F4F7"/>
            <w:tcMar>
              <w:top w:w="68" w:type="dxa"/>
              <w:left w:w="85" w:type="dxa"/>
              <w:bottom w:w="68" w:type="dxa"/>
              <w:right w:w="85" w:type="dxa"/>
            </w:tcMar>
            <w:vAlign w:val="center"/>
          </w:tcPr>
          <w:p w14:paraId="03B01EC1">
            <w:pPr>
              <w:spacing w:after="0" w:line="240" w:lineRule="auto"/>
              <w:jc w:val="center"/>
            </w:pPr>
            <w:r>
              <w:rPr>
                <w:rFonts w:ascii="Times New Roman" w:hAnsi="Times New Roman" w:eastAsia="Times New Roman" w:cs="Times New Roman"/>
                <w:b w:val="0"/>
                <w:i w:val="0"/>
                <w:color w:val="20262B"/>
                <w:sz w:val="17"/>
                <w:lang w:val="en-GB" w:eastAsia="en-GB" w:bidi="en-GB"/>
              </w:rPr>
              <w:t>5 files complete</w:t>
            </w:r>
          </w:p>
        </w:tc>
      </w:tr>
      <w:tr w14:paraId="7F983EC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tcMar>
              <w:top w:w="68" w:type="dxa"/>
              <w:left w:w="85" w:type="dxa"/>
              <w:bottom w:w="68" w:type="dxa"/>
              <w:right w:w="85" w:type="dxa"/>
            </w:tcMar>
            <w:vAlign w:val="center"/>
          </w:tcPr>
          <w:p w14:paraId="28344681">
            <w:pPr>
              <w:spacing w:after="0" w:line="240" w:lineRule="auto"/>
              <w:jc w:val="left"/>
            </w:pPr>
            <w:r>
              <w:rPr>
                <w:rFonts w:ascii="Times New Roman" w:hAnsi="Times New Roman" w:eastAsia="Times New Roman" w:cs="Times New Roman"/>
                <w:b w:val="0"/>
                <w:i w:val="0"/>
                <w:color w:val="20262B"/>
                <w:sz w:val="17"/>
                <w:lang w:val="en-GB" w:eastAsia="en-GB" w:bidi="en-GB"/>
              </w:rPr>
              <w:t>Brief report / documentation</w:t>
            </w:r>
          </w:p>
        </w:tc>
        <w:tc>
          <w:tcPr>
            <w:tcW w:w="5688" w:type="dxa"/>
            <w:tcMar>
              <w:top w:w="68" w:type="dxa"/>
              <w:left w:w="85" w:type="dxa"/>
              <w:bottom w:w="68" w:type="dxa"/>
              <w:right w:w="85" w:type="dxa"/>
            </w:tcMar>
            <w:vAlign w:val="center"/>
          </w:tcPr>
          <w:p w14:paraId="79779463">
            <w:pPr>
              <w:spacing w:after="0" w:line="240" w:lineRule="auto"/>
              <w:jc w:val="left"/>
            </w:pPr>
            <w:r>
              <w:t>docs/Task5_Stock_Price_Data_Collection_Report_Yingtan_Ji.docx and README.md</w:t>
            </w:r>
          </w:p>
        </w:tc>
        <w:tc>
          <w:tcPr>
            <w:tcW w:w="1324" w:type="dxa"/>
            <w:tcMar>
              <w:top w:w="68" w:type="dxa"/>
              <w:left w:w="85" w:type="dxa"/>
              <w:bottom w:w="68" w:type="dxa"/>
              <w:right w:w="85" w:type="dxa"/>
            </w:tcMar>
            <w:vAlign w:val="center"/>
          </w:tcPr>
          <w:p w14:paraId="2EDD8340">
            <w:pPr>
              <w:spacing w:after="0" w:line="240" w:lineRule="auto"/>
              <w:jc w:val="center"/>
            </w:pPr>
            <w:r>
              <w:rPr>
                <w:rFonts w:ascii="Times New Roman" w:hAnsi="Times New Roman" w:eastAsia="Times New Roman" w:cs="Times New Roman"/>
                <w:b w:val="0"/>
                <w:i w:val="0"/>
                <w:color w:val="20262B"/>
                <w:sz w:val="17"/>
                <w:lang w:val="en-GB" w:eastAsia="en-GB" w:bidi="en-GB"/>
              </w:rPr>
              <w:t>Complete</w:t>
            </w:r>
          </w:p>
        </w:tc>
      </w:tr>
    </w:tbl>
    <w:p w14:paraId="380CBE6A">
      <w:pPr>
        <w:widowControl/>
      </w:pPr>
      <w:r>
        <w:rPr>
          <w:rFonts w:ascii="Times New Roman" w:hAnsi="Times New Roman" w:eastAsia="Times New Roman" w:cs="Times New Roman"/>
          <w:sz w:val="21"/>
          <w:lang w:val="en-GB" w:eastAsia="en-GB" w:bidi="en-GB"/>
        </w:rPr>
        <w:br w:type="page"/>
      </w:r>
    </w:p>
    <w:p w14:paraId="19A2EBA1">
      <w:pPr>
        <w:pStyle w:val="3"/>
        <w:widowControl/>
      </w:pPr>
      <w:r>
        <w:rPr>
          <w:rFonts w:ascii="Arial" w:hAnsi="Arial" w:eastAsia="Arial" w:cs="Arial"/>
          <w:b/>
          <w:sz w:val="28"/>
          <w:lang w:val="en-GB" w:eastAsia="en-GB" w:bidi="en-GB"/>
        </w:rPr>
        <w:t>2. Data Source, Access, and Reproducibility</w:t>
      </w:r>
    </w:p>
    <w:p w14:paraId="4BA755E8">
      <w:pPr>
        <w:pStyle w:val="4"/>
        <w:widowControl/>
      </w:pPr>
      <w:r>
        <w:rPr>
          <w:rFonts w:ascii="Arial" w:hAnsi="Arial" w:eastAsia="Arial" w:cs="Arial"/>
          <w:b/>
          <w:sz w:val="23"/>
          <w:lang w:val="en-GB" w:eastAsia="en-GB" w:bidi="en-GB"/>
        </w:rPr>
        <w:t>2.1 Source selection and access</w:t>
      </w:r>
    </w:p>
    <w:p w14:paraId="042A1D50">
      <w:pPr>
        <w:pStyle w:val="19"/>
        <w:widowControl/>
        <w:spacing w:before="0" w:after="100"/>
        <w:ind w:left="0" w:firstLine="0"/>
        <w:jc w:val="left"/>
      </w:pPr>
      <w:r>
        <w:rPr>
          <w:rFonts w:ascii="Times New Roman" w:hAnsi="Times New Roman" w:eastAsia="Times New Roman"/>
          <w:b w:val="0"/>
          <w:i w:val="0"/>
          <w:sz w:val="21"/>
        </w:rPr>
        <w:t>Yahoo Finance was selected because it provides the required daily historical price fields for the chosen securities and can be accessed reproducibly through yfinance. The Python package yfinance is a third-party open-source client: it is not affiliated with, endorsed by, or vetted by Yahoo. Its project documentation states that it is intended for research and educational use and that use of downloaded data remains subject to Yahoo's terms (Aroussi, 2026). It is therefore suitable for this coursework workflow, but it is not treated as a licensed, execution-grade, or regulated market-data feed.</w:t>
      </w:r>
    </w:p>
    <w:p w14:paraId="645C3CA8">
      <w:pPr>
        <w:pStyle w:val="19"/>
        <w:widowControl/>
        <w:spacing w:before="0" w:after="100"/>
        <w:ind w:left="0" w:firstLine="0"/>
        <w:jc w:val="left"/>
      </w:pPr>
      <w:r>
        <w:t>No API key is required. Access is established by creating a Python virtual environment and installing the version-pinned direct dependencies in requirements.txt; that file is not represented as a generated transitive lock. The script calls yfinance.download with explicit parameters instead of relying on defaults. With auto_adjust=False it requests unadjusted OHLC data and retains Adj Close; repair=False disables optional repair. yfinance defines start as inclusive and end as exclusive, so the script adds one calendar day to the inclusive command-line end date (Aroussi, n.d.).</w:t>
      </w:r>
    </w:p>
    <w:p w14:paraId="372BD73B">
      <w:pPr>
        <w:pStyle w:val="15"/>
        <w:keepNext/>
        <w:widowControl/>
        <w:spacing w:before="60" w:after="60"/>
      </w:pPr>
      <w:r>
        <w:rPr>
          <w:rFonts w:ascii="Arial" w:hAnsi="Arial" w:eastAsia="Arial" w:cs="Arial"/>
          <w:b/>
          <w:i w:val="0"/>
          <w:color w:val="12324B"/>
          <w:sz w:val="18"/>
          <w:lang w:val="en-GB" w:eastAsia="en-GB" w:bidi="en-GB"/>
        </w:rPr>
        <w:t>Table 3. Key acquisition parameters</w:t>
      </w:r>
    </w:p>
    <w:tbl>
      <w:tblPr>
        <w:tblStyle w:val="32"/>
        <w:tblW w:w="9891"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2232"/>
        <w:gridCol w:w="2951"/>
        <w:gridCol w:w="4708"/>
      </w:tblGrid>
      <w:tr w14:paraId="03FD08A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2232" w:type="dxa"/>
            <w:shd w:val="clear" w:color="auto" w:fill="12324B"/>
            <w:tcMar>
              <w:top w:w="75" w:type="dxa"/>
              <w:left w:w="85" w:type="dxa"/>
              <w:bottom w:w="75" w:type="dxa"/>
              <w:right w:w="85" w:type="dxa"/>
            </w:tcMar>
            <w:vAlign w:val="center"/>
          </w:tcPr>
          <w:p w14:paraId="02858BBB">
            <w:pPr>
              <w:spacing w:after="0" w:line="240" w:lineRule="auto"/>
              <w:jc w:val="center"/>
            </w:pPr>
            <w:r>
              <w:rPr>
                <w:rFonts w:ascii="Arial" w:hAnsi="Arial" w:eastAsia="Arial" w:cs="Arial"/>
                <w:b/>
                <w:i w:val="0"/>
                <w:color w:val="FFFFFF"/>
                <w:sz w:val="16"/>
                <w:lang w:val="en-GB" w:eastAsia="en-GB" w:bidi="en-GB"/>
              </w:rPr>
              <w:t>Parameter</w:t>
            </w:r>
          </w:p>
        </w:tc>
        <w:tc>
          <w:tcPr>
            <w:tcW w:w="2951" w:type="dxa"/>
            <w:shd w:val="clear" w:color="auto" w:fill="12324B"/>
            <w:tcMar>
              <w:top w:w="75" w:type="dxa"/>
              <w:left w:w="85" w:type="dxa"/>
              <w:bottom w:w="75" w:type="dxa"/>
              <w:right w:w="85" w:type="dxa"/>
            </w:tcMar>
            <w:vAlign w:val="center"/>
          </w:tcPr>
          <w:p w14:paraId="479FB67B">
            <w:pPr>
              <w:spacing w:after="0" w:line="240" w:lineRule="auto"/>
              <w:jc w:val="center"/>
            </w:pPr>
            <w:r>
              <w:rPr>
                <w:rFonts w:ascii="Arial" w:hAnsi="Arial" w:eastAsia="Arial" w:cs="Arial"/>
                <w:b/>
                <w:i w:val="0"/>
                <w:color w:val="FFFFFF"/>
                <w:sz w:val="16"/>
                <w:lang w:val="en-GB" w:eastAsia="en-GB" w:bidi="en-GB"/>
              </w:rPr>
              <w:t>Value</w:t>
            </w:r>
          </w:p>
        </w:tc>
        <w:tc>
          <w:tcPr>
            <w:tcW w:w="4708" w:type="dxa"/>
            <w:shd w:val="clear" w:color="auto" w:fill="12324B"/>
            <w:tcMar>
              <w:top w:w="75" w:type="dxa"/>
              <w:left w:w="85" w:type="dxa"/>
              <w:bottom w:w="75" w:type="dxa"/>
              <w:right w:w="85" w:type="dxa"/>
            </w:tcMar>
            <w:vAlign w:val="center"/>
          </w:tcPr>
          <w:p w14:paraId="3CCA95BA">
            <w:pPr>
              <w:spacing w:after="0" w:line="240" w:lineRule="auto"/>
              <w:jc w:val="center"/>
            </w:pPr>
            <w:r>
              <w:rPr>
                <w:rFonts w:ascii="Arial" w:hAnsi="Arial" w:eastAsia="Arial" w:cs="Arial"/>
                <w:b/>
                <w:i w:val="0"/>
                <w:color w:val="FFFFFF"/>
                <w:sz w:val="16"/>
                <w:lang w:val="en-GB" w:eastAsia="en-GB" w:bidi="en-GB"/>
              </w:rPr>
              <w:t>Purpose</w:t>
            </w:r>
          </w:p>
        </w:tc>
      </w:tr>
      <w:tr w14:paraId="47CF7DF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tcMar>
              <w:top w:w="68" w:type="dxa"/>
              <w:left w:w="85" w:type="dxa"/>
              <w:bottom w:w="68" w:type="dxa"/>
              <w:right w:w="85" w:type="dxa"/>
            </w:tcMar>
            <w:vAlign w:val="center"/>
          </w:tcPr>
          <w:p w14:paraId="6B22274C">
            <w:pPr>
              <w:spacing w:after="0" w:line="240" w:lineRule="auto"/>
              <w:jc w:val="left"/>
            </w:pPr>
            <w:r>
              <w:rPr>
                <w:rFonts w:ascii="Times New Roman" w:hAnsi="Times New Roman" w:eastAsia="Times New Roman" w:cs="Times New Roman"/>
                <w:b w:val="0"/>
                <w:i w:val="0"/>
                <w:color w:val="20262B"/>
                <w:sz w:val="17"/>
                <w:lang w:val="en-GB" w:eastAsia="en-GB" w:bidi="en-GB"/>
              </w:rPr>
              <w:t>tickers</w:t>
            </w:r>
          </w:p>
        </w:tc>
        <w:tc>
          <w:tcPr>
            <w:tcW w:w="2951" w:type="dxa"/>
            <w:tcMar>
              <w:top w:w="68" w:type="dxa"/>
              <w:left w:w="85" w:type="dxa"/>
              <w:bottom w:w="68" w:type="dxa"/>
              <w:right w:w="85" w:type="dxa"/>
            </w:tcMar>
            <w:vAlign w:val="center"/>
          </w:tcPr>
          <w:p>
            <w:r>
              <w:t>Loaded from selected_companies.csv; submitted values AAPL, MSFT, GOOGL, AMZN, NVDA</w:t>
            </w:r>
          </w:p>
        </w:tc>
        <w:tc>
          <w:tcPr>
            <w:tcW w:w="4708" w:type="dxa"/>
            <w:tcMar>
              <w:top w:w="68" w:type="dxa"/>
              <w:left w:w="85" w:type="dxa"/>
              <w:bottom w:w="68" w:type="dxa"/>
              <w:right w:w="85" w:type="dxa"/>
            </w:tcMar>
            <w:vAlign w:val="center"/>
          </w:tcPr>
          <w:p w14:paraId="1CEEF9D4">
            <w:pPr>
              <w:spacing w:after="0" w:line="240" w:lineRule="auto"/>
              <w:jc w:val="left"/>
            </w:pPr>
            <w:bookmarkStart w:id="0" w:name="_GoBack"/>
            <w:r>
              <w:rPr>
                <w:rFonts w:hint="default" w:ascii="Times New Roman" w:hAnsi="Times New Roman" w:eastAsia="宋体" w:cs="Times New Roman"/>
                <w:sz w:val="17"/>
                <w:szCs w:val="17"/>
              </w:rPr>
              <w:t>One security processed at a time; up to three provider requests per security</w:t>
            </w:r>
            <w:bookmarkEnd w:id="0"/>
          </w:p>
        </w:tc>
      </w:tr>
      <w:tr w14:paraId="6D4DE20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shd w:val="clear" w:color="auto" w:fill="F2F4F7"/>
            <w:tcMar>
              <w:top w:w="68" w:type="dxa"/>
              <w:left w:w="85" w:type="dxa"/>
              <w:bottom w:w="68" w:type="dxa"/>
              <w:right w:w="85" w:type="dxa"/>
            </w:tcMar>
            <w:vAlign w:val="center"/>
          </w:tcPr>
          <w:p w14:paraId="6F3F98F7">
            <w:pPr>
              <w:spacing w:after="0" w:line="240" w:lineRule="auto"/>
              <w:jc w:val="left"/>
            </w:pPr>
            <w:r>
              <w:rPr>
                <w:rFonts w:ascii="Times New Roman" w:hAnsi="Times New Roman" w:eastAsia="Times New Roman" w:cs="Times New Roman"/>
                <w:b w:val="0"/>
                <w:i w:val="0"/>
                <w:color w:val="20262B"/>
                <w:sz w:val="17"/>
                <w:lang w:val="en-GB" w:eastAsia="en-GB" w:bidi="en-GB"/>
              </w:rPr>
              <w:t>start / end</w:t>
            </w:r>
          </w:p>
        </w:tc>
        <w:tc>
          <w:tcPr>
            <w:tcW w:w="2951" w:type="dxa"/>
            <w:shd w:val="clear" w:color="auto" w:fill="F2F4F7"/>
            <w:tcMar>
              <w:top w:w="68" w:type="dxa"/>
              <w:left w:w="85" w:type="dxa"/>
              <w:bottom w:w="68" w:type="dxa"/>
              <w:right w:w="85" w:type="dxa"/>
            </w:tcMar>
            <w:vAlign w:val="center"/>
          </w:tcPr>
          <w:p w14:paraId="33A75DFA">
            <w:pPr>
              <w:spacing w:after="0" w:line="240" w:lineRule="auto"/>
              <w:jc w:val="left"/>
            </w:pPr>
            <w:r>
              <w:rPr>
                <w:rFonts w:ascii="Times New Roman" w:hAnsi="Times New Roman" w:eastAsia="Times New Roman" w:cs="Times New Roman"/>
                <w:b w:val="0"/>
                <w:i w:val="0"/>
                <w:color w:val="20262B"/>
                <w:sz w:val="17"/>
                <w:lang w:val="en-GB" w:eastAsia="en-GB" w:bidi="en-GB"/>
              </w:rPr>
              <w:t>2021-01-01 / 2026-01-01 provider end</w:t>
            </w:r>
          </w:p>
        </w:tc>
        <w:tc>
          <w:tcPr>
            <w:tcW w:w="4708" w:type="dxa"/>
            <w:shd w:val="clear" w:color="auto" w:fill="F2F4F7"/>
            <w:tcMar>
              <w:top w:w="68" w:type="dxa"/>
              <w:left w:w="85" w:type="dxa"/>
              <w:bottom w:w="68" w:type="dxa"/>
              <w:right w:w="85" w:type="dxa"/>
            </w:tcMar>
            <w:vAlign w:val="center"/>
          </w:tcPr>
          <w:p w14:paraId="7E330EBD">
            <w:pPr>
              <w:spacing w:after="0" w:line="240" w:lineRule="auto"/>
              <w:jc w:val="left"/>
            </w:pPr>
            <w:r>
              <w:rPr>
                <w:rFonts w:ascii="Times New Roman" w:hAnsi="Times New Roman" w:eastAsia="Times New Roman" w:cs="Times New Roman"/>
                <w:b w:val="0"/>
                <w:i w:val="0"/>
                <w:color w:val="20262B"/>
                <w:sz w:val="17"/>
                <w:lang w:val="en-GB" w:eastAsia="en-GB" w:bidi="en-GB"/>
              </w:rPr>
              <w:t>Captures 2021-01-01 through 2025-12-31 inclusively</w:t>
            </w:r>
          </w:p>
        </w:tc>
      </w:tr>
      <w:tr w14:paraId="75F5825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tcMar>
              <w:top w:w="68" w:type="dxa"/>
              <w:left w:w="85" w:type="dxa"/>
              <w:bottom w:w="68" w:type="dxa"/>
              <w:right w:w="85" w:type="dxa"/>
            </w:tcMar>
            <w:vAlign w:val="center"/>
          </w:tcPr>
          <w:p w14:paraId="2A586A47">
            <w:pPr>
              <w:spacing w:after="0" w:line="240" w:lineRule="auto"/>
              <w:jc w:val="left"/>
            </w:pPr>
            <w:r>
              <w:rPr>
                <w:rFonts w:ascii="Times New Roman" w:hAnsi="Times New Roman" w:eastAsia="Times New Roman" w:cs="Times New Roman"/>
                <w:b w:val="0"/>
                <w:i w:val="0"/>
                <w:color w:val="20262B"/>
                <w:sz w:val="17"/>
                <w:lang w:val="en-GB" w:eastAsia="en-GB" w:bidi="en-GB"/>
              </w:rPr>
              <w:t>interval</w:t>
            </w:r>
          </w:p>
        </w:tc>
        <w:tc>
          <w:tcPr>
            <w:tcW w:w="2951" w:type="dxa"/>
            <w:tcMar>
              <w:top w:w="68" w:type="dxa"/>
              <w:left w:w="85" w:type="dxa"/>
              <w:bottom w:w="68" w:type="dxa"/>
              <w:right w:w="85" w:type="dxa"/>
            </w:tcMar>
            <w:vAlign w:val="center"/>
          </w:tcPr>
          <w:p w14:paraId="22FB0964">
            <w:pPr>
              <w:spacing w:after="0" w:line="240" w:lineRule="auto"/>
              <w:jc w:val="left"/>
            </w:pPr>
            <w:r>
              <w:rPr>
                <w:rFonts w:ascii="Times New Roman" w:hAnsi="Times New Roman" w:eastAsia="Times New Roman" w:cs="Times New Roman"/>
                <w:b w:val="0"/>
                <w:i w:val="0"/>
                <w:color w:val="20262B"/>
                <w:sz w:val="17"/>
                <w:lang w:val="en-GB" w:eastAsia="en-GB" w:bidi="en-GB"/>
              </w:rPr>
              <w:t>1d</w:t>
            </w:r>
          </w:p>
        </w:tc>
        <w:tc>
          <w:tcPr>
            <w:tcW w:w="4708" w:type="dxa"/>
            <w:tcMar>
              <w:top w:w="68" w:type="dxa"/>
              <w:left w:w="85" w:type="dxa"/>
              <w:bottom w:w="68" w:type="dxa"/>
              <w:right w:w="85" w:type="dxa"/>
            </w:tcMar>
            <w:vAlign w:val="center"/>
          </w:tcPr>
          <w:p w14:paraId="3C32416D">
            <w:pPr>
              <w:spacing w:after="0" w:line="240" w:lineRule="auto"/>
              <w:jc w:val="left"/>
            </w:pPr>
            <w:r>
              <w:rPr>
                <w:rFonts w:ascii="Times New Roman" w:hAnsi="Times New Roman" w:eastAsia="Times New Roman" w:cs="Times New Roman"/>
                <w:b w:val="0"/>
                <w:i w:val="0"/>
                <w:color w:val="20262B"/>
                <w:sz w:val="17"/>
                <w:lang w:val="en-GB" w:eastAsia="en-GB" w:bidi="en-GB"/>
              </w:rPr>
              <w:t>Daily observations</w:t>
            </w:r>
          </w:p>
        </w:tc>
      </w:tr>
      <w:tr w14:paraId="4FA4C14E">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shd w:val="clear" w:color="auto" w:fill="F2F4F7"/>
            <w:tcMar>
              <w:top w:w="68" w:type="dxa"/>
              <w:left w:w="85" w:type="dxa"/>
              <w:bottom w:w="68" w:type="dxa"/>
              <w:right w:w="85" w:type="dxa"/>
            </w:tcMar>
            <w:vAlign w:val="center"/>
          </w:tcPr>
          <w:p w14:paraId="33ECC4BB">
            <w:pPr>
              <w:spacing w:after="0" w:line="240" w:lineRule="auto"/>
              <w:jc w:val="left"/>
            </w:pPr>
            <w:r>
              <w:rPr>
                <w:rFonts w:ascii="Times New Roman" w:hAnsi="Times New Roman" w:eastAsia="Times New Roman" w:cs="Times New Roman"/>
                <w:b w:val="0"/>
                <w:i w:val="0"/>
                <w:color w:val="20262B"/>
                <w:sz w:val="17"/>
                <w:lang w:val="en-GB" w:eastAsia="en-GB" w:bidi="en-GB"/>
              </w:rPr>
              <w:t>auto_adjust</w:t>
            </w:r>
          </w:p>
        </w:tc>
        <w:tc>
          <w:tcPr>
            <w:tcW w:w="2951" w:type="dxa"/>
            <w:shd w:val="clear" w:color="auto" w:fill="F2F4F7"/>
            <w:tcMar>
              <w:top w:w="68" w:type="dxa"/>
              <w:left w:w="85" w:type="dxa"/>
              <w:bottom w:w="68" w:type="dxa"/>
              <w:right w:w="85" w:type="dxa"/>
            </w:tcMar>
            <w:vAlign w:val="center"/>
          </w:tcPr>
          <w:p w14:paraId="218366CD">
            <w:pPr>
              <w:spacing w:after="0" w:line="240" w:lineRule="auto"/>
              <w:jc w:val="left"/>
            </w:pPr>
            <w:r>
              <w:rPr>
                <w:rFonts w:ascii="Times New Roman" w:hAnsi="Times New Roman" w:eastAsia="Times New Roman" w:cs="Times New Roman"/>
                <w:b w:val="0"/>
                <w:i w:val="0"/>
                <w:color w:val="20262B"/>
                <w:sz w:val="17"/>
                <w:lang w:val="en-GB" w:eastAsia="en-GB" w:bidi="en-GB"/>
              </w:rPr>
              <w:t>False</w:t>
            </w:r>
          </w:p>
        </w:tc>
        <w:tc>
          <w:tcPr>
            <w:tcW w:w="4708" w:type="dxa"/>
            <w:shd w:val="clear" w:color="auto" w:fill="F2F4F7"/>
            <w:tcMar>
              <w:top w:w="68" w:type="dxa"/>
              <w:left w:w="85" w:type="dxa"/>
              <w:bottom w:w="68" w:type="dxa"/>
              <w:right w:w="85" w:type="dxa"/>
            </w:tcMar>
            <w:vAlign w:val="center"/>
          </w:tcPr>
          <w:p w14:paraId="72318CD7">
            <w:pPr>
              <w:spacing w:after="0" w:line="240" w:lineRule="auto"/>
              <w:jc w:val="left"/>
            </w:pPr>
            <w:r>
              <w:rPr>
                <w:rFonts w:ascii="Times New Roman" w:hAnsi="Times New Roman" w:eastAsia="Times New Roman"/>
                <w:b w:val="0"/>
                <w:sz w:val="17"/>
              </w:rPr>
              <w:t>Requests unadjusted OHLC values and retains Adj Close separately</w:t>
            </w:r>
          </w:p>
        </w:tc>
      </w:tr>
      <w:tr w14:paraId="58B4BF1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tcMar>
              <w:top w:w="68" w:type="dxa"/>
              <w:left w:w="85" w:type="dxa"/>
              <w:bottom w:w="68" w:type="dxa"/>
              <w:right w:w="85" w:type="dxa"/>
            </w:tcMar>
            <w:vAlign w:val="center"/>
          </w:tcPr>
          <w:p w14:paraId="2EEE2FCE">
            <w:pPr>
              <w:spacing w:after="0" w:line="240" w:lineRule="auto"/>
              <w:jc w:val="left"/>
            </w:pPr>
            <w:r>
              <w:rPr>
                <w:rFonts w:ascii="Times New Roman" w:hAnsi="Times New Roman" w:eastAsia="Times New Roman" w:cs="Times New Roman"/>
                <w:b w:val="0"/>
                <w:i w:val="0"/>
                <w:color w:val="20262B"/>
                <w:sz w:val="17"/>
                <w:lang w:val="en-GB" w:eastAsia="en-GB" w:bidi="en-GB"/>
              </w:rPr>
              <w:t>repair</w:t>
            </w:r>
          </w:p>
        </w:tc>
        <w:tc>
          <w:tcPr>
            <w:tcW w:w="2951" w:type="dxa"/>
            <w:tcMar>
              <w:top w:w="68" w:type="dxa"/>
              <w:left w:w="85" w:type="dxa"/>
              <w:bottom w:w="68" w:type="dxa"/>
              <w:right w:w="85" w:type="dxa"/>
            </w:tcMar>
            <w:vAlign w:val="center"/>
          </w:tcPr>
          <w:p w14:paraId="57A3CF0F">
            <w:pPr>
              <w:spacing w:after="0" w:line="240" w:lineRule="auto"/>
              <w:jc w:val="left"/>
            </w:pPr>
            <w:r>
              <w:rPr>
                <w:rFonts w:ascii="Times New Roman" w:hAnsi="Times New Roman" w:eastAsia="Times New Roman" w:cs="Times New Roman"/>
                <w:b w:val="0"/>
                <w:i w:val="0"/>
                <w:color w:val="20262B"/>
                <w:sz w:val="17"/>
                <w:lang w:val="en-GB" w:eastAsia="en-GB" w:bidi="en-GB"/>
              </w:rPr>
              <w:t>False</w:t>
            </w:r>
          </w:p>
        </w:tc>
        <w:tc>
          <w:tcPr>
            <w:tcW w:w="4708" w:type="dxa"/>
            <w:tcMar>
              <w:top w:w="68" w:type="dxa"/>
              <w:left w:w="85" w:type="dxa"/>
              <w:bottom w:w="68" w:type="dxa"/>
              <w:right w:w="85" w:type="dxa"/>
            </w:tcMar>
            <w:vAlign w:val="center"/>
          </w:tcPr>
          <w:p w14:paraId="14249568">
            <w:pPr>
              <w:spacing w:after="0" w:line="240" w:lineRule="auto"/>
              <w:jc w:val="left"/>
            </w:pPr>
            <w:r>
              <w:rPr>
                <w:rFonts w:ascii="Times New Roman" w:hAnsi="Times New Roman" w:eastAsia="Times New Roman"/>
                <w:b w:val="0"/>
                <w:sz w:val="17"/>
              </w:rPr>
              <w:t>Disables yfinance automated price repair</w:t>
            </w:r>
          </w:p>
        </w:tc>
      </w:tr>
      <w:tr w14:paraId="46B6010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shd w:val="clear" w:color="auto" w:fill="F2F4F7"/>
            <w:tcMar>
              <w:top w:w="68" w:type="dxa"/>
              <w:left w:w="85" w:type="dxa"/>
              <w:bottom w:w="68" w:type="dxa"/>
              <w:right w:w="85" w:type="dxa"/>
            </w:tcMar>
            <w:vAlign w:val="center"/>
          </w:tcPr>
          <w:p w14:paraId="4579A29C">
            <w:pPr>
              <w:spacing w:after="0" w:line="240" w:lineRule="auto"/>
              <w:jc w:val="left"/>
            </w:pPr>
            <w:r>
              <w:rPr>
                <w:rFonts w:ascii="Times New Roman" w:hAnsi="Times New Roman" w:eastAsia="Times New Roman" w:cs="Times New Roman"/>
                <w:b w:val="0"/>
                <w:i w:val="0"/>
                <w:color w:val="20262B"/>
                <w:sz w:val="17"/>
                <w:lang w:val="en-GB" w:eastAsia="en-GB" w:bidi="en-GB"/>
              </w:rPr>
              <w:t>actions / rounding</w:t>
            </w:r>
          </w:p>
        </w:tc>
        <w:tc>
          <w:tcPr>
            <w:tcW w:w="2951" w:type="dxa"/>
            <w:shd w:val="clear" w:color="auto" w:fill="F2F4F7"/>
            <w:tcMar>
              <w:top w:w="68" w:type="dxa"/>
              <w:left w:w="85" w:type="dxa"/>
              <w:bottom w:w="68" w:type="dxa"/>
              <w:right w:w="85" w:type="dxa"/>
            </w:tcMar>
            <w:vAlign w:val="center"/>
          </w:tcPr>
          <w:p w14:paraId="1287908B">
            <w:pPr>
              <w:spacing w:after="0" w:line="240" w:lineRule="auto"/>
              <w:jc w:val="left"/>
            </w:pPr>
            <w:r>
              <w:rPr>
                <w:rFonts w:ascii="Times New Roman" w:hAnsi="Times New Roman" w:eastAsia="Times New Roman" w:cs="Times New Roman"/>
                <w:b w:val="0"/>
                <w:i w:val="0"/>
                <w:color w:val="20262B"/>
                <w:sz w:val="17"/>
                <w:lang w:val="en-GB" w:eastAsia="en-GB" w:bidi="en-GB"/>
              </w:rPr>
              <w:t>False / False</w:t>
            </w:r>
          </w:p>
        </w:tc>
        <w:tc>
          <w:tcPr>
            <w:tcW w:w="4708" w:type="dxa"/>
            <w:shd w:val="clear" w:color="auto" w:fill="F2F4F7"/>
            <w:tcMar>
              <w:top w:w="68" w:type="dxa"/>
              <w:left w:w="85" w:type="dxa"/>
              <w:bottom w:w="68" w:type="dxa"/>
              <w:right w:w="85" w:type="dxa"/>
            </w:tcMar>
            <w:vAlign w:val="center"/>
          </w:tcPr>
          <w:p w14:paraId="15EC9A79">
            <w:pPr>
              <w:spacing w:after="0" w:line="240" w:lineRule="auto"/>
              <w:jc w:val="left"/>
            </w:pPr>
            <w:r>
              <w:rPr>
                <w:rFonts w:ascii="Times New Roman" w:hAnsi="Times New Roman" w:eastAsia="Times New Roman" w:cs="Times New Roman"/>
                <w:b w:val="0"/>
                <w:i w:val="0"/>
                <w:color w:val="20262B"/>
                <w:sz w:val="17"/>
                <w:lang w:val="en-GB" w:eastAsia="en-GB" w:bidi="en-GB"/>
              </w:rPr>
              <w:t>Excludes action rows and preserves returned precision</w:t>
            </w:r>
          </w:p>
        </w:tc>
      </w:tr>
      <w:tr w14:paraId="1F6A9CA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232" w:type="dxa"/>
            <w:tcMar>
              <w:top w:w="68" w:type="dxa"/>
              <w:left w:w="85" w:type="dxa"/>
              <w:bottom w:w="68" w:type="dxa"/>
              <w:right w:w="85" w:type="dxa"/>
            </w:tcMar>
            <w:vAlign w:val="center"/>
          </w:tcPr>
          <w:p w14:paraId="0C6F2A2E">
            <w:pPr>
              <w:spacing w:after="0" w:line="240" w:lineRule="auto"/>
              <w:jc w:val="left"/>
            </w:pPr>
            <w:r>
              <w:rPr>
                <w:rFonts w:ascii="Times New Roman" w:hAnsi="Times New Roman" w:eastAsia="Times New Roman" w:cs="Times New Roman"/>
                <w:b w:val="0"/>
                <w:i w:val="0"/>
                <w:color w:val="20262B"/>
                <w:sz w:val="17"/>
                <w:lang w:val="en-GB" w:eastAsia="en-GB" w:bidi="en-GB"/>
              </w:rPr>
              <w:t>threads / timeout</w:t>
            </w:r>
          </w:p>
        </w:tc>
        <w:tc>
          <w:tcPr>
            <w:tcW w:w="2951" w:type="dxa"/>
            <w:tcMar>
              <w:top w:w="68" w:type="dxa"/>
              <w:left w:w="85" w:type="dxa"/>
              <w:bottom w:w="68" w:type="dxa"/>
              <w:right w:w="85" w:type="dxa"/>
            </w:tcMar>
            <w:vAlign w:val="center"/>
          </w:tcPr>
          <w:p w14:paraId="4D7FC6C5">
            <w:pPr>
              <w:spacing w:after="0" w:line="240" w:lineRule="auto"/>
              <w:jc w:val="left"/>
            </w:pPr>
            <w:r>
              <w:rPr>
                <w:rFonts w:ascii="Times New Roman" w:hAnsi="Times New Roman" w:eastAsia="Times New Roman" w:cs="Times New Roman"/>
                <w:b w:val="0"/>
                <w:i w:val="0"/>
                <w:color w:val="20262B"/>
                <w:sz w:val="17"/>
                <w:lang w:val="en-GB" w:eastAsia="en-GB" w:bidi="en-GB"/>
              </w:rPr>
              <w:t>False / 30 seconds</w:t>
            </w:r>
          </w:p>
        </w:tc>
        <w:tc>
          <w:tcPr>
            <w:tcW w:w="4708" w:type="dxa"/>
            <w:tcMar>
              <w:top w:w="68" w:type="dxa"/>
              <w:left w:w="85" w:type="dxa"/>
              <w:bottom w:w="68" w:type="dxa"/>
              <w:right w:w="85" w:type="dxa"/>
            </w:tcMar>
            <w:vAlign w:val="center"/>
          </w:tcPr>
          <w:p w14:paraId="40230151">
            <w:pPr>
              <w:spacing w:after="0" w:line="240" w:lineRule="auto"/>
              <w:jc w:val="left"/>
            </w:pPr>
            <w:r>
              <w:rPr>
                <w:rFonts w:ascii="Times New Roman" w:hAnsi="Times New Roman" w:eastAsia="Times New Roman" w:cs="Times New Roman"/>
                <w:b w:val="0"/>
                <w:i w:val="0"/>
                <w:color w:val="20262B"/>
                <w:sz w:val="17"/>
                <w:lang w:val="en-GB" w:eastAsia="en-GB" w:bidi="en-GB"/>
              </w:rPr>
              <w:t>Deterministic single-security requests with a bounded wait</w:t>
            </w:r>
          </w:p>
        </w:tc>
      </w:tr>
    </w:tbl>
    <w:p w14:paraId="0E31F4D8">
      <w:pPr>
        <w:pStyle w:val="4"/>
        <w:widowControl/>
      </w:pPr>
      <w:r>
        <w:rPr>
          <w:rFonts w:ascii="Arial" w:hAnsi="Arial" w:eastAsia="Arial" w:cs="Arial"/>
          <w:b/>
          <w:sz w:val="23"/>
          <w:lang w:val="en-GB" w:eastAsia="en-GB" w:bidi="en-GB"/>
        </w:rPr>
        <w:t>2.2 Reproduction procedure</w:t>
      </w:r>
    </w:p>
    <w:p w14:paraId="5484F90F">
      <w:pPr>
        <w:pStyle w:val="19"/>
        <w:widowControl/>
        <w:spacing w:before="0" w:after="100"/>
        <w:ind w:left="0" w:firstLine="0"/>
        <w:jc w:val="left"/>
      </w:pPr>
      <w:r>
        <w:rPr>
          <w:rFonts w:ascii="Times New Roman" w:hAnsi="Times New Roman" w:eastAsia="Times New Roman" w:cs="Times New Roman"/>
          <w:b w:val="0"/>
          <w:i w:val="0"/>
          <w:sz w:val="21"/>
          <w:lang w:val="en-GB" w:eastAsia="en-GB" w:bidi="en-GB"/>
        </w:rPr>
        <w:t>From the project root on Windows, the data-collection and validation workflow can be reproduced using the following commands:</w:t>
      </w:r>
    </w:p>
    <w:p w14:paraId="5C4EDB2F">
      <w:pPr>
        <w:keepLines/>
        <w:widowControl/>
        <w:pBdr>
          <w:top w:val="single" w:color="D9E0E7" w:sz="4" w:space="5"/>
          <w:bottom w:val="single" w:color="D9E0E7" w:sz="4" w:space="5"/>
        </w:pBdr>
        <w:shd w:val="clear" w:fill="F2F4F7"/>
        <w:spacing w:before="60" w:after="60" w:line="240" w:lineRule="auto"/>
        <w:ind w:left="216" w:right="216"/>
      </w:pPr>
      <w:r>
        <w:t>py -m venv .venv</w:t>
        <w:br/>
        <w:t>.\.venv\Scripts\python.exe -m pip install -r requirements.txt</w:t>
        <w:br/>
        <w:t>.\.venv\Scripts\python.exe scripts\collect_stock_data.py</w:t>
        <w:br/>
        <w:t>.\.venv\Scripts\python.exe -m pytest -q</w:t>
      </w:r>
    </w:p>
    <w:p w14:paraId="6277A23D">
      <w:pPr>
        <w:pStyle w:val="15"/>
        <w:keepNext/>
        <w:widowControl/>
        <w:spacing w:before="60" w:after="60"/>
      </w:pPr>
      <w:r>
        <w:rPr>
          <w:rFonts w:ascii="Arial" w:hAnsi="Arial" w:eastAsia="Arial" w:cs="Arial"/>
          <w:b/>
          <w:i w:val="0"/>
          <w:color w:val="12324B"/>
          <w:sz w:val="18"/>
          <w:lang w:val="en-GB" w:eastAsia="en-GB" w:bidi="en-GB"/>
        </w:rPr>
        <w:t>Table 4. Recorded execution environment</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3096"/>
        <w:gridCol w:w="2232"/>
        <w:gridCol w:w="4564"/>
      </w:tblGrid>
      <w:tr w14:paraId="1CEE0B3D">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3096" w:type="dxa"/>
            <w:shd w:val="clear" w:color="auto" w:fill="12324B"/>
            <w:tcMar>
              <w:top w:w="75" w:type="dxa"/>
              <w:left w:w="85" w:type="dxa"/>
              <w:bottom w:w="75" w:type="dxa"/>
              <w:right w:w="85" w:type="dxa"/>
            </w:tcMar>
            <w:vAlign w:val="center"/>
          </w:tcPr>
          <w:p w14:paraId="0CD82AFD">
            <w:pPr>
              <w:spacing w:after="0" w:line="240" w:lineRule="auto"/>
              <w:jc w:val="center"/>
            </w:pPr>
            <w:r>
              <w:rPr>
                <w:rFonts w:ascii="Arial" w:hAnsi="Arial" w:eastAsia="Arial" w:cs="Arial"/>
                <w:b/>
                <w:i w:val="0"/>
                <w:color w:val="FFFFFF"/>
                <w:sz w:val="16"/>
                <w:lang w:val="en-GB" w:eastAsia="en-GB" w:bidi="en-GB"/>
              </w:rPr>
              <w:t>Component</w:t>
            </w:r>
          </w:p>
        </w:tc>
        <w:tc>
          <w:tcPr>
            <w:tcW w:w="2232" w:type="dxa"/>
            <w:shd w:val="clear" w:color="auto" w:fill="12324B"/>
            <w:tcMar>
              <w:top w:w="75" w:type="dxa"/>
              <w:left w:w="85" w:type="dxa"/>
              <w:bottom w:w="75" w:type="dxa"/>
              <w:right w:w="85" w:type="dxa"/>
            </w:tcMar>
            <w:vAlign w:val="center"/>
          </w:tcPr>
          <w:p w14:paraId="6E80BFC3">
            <w:pPr>
              <w:spacing w:after="0" w:line="240" w:lineRule="auto"/>
              <w:jc w:val="center"/>
            </w:pPr>
            <w:r>
              <w:rPr>
                <w:rFonts w:ascii="Arial" w:hAnsi="Arial" w:eastAsia="Arial" w:cs="Arial"/>
                <w:b/>
                <w:i w:val="0"/>
                <w:color w:val="FFFFFF"/>
                <w:sz w:val="16"/>
                <w:lang w:val="en-GB" w:eastAsia="en-GB" w:bidi="en-GB"/>
              </w:rPr>
              <w:t>Version / value</w:t>
            </w:r>
          </w:p>
        </w:tc>
        <w:tc>
          <w:tcPr>
            <w:tcW w:w="4564" w:type="dxa"/>
            <w:shd w:val="clear" w:color="auto" w:fill="12324B"/>
            <w:tcMar>
              <w:top w:w="75" w:type="dxa"/>
              <w:left w:w="85" w:type="dxa"/>
              <w:bottom w:w="75" w:type="dxa"/>
              <w:right w:w="85" w:type="dxa"/>
            </w:tcMar>
            <w:vAlign w:val="center"/>
          </w:tcPr>
          <w:p w14:paraId="376EC981">
            <w:pPr>
              <w:spacing w:after="0" w:line="240" w:lineRule="auto"/>
              <w:jc w:val="center"/>
            </w:pPr>
            <w:r>
              <w:rPr>
                <w:rFonts w:ascii="Arial" w:hAnsi="Arial" w:eastAsia="Arial" w:cs="Arial"/>
                <w:b/>
                <w:i w:val="0"/>
                <w:color w:val="FFFFFF"/>
                <w:sz w:val="16"/>
                <w:lang w:val="en-GB" w:eastAsia="en-GB" w:bidi="en-GB"/>
              </w:rPr>
              <w:t>Evidence</w:t>
            </w:r>
          </w:p>
        </w:tc>
      </w:tr>
      <w:tr w14:paraId="6C415EE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tcMar>
              <w:top w:w="68" w:type="dxa"/>
              <w:left w:w="85" w:type="dxa"/>
              <w:bottom w:w="68" w:type="dxa"/>
              <w:right w:w="85" w:type="dxa"/>
            </w:tcMar>
            <w:vAlign w:val="center"/>
          </w:tcPr>
          <w:p w14:paraId="66CF81B7">
            <w:pPr>
              <w:spacing w:after="0" w:line="240" w:lineRule="auto"/>
              <w:jc w:val="left"/>
            </w:pPr>
            <w:r>
              <w:rPr>
                <w:rFonts w:ascii="Times New Roman" w:hAnsi="Times New Roman" w:eastAsia="Times New Roman" w:cs="Times New Roman"/>
                <w:b w:val="0"/>
                <w:i w:val="0"/>
                <w:color w:val="20262B"/>
                <w:sz w:val="17"/>
                <w:lang w:val="en-GB" w:eastAsia="en-GB" w:bidi="en-GB"/>
              </w:rPr>
              <w:t>Python</w:t>
            </w:r>
          </w:p>
        </w:tc>
        <w:tc>
          <w:tcPr>
            <w:tcW w:w="2232" w:type="dxa"/>
            <w:tcMar>
              <w:top w:w="68" w:type="dxa"/>
              <w:left w:w="85" w:type="dxa"/>
              <w:bottom w:w="68" w:type="dxa"/>
              <w:right w:w="85" w:type="dxa"/>
            </w:tcMar>
            <w:vAlign w:val="center"/>
          </w:tcPr>
          <w:p w14:paraId="0FD9E47A">
            <w:pPr>
              <w:spacing w:after="0" w:line="240" w:lineRule="auto"/>
              <w:jc w:val="left"/>
            </w:pPr>
            <w:r>
              <w:rPr>
                <w:rFonts w:ascii="Times New Roman" w:hAnsi="Times New Roman" w:eastAsia="Times New Roman" w:cs="Times New Roman"/>
                <w:b w:val="0"/>
                <w:i w:val="0"/>
                <w:color w:val="20262B"/>
                <w:sz w:val="17"/>
                <w:lang w:val="en-GB" w:eastAsia="en-GB" w:bidi="en-GB"/>
              </w:rPr>
              <w:t>3.12.13</w:t>
            </w:r>
          </w:p>
        </w:tc>
        <w:tc>
          <w:tcPr>
            <w:tcW w:w="4564" w:type="dxa"/>
            <w:tcMar>
              <w:top w:w="68" w:type="dxa"/>
              <w:left w:w="85" w:type="dxa"/>
              <w:bottom w:w="68" w:type="dxa"/>
              <w:right w:w="85" w:type="dxa"/>
            </w:tcMar>
            <w:vAlign w:val="center"/>
          </w:tcPr>
          <w:p w14:paraId="0FF0230F">
            <w:pPr>
              <w:spacing w:after="0" w:line="240" w:lineRule="auto"/>
              <w:jc w:val="left"/>
            </w:pPr>
            <w:r>
              <w:rPr>
                <w:rFonts w:ascii="Times New Roman" w:hAnsi="Times New Roman" w:eastAsia="Times New Roman" w:cs="Times New Roman"/>
                <w:b w:val="0"/>
                <w:i w:val="0"/>
                <w:color w:val="20262B"/>
                <w:sz w:val="17"/>
                <w:lang w:val="en-GB" w:eastAsia="en-GB" w:bidi="en-GB"/>
              </w:rPr>
              <w:t>data/metadata/run_metadata.json</w:t>
            </w:r>
          </w:p>
        </w:tc>
      </w:tr>
      <w:tr w14:paraId="16D6E12D">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shd w:val="clear" w:color="auto" w:fill="F2F4F7"/>
            <w:tcMar>
              <w:top w:w="68" w:type="dxa"/>
              <w:left w:w="85" w:type="dxa"/>
              <w:bottom w:w="68" w:type="dxa"/>
              <w:right w:w="85" w:type="dxa"/>
            </w:tcMar>
            <w:vAlign w:val="center"/>
          </w:tcPr>
          <w:p w14:paraId="05D96CA2">
            <w:pPr>
              <w:spacing w:after="0" w:line="240" w:lineRule="auto"/>
              <w:jc w:val="left"/>
            </w:pPr>
            <w:r>
              <w:rPr>
                <w:rFonts w:ascii="Times New Roman" w:hAnsi="Times New Roman" w:eastAsia="Times New Roman" w:cs="Times New Roman"/>
                <w:b w:val="0"/>
                <w:i w:val="0"/>
                <w:color w:val="20262B"/>
                <w:sz w:val="17"/>
                <w:lang w:val="en-GB" w:eastAsia="en-GB" w:bidi="en-GB"/>
              </w:rPr>
              <w:t>Operating system</w:t>
            </w:r>
          </w:p>
        </w:tc>
        <w:tc>
          <w:tcPr>
            <w:tcW w:w="2232" w:type="dxa"/>
            <w:shd w:val="clear" w:color="auto" w:fill="F2F4F7"/>
            <w:tcMar>
              <w:top w:w="68" w:type="dxa"/>
              <w:left w:w="85" w:type="dxa"/>
              <w:bottom w:w="68" w:type="dxa"/>
              <w:right w:w="85" w:type="dxa"/>
            </w:tcMar>
            <w:vAlign w:val="center"/>
          </w:tcPr>
          <w:p w14:paraId="1652B0C2">
            <w:pPr>
              <w:spacing w:after="0" w:line="240" w:lineRule="auto"/>
              <w:jc w:val="left"/>
            </w:pPr>
            <w:r>
              <w:rPr>
                <w:rFonts w:ascii="Times New Roman" w:hAnsi="Times New Roman" w:eastAsia="Times New Roman" w:cs="Times New Roman"/>
                <w:b w:val="0"/>
                <w:i w:val="0"/>
                <w:color w:val="20262B"/>
                <w:sz w:val="17"/>
                <w:lang w:val="en-GB" w:eastAsia="en-GB" w:bidi="en-GB"/>
              </w:rPr>
              <w:t>Windows 11</w:t>
            </w:r>
          </w:p>
        </w:tc>
        <w:tc>
          <w:tcPr>
            <w:tcW w:w="4564" w:type="dxa"/>
            <w:shd w:val="clear" w:color="auto" w:fill="F2F4F7"/>
            <w:tcMar>
              <w:top w:w="68" w:type="dxa"/>
              <w:left w:w="85" w:type="dxa"/>
              <w:bottom w:w="68" w:type="dxa"/>
              <w:right w:w="85" w:type="dxa"/>
            </w:tcMar>
            <w:vAlign w:val="center"/>
          </w:tcPr>
          <w:p w14:paraId="0839E7D7">
            <w:pPr>
              <w:spacing w:after="0" w:line="240" w:lineRule="auto"/>
              <w:jc w:val="left"/>
            </w:pPr>
            <w:r>
              <w:rPr>
                <w:rFonts w:ascii="Times New Roman" w:hAnsi="Times New Roman" w:eastAsia="Times New Roman" w:cs="Times New Roman"/>
                <w:b w:val="0"/>
                <w:i w:val="0"/>
                <w:color w:val="20262B"/>
                <w:sz w:val="17"/>
                <w:lang w:val="en-GB" w:eastAsia="en-GB" w:bidi="en-GB"/>
              </w:rPr>
              <w:t>data/metadata/run_metadata.json</w:t>
            </w:r>
          </w:p>
        </w:tc>
      </w:tr>
      <w:tr w14:paraId="1D9F4FD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tcMar>
              <w:top w:w="68" w:type="dxa"/>
              <w:left w:w="85" w:type="dxa"/>
              <w:bottom w:w="68" w:type="dxa"/>
              <w:right w:w="85" w:type="dxa"/>
            </w:tcMar>
            <w:vAlign w:val="center"/>
          </w:tcPr>
          <w:p w14:paraId="257CF1A9">
            <w:pPr>
              <w:spacing w:after="0" w:line="240" w:lineRule="auto"/>
              <w:jc w:val="left"/>
            </w:pPr>
            <w:r>
              <w:rPr>
                <w:rFonts w:ascii="Times New Roman" w:hAnsi="Times New Roman" w:eastAsia="Times New Roman" w:cs="Times New Roman"/>
                <w:b w:val="0"/>
                <w:i w:val="0"/>
                <w:color w:val="20262B"/>
                <w:sz w:val="17"/>
                <w:lang w:val="en-GB" w:eastAsia="en-GB" w:bidi="en-GB"/>
              </w:rPr>
              <w:t>yfinance</w:t>
            </w:r>
          </w:p>
        </w:tc>
        <w:tc>
          <w:tcPr>
            <w:tcW w:w="2232" w:type="dxa"/>
            <w:tcMar>
              <w:top w:w="68" w:type="dxa"/>
              <w:left w:w="85" w:type="dxa"/>
              <w:bottom w:w="68" w:type="dxa"/>
              <w:right w:w="85" w:type="dxa"/>
            </w:tcMar>
            <w:vAlign w:val="center"/>
          </w:tcPr>
          <w:p w14:paraId="2DF76B7A">
            <w:pPr>
              <w:spacing w:after="0" w:line="240" w:lineRule="auto"/>
              <w:jc w:val="left"/>
            </w:pPr>
            <w:r>
              <w:rPr>
                <w:rFonts w:ascii="Times New Roman" w:hAnsi="Times New Roman" w:eastAsia="Times New Roman" w:cs="Times New Roman"/>
                <w:b w:val="0"/>
                <w:i w:val="0"/>
                <w:color w:val="20262B"/>
                <w:sz w:val="17"/>
                <w:lang w:val="en-GB" w:eastAsia="en-GB" w:bidi="en-GB"/>
              </w:rPr>
              <w:t>1.5.2</w:t>
            </w:r>
          </w:p>
        </w:tc>
        <w:tc>
          <w:tcPr>
            <w:tcW w:w="4564" w:type="dxa"/>
            <w:tcMar>
              <w:top w:w="68" w:type="dxa"/>
              <w:left w:w="85" w:type="dxa"/>
              <w:bottom w:w="68" w:type="dxa"/>
              <w:right w:w="85" w:type="dxa"/>
            </w:tcMar>
            <w:vAlign w:val="center"/>
          </w:tcPr>
          <w:p w14:paraId="03EC458F">
            <w:pPr>
              <w:spacing w:after="0" w:line="240" w:lineRule="auto"/>
              <w:jc w:val="left"/>
            </w:pPr>
            <w:r>
              <w:rPr>
                <w:rFonts w:ascii="Times New Roman" w:hAnsi="Times New Roman" w:eastAsia="Times New Roman" w:cs="Times New Roman"/>
                <w:b w:val="0"/>
                <w:i w:val="0"/>
                <w:color w:val="20262B"/>
                <w:sz w:val="17"/>
                <w:lang w:val="en-GB" w:eastAsia="en-GB" w:bidi="en-GB"/>
              </w:rPr>
              <w:t>requirements.txt and run metadata</w:t>
            </w:r>
          </w:p>
        </w:tc>
      </w:tr>
      <w:tr w14:paraId="4C06038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shd w:val="clear" w:color="auto" w:fill="F2F4F7"/>
            <w:tcMar>
              <w:top w:w="68" w:type="dxa"/>
              <w:left w:w="85" w:type="dxa"/>
              <w:bottom w:w="68" w:type="dxa"/>
              <w:right w:w="85" w:type="dxa"/>
            </w:tcMar>
            <w:vAlign w:val="center"/>
          </w:tcPr>
          <w:p w14:paraId="451DB2A5">
            <w:pPr>
              <w:spacing w:after="0" w:line="240" w:lineRule="auto"/>
              <w:jc w:val="left"/>
            </w:pPr>
            <w:r>
              <w:rPr>
                <w:rFonts w:ascii="Times New Roman" w:hAnsi="Times New Roman" w:eastAsia="Times New Roman" w:cs="Times New Roman"/>
                <w:b w:val="0"/>
                <w:i w:val="0"/>
                <w:color w:val="20262B"/>
                <w:sz w:val="17"/>
                <w:lang w:val="en-GB" w:eastAsia="en-GB" w:bidi="en-GB"/>
              </w:rPr>
              <w:t>pandas</w:t>
            </w:r>
          </w:p>
        </w:tc>
        <w:tc>
          <w:tcPr>
            <w:tcW w:w="2232" w:type="dxa"/>
            <w:shd w:val="clear" w:color="auto" w:fill="F2F4F7"/>
            <w:tcMar>
              <w:top w:w="68" w:type="dxa"/>
              <w:left w:w="85" w:type="dxa"/>
              <w:bottom w:w="68" w:type="dxa"/>
              <w:right w:w="85" w:type="dxa"/>
            </w:tcMar>
            <w:vAlign w:val="center"/>
          </w:tcPr>
          <w:p w14:paraId="5B794140">
            <w:pPr>
              <w:spacing w:after="0" w:line="240" w:lineRule="auto"/>
              <w:jc w:val="left"/>
            </w:pPr>
            <w:r>
              <w:rPr>
                <w:rFonts w:ascii="Times New Roman" w:hAnsi="Times New Roman" w:eastAsia="Times New Roman" w:cs="Times New Roman"/>
                <w:b w:val="0"/>
                <w:i w:val="0"/>
                <w:color w:val="20262B"/>
                <w:sz w:val="17"/>
                <w:lang w:val="en-GB" w:eastAsia="en-GB" w:bidi="en-GB"/>
              </w:rPr>
              <w:t>3.0.5</w:t>
            </w:r>
          </w:p>
        </w:tc>
        <w:tc>
          <w:tcPr>
            <w:tcW w:w="4564" w:type="dxa"/>
            <w:shd w:val="clear" w:color="auto" w:fill="F2F4F7"/>
            <w:tcMar>
              <w:top w:w="68" w:type="dxa"/>
              <w:left w:w="85" w:type="dxa"/>
              <w:bottom w:w="68" w:type="dxa"/>
              <w:right w:w="85" w:type="dxa"/>
            </w:tcMar>
            <w:vAlign w:val="center"/>
          </w:tcPr>
          <w:p w14:paraId="31738D90">
            <w:pPr>
              <w:spacing w:after="0" w:line="240" w:lineRule="auto"/>
              <w:jc w:val="left"/>
            </w:pPr>
            <w:r>
              <w:rPr>
                <w:rFonts w:ascii="Times New Roman" w:hAnsi="Times New Roman" w:eastAsia="Times New Roman" w:cs="Times New Roman"/>
                <w:b w:val="0"/>
                <w:i w:val="0"/>
                <w:color w:val="20262B"/>
                <w:sz w:val="17"/>
                <w:lang w:val="en-GB" w:eastAsia="en-GB" w:bidi="en-GB"/>
              </w:rPr>
              <w:t>requirements.txt and run metadata</w:t>
            </w:r>
          </w:p>
        </w:tc>
      </w:tr>
      <w:tr w14:paraId="2F1C103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tcMar>
              <w:top w:w="68" w:type="dxa"/>
              <w:left w:w="85" w:type="dxa"/>
              <w:bottom w:w="68" w:type="dxa"/>
              <w:right w:w="85" w:type="dxa"/>
            </w:tcMar>
            <w:vAlign w:val="center"/>
          </w:tcPr>
          <w:p w14:paraId="678DF018">
            <w:pPr>
              <w:spacing w:after="0" w:line="240" w:lineRule="auto"/>
              <w:jc w:val="left"/>
            </w:pPr>
            <w:r>
              <w:rPr>
                <w:rFonts w:ascii="Times New Roman" w:hAnsi="Times New Roman" w:eastAsia="Times New Roman" w:cs="Times New Roman"/>
                <w:b w:val="0"/>
                <w:i w:val="0"/>
                <w:color w:val="20262B"/>
                <w:sz w:val="17"/>
                <w:lang w:val="en-GB" w:eastAsia="en-GB" w:bidi="en-GB"/>
              </w:rPr>
              <w:t>pandas-market-calendars</w:t>
            </w:r>
          </w:p>
        </w:tc>
        <w:tc>
          <w:tcPr>
            <w:tcW w:w="2232" w:type="dxa"/>
            <w:tcMar>
              <w:top w:w="68" w:type="dxa"/>
              <w:left w:w="85" w:type="dxa"/>
              <w:bottom w:w="68" w:type="dxa"/>
              <w:right w:w="85" w:type="dxa"/>
            </w:tcMar>
            <w:vAlign w:val="center"/>
          </w:tcPr>
          <w:p w14:paraId="704AF393">
            <w:pPr>
              <w:spacing w:after="0" w:line="240" w:lineRule="auto"/>
              <w:jc w:val="left"/>
            </w:pPr>
            <w:r>
              <w:rPr>
                <w:rFonts w:ascii="Times New Roman" w:hAnsi="Times New Roman" w:eastAsia="Times New Roman" w:cs="Times New Roman"/>
                <w:b w:val="0"/>
                <w:i w:val="0"/>
                <w:color w:val="20262B"/>
                <w:sz w:val="17"/>
                <w:lang w:val="en-GB" w:eastAsia="en-GB" w:bidi="en-GB"/>
              </w:rPr>
              <w:t>5.4.0</w:t>
            </w:r>
          </w:p>
        </w:tc>
        <w:tc>
          <w:tcPr>
            <w:tcW w:w="4564" w:type="dxa"/>
            <w:tcMar>
              <w:top w:w="68" w:type="dxa"/>
              <w:left w:w="85" w:type="dxa"/>
              <w:bottom w:w="68" w:type="dxa"/>
              <w:right w:w="85" w:type="dxa"/>
            </w:tcMar>
            <w:vAlign w:val="center"/>
          </w:tcPr>
          <w:p w14:paraId="58A2B610">
            <w:pPr>
              <w:spacing w:after="0" w:line="240" w:lineRule="auto"/>
              <w:jc w:val="left"/>
            </w:pPr>
            <w:r>
              <w:rPr>
                <w:rFonts w:ascii="Times New Roman" w:hAnsi="Times New Roman" w:eastAsia="Times New Roman" w:cs="Times New Roman"/>
                <w:b w:val="0"/>
                <w:i w:val="0"/>
                <w:color w:val="20262B"/>
                <w:sz w:val="17"/>
                <w:lang w:val="en-GB" w:eastAsia="en-GB" w:bidi="en-GB"/>
              </w:rPr>
              <w:t>requirements.txt and run metadata</w:t>
            </w:r>
          </w:p>
        </w:tc>
      </w:tr>
      <w:tr w14:paraId="27AA43E3">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096" w:type="dxa"/>
            <w:shd w:val="clear" w:color="auto" w:fill="F2F4F7"/>
            <w:tcMar>
              <w:top w:w="68" w:type="dxa"/>
              <w:left w:w="85" w:type="dxa"/>
              <w:bottom w:w="68" w:type="dxa"/>
              <w:right w:w="85" w:type="dxa"/>
            </w:tcMar>
            <w:vAlign w:val="center"/>
          </w:tcPr>
          <w:p w14:paraId="59C5C4E6">
            <w:pPr>
              <w:spacing w:after="0" w:line="240" w:lineRule="auto"/>
              <w:jc w:val="left"/>
            </w:pPr>
            <w:r>
              <w:rPr>
                <w:rFonts w:ascii="Times New Roman" w:hAnsi="Times New Roman" w:eastAsia="Times New Roman" w:cs="Times New Roman"/>
                <w:b w:val="0"/>
                <w:i w:val="0"/>
                <w:color w:val="20262B"/>
                <w:sz w:val="17"/>
                <w:lang w:val="en-GB" w:eastAsia="en-GB" w:bidi="en-GB"/>
              </w:rPr>
              <w:t>pytest</w:t>
            </w:r>
          </w:p>
        </w:tc>
        <w:tc>
          <w:tcPr>
            <w:tcW w:w="2232" w:type="dxa"/>
            <w:shd w:val="clear" w:color="auto" w:fill="F2F4F7"/>
            <w:tcMar>
              <w:top w:w="68" w:type="dxa"/>
              <w:left w:w="85" w:type="dxa"/>
              <w:bottom w:w="68" w:type="dxa"/>
              <w:right w:w="85" w:type="dxa"/>
            </w:tcMar>
            <w:vAlign w:val="center"/>
          </w:tcPr>
          <w:p w14:paraId="3600034E">
            <w:pPr>
              <w:spacing w:after="0" w:line="240" w:lineRule="auto"/>
              <w:jc w:val="left"/>
            </w:pPr>
            <w:r>
              <w:rPr>
                <w:rFonts w:ascii="Times New Roman" w:hAnsi="Times New Roman" w:eastAsia="Times New Roman" w:cs="Times New Roman"/>
                <w:b w:val="0"/>
                <w:i w:val="0"/>
                <w:color w:val="20262B"/>
                <w:sz w:val="17"/>
                <w:lang w:val="en-GB" w:eastAsia="en-GB" w:bidi="en-GB"/>
              </w:rPr>
              <w:t>9.1.1</w:t>
            </w:r>
          </w:p>
        </w:tc>
        <w:tc>
          <w:tcPr>
            <w:tcW w:w="4564" w:type="dxa"/>
            <w:shd w:val="clear" w:color="auto" w:fill="F2F4F7"/>
            <w:tcMar>
              <w:top w:w="68" w:type="dxa"/>
              <w:left w:w="85" w:type="dxa"/>
              <w:bottom w:w="68" w:type="dxa"/>
              <w:right w:w="85" w:type="dxa"/>
            </w:tcMar>
            <w:vAlign w:val="center"/>
          </w:tcPr>
          <w:p w14:paraId="295E87C5">
            <w:pPr>
              <w:spacing w:after="0" w:line="240" w:lineRule="auto"/>
              <w:jc w:val="left"/>
            </w:pPr>
            <w:r>
              <w:rPr>
                <w:rFonts w:ascii="Times New Roman" w:hAnsi="Times New Roman" w:eastAsia="Times New Roman" w:cs="Times New Roman"/>
                <w:b w:val="0"/>
                <w:i w:val="0"/>
                <w:color w:val="20262B"/>
                <w:sz w:val="17"/>
                <w:lang w:val="en-GB" w:eastAsia="en-GB" w:bidi="en-GB"/>
              </w:rPr>
              <w:t>requirements.txt</w:t>
            </w:r>
          </w:p>
        </w:tc>
      </w:tr>
      <w:tr>
        <w:tc>
          <w:tcPr>
            <w:tcW w:type="dxa" w:w="3096"/>
          </w:tcPr>
          <w:p>
            <w:r>
              <w:t>exchange-calendars</w:t>
            </w:r>
          </w:p>
        </w:tc>
        <w:tc>
          <w:tcPr>
            <w:tcW w:type="dxa" w:w="2232"/>
          </w:tcPr>
          <w:p>
            <w:r>
              <w:t>4.13.2</w:t>
            </w:r>
          </w:p>
        </w:tc>
        <w:tc>
          <w:tcPr>
            <w:tcW w:type="dxa" w:w="4564"/>
          </w:tcPr>
          <w:p>
            <w:r>
              <w:t>requirements.txt and independent package check</w:t>
            </w:r>
          </w:p>
        </w:tc>
      </w:tr>
    </w:tbl>
    <w:p w14:paraId="013B4FA2">
      <w:pPr>
        <w:pStyle w:val="19"/>
        <w:widowControl/>
        <w:spacing w:before="0" w:after="100"/>
        <w:ind w:left="0" w:firstLine="0"/>
        <w:jc w:val="left"/>
      </w:pPr>
      <w:r>
        <w:t>Reproducibility evidence includes run_id, UTC timing fields, requested and observed boundaries, exact direct package versions, source URLs, row counts, validation results, and a SHA-256 digest for each submitted market-data file. Because a provider may revise history, the digests identify the exact CSV files submitted. Post-run verification recalculated every digest, reopened all five CSVs, reproduced the expected session set, and independently compared a small close-price sample.</w:t>
      </w:r>
    </w:p>
    <w:p w14:paraId="013B4FA2">
      <w:pPr>
        <w:pStyle w:val="19"/>
        <w:widowControl/>
        <w:spacing w:before="0" w:after="100"/>
        <w:ind w:left="0" w:firstLine="0"/>
        <w:jc w:val="left"/>
      </w:pPr>
      <w:r>
        <w:t>Continuous integration is configured in .github/workflows/tests.yml for pushes, pull requests, and manual dispatch. On Python 3.12 it installs the pinned requirements, runs pip check, compiles the collection script, and executes the deterministic pytest suite without live provider downloads. All 24 tests passed locally on 4 August 2026. This submitted folder is not a Git repository, so the workflow is described as configured and ready to use; no GitHub-hosted execution is claimed.</w:t>
      </w:r>
    </w:p>
    <w:p w14:paraId="100713B4">
      <w:pPr>
        <w:widowControl/>
      </w:pPr>
      <w:r>
        <w:rPr>
          <w:rFonts w:ascii="Times New Roman" w:hAnsi="Times New Roman" w:eastAsia="Times New Roman" w:cs="Times New Roman"/>
          <w:sz w:val="21"/>
          <w:lang w:val="en-GB" w:eastAsia="en-GB" w:bidi="en-GB"/>
        </w:rPr>
        <w:br w:type="page"/>
      </w:r>
    </w:p>
    <w:p w14:paraId="736C45E8">
      <w:pPr>
        <w:pStyle w:val="3"/>
        <w:widowControl/>
      </w:pPr>
      <w:r>
        <w:rPr>
          <w:rFonts w:ascii="Arial" w:hAnsi="Arial" w:eastAsia="Arial" w:cs="Arial"/>
          <w:b/>
          <w:sz w:val="28"/>
          <w:lang w:val="en-GB" w:eastAsia="en-GB" w:bidi="en-GB"/>
        </w:rPr>
        <w:t>3. Collection and Validation Method</w:t>
      </w:r>
    </w:p>
    <w:p w14:paraId="160D4B61">
      <w:pPr>
        <w:pStyle w:val="4"/>
        <w:widowControl/>
      </w:pPr>
      <w:r>
        <w:rPr>
          <w:rFonts w:ascii="Arial" w:hAnsi="Arial" w:eastAsia="Arial" w:cs="Arial"/>
          <w:b/>
          <w:sz w:val="23"/>
          <w:lang w:val="en-GB" w:eastAsia="en-GB" w:bidi="en-GB"/>
        </w:rPr>
        <w:t>3.1 Acquisition workflow</w:t>
      </w: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0B9C8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35FE8460">
            <w:pPr>
              <w:spacing w:after="0" w:line="240" w:lineRule="auto"/>
              <w:jc w:val="center"/>
            </w:pPr>
            <w:r>
              <w:rPr>
                <w:rFonts w:ascii="Arial" w:hAnsi="Arial" w:eastAsia="Arial" w:cs="Arial"/>
                <w:b/>
                <w:i w:val="0"/>
                <w:color w:val="FFFFFF"/>
                <w:sz w:val="18"/>
                <w:lang w:val="en-GB" w:eastAsia="en-GB" w:bidi="en-GB"/>
              </w:rPr>
              <w:t>1</w:t>
            </w:r>
          </w:p>
        </w:tc>
        <w:tc>
          <w:tcPr>
            <w:tcW w:w="9043" w:type="dxa"/>
            <w:tcMar>
              <w:top w:w="45" w:type="dxa"/>
              <w:left w:w="95" w:type="dxa"/>
              <w:bottom w:w="45" w:type="dxa"/>
              <w:right w:w="95" w:type="dxa"/>
            </w:tcMar>
          </w:tcPr>
          <w:p>
            <w:r>
              <w:t>Load configuration. Validate config/selected_companies.csv, then normalize and de-duplicate the ordered ticker universe; --tickers may override selection.</w:t>
            </w:r>
          </w:p>
        </w:tc>
      </w:tr>
    </w:tbl>
    <w:p w14:paraId="6D0C4B46">
      <w:pPr>
        <w:widowControl/>
        <w:spacing w:after="0"/>
      </w:pP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025B7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3084BB34">
            <w:pPr>
              <w:spacing w:after="0" w:line="240" w:lineRule="auto"/>
              <w:jc w:val="center"/>
            </w:pPr>
            <w:r>
              <w:rPr>
                <w:rFonts w:ascii="Arial" w:hAnsi="Arial" w:eastAsia="Arial" w:cs="Arial"/>
                <w:b/>
                <w:i w:val="0"/>
                <w:color w:val="FFFFFF"/>
                <w:sz w:val="18"/>
                <w:lang w:val="en-GB" w:eastAsia="en-GB" w:bidi="en-GB"/>
              </w:rPr>
              <w:t>2</w:t>
            </w:r>
          </w:p>
        </w:tc>
        <w:tc>
          <w:tcPr>
            <w:tcW w:w="9043" w:type="dxa"/>
            <w:tcMar>
              <w:top w:w="45" w:type="dxa"/>
              <w:left w:w="95" w:type="dxa"/>
              <w:bottom w:w="45" w:type="dxa"/>
              <w:right w:w="95" w:type="dxa"/>
            </w:tcMar>
          </w:tcPr>
          <w:p w14:paraId="58C47BCC">
            <w:pPr>
              <w:spacing w:after="0" w:line="240" w:lineRule="auto"/>
            </w:pPr>
            <w:r>
              <w:rPr>
                <w:rFonts w:ascii="Times New Roman" w:hAnsi="Times New Roman" w:eastAsia="Times New Roman" w:cs="Times New Roman"/>
                <w:b w:val="0"/>
                <w:i w:val="0"/>
                <w:color w:val="12324B"/>
                <w:sz w:val="18"/>
                <w:lang w:val="en-GB" w:eastAsia="en-GB" w:bidi="en-GB"/>
              </w:rPr>
              <w:t xml:space="preserve">Construct the expected calendar. </w:t>
            </w:r>
            <w:r>
              <w:rPr>
                <w:rFonts w:ascii="Times New Roman" w:hAnsi="Times New Roman" w:eastAsia="Times New Roman" w:cs="Times New Roman"/>
                <w:b w:val="0"/>
                <w:i w:val="0"/>
                <w:color w:val="20262B"/>
                <w:sz w:val="18"/>
                <w:lang w:val="en-GB" w:eastAsia="en-GB" w:bidi="en-GB"/>
              </w:rPr>
              <w:t>Generate all scheduled NASDAQ sessions inside the inclusive study interval using pandas-market-calendars 5.4.0 (Sheftel, 2026).</w:t>
            </w:r>
          </w:p>
        </w:tc>
      </w:tr>
    </w:tbl>
    <w:p w14:paraId="366A1CB2">
      <w:pPr>
        <w:widowControl/>
        <w:spacing w:after="0"/>
      </w:pP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57AA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788F7B8C">
            <w:pPr>
              <w:spacing w:after="0" w:line="240" w:lineRule="auto"/>
              <w:jc w:val="center"/>
            </w:pPr>
            <w:r>
              <w:rPr>
                <w:rFonts w:ascii="Arial" w:hAnsi="Arial" w:eastAsia="Arial" w:cs="Arial"/>
                <w:b/>
                <w:i w:val="0"/>
                <w:color w:val="FFFFFF"/>
                <w:sz w:val="18"/>
                <w:lang w:val="en-GB" w:eastAsia="en-GB" w:bidi="en-GB"/>
              </w:rPr>
              <w:t>3</w:t>
            </w:r>
          </w:p>
        </w:tc>
        <w:tc>
          <w:tcPr>
            <w:tcW w:w="9043" w:type="dxa"/>
            <w:tcMar>
              <w:top w:w="45" w:type="dxa"/>
              <w:left w:w="95" w:type="dxa"/>
              <w:bottom w:w="45" w:type="dxa"/>
              <w:right w:w="95" w:type="dxa"/>
            </w:tcMar>
          </w:tcPr>
          <w:p w14:paraId="7C4264AC">
            <w:pPr>
              <w:spacing w:after="0" w:line="240" w:lineRule="auto"/>
            </w:pPr>
            <w:r>
              <w:rPr>
                <w:rFonts w:ascii="Times New Roman" w:hAnsi="Times New Roman" w:eastAsia="Times New Roman"/>
                <w:b w:val="0"/>
                <w:sz w:val="17"/>
              </w:rPr>
              <w:t>Download one security at a time. Request a daily DataFrame with explicit adjustment, repair, rounding, threading, and timeout settings. Up to three provider requests in total are permitted per security, with exponential backoff between failed attempts.</w:t>
            </w:r>
          </w:p>
        </w:tc>
      </w:tr>
    </w:tbl>
    <w:p w14:paraId="6C59FEB6">
      <w:pPr>
        <w:widowControl/>
        <w:spacing w:after="0"/>
      </w:pP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67FAE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0ABCDC04">
            <w:pPr>
              <w:spacing w:after="0" w:line="240" w:lineRule="auto"/>
              <w:jc w:val="center"/>
            </w:pPr>
            <w:r>
              <w:rPr>
                <w:rFonts w:ascii="Arial" w:hAnsi="Arial" w:eastAsia="Arial" w:cs="Arial"/>
                <w:b/>
                <w:i w:val="0"/>
                <w:color w:val="FFFFFF"/>
                <w:sz w:val="18"/>
                <w:lang w:val="en-GB" w:eastAsia="en-GB" w:bidi="en-GB"/>
              </w:rPr>
              <w:t>4</w:t>
            </w:r>
          </w:p>
        </w:tc>
        <w:tc>
          <w:tcPr>
            <w:tcW w:w="9043" w:type="dxa"/>
            <w:tcMar>
              <w:top w:w="45" w:type="dxa"/>
              <w:left w:w="95" w:type="dxa"/>
              <w:bottom w:w="45" w:type="dxa"/>
              <w:right w:w="95" w:type="dxa"/>
            </w:tcMar>
          </w:tcPr>
          <w:p w14:paraId="288EC5A0">
            <w:pPr>
              <w:spacing w:after="0" w:line="240" w:lineRule="auto"/>
            </w:pPr>
            <w:r>
              <w:rPr>
                <w:rFonts w:ascii="Times New Roman" w:hAnsi="Times New Roman" w:eastAsia="Times New Roman" w:cs="Times New Roman"/>
                <w:b w:val="0"/>
                <w:i w:val="0"/>
                <w:color w:val="12324B"/>
                <w:sz w:val="18"/>
                <w:lang w:val="en-GB" w:eastAsia="en-GB" w:bidi="en-GB"/>
              </w:rPr>
              <w:t xml:space="preserve">Normalize the provider response. </w:t>
            </w:r>
            <w:r>
              <w:rPr>
                <w:rFonts w:ascii="Times New Roman" w:hAnsi="Times New Roman" w:eastAsia="Times New Roman" w:cs="Times New Roman"/>
                <w:b w:val="0"/>
                <w:i w:val="0"/>
                <w:color w:val="20262B"/>
                <w:sz w:val="18"/>
                <w:lang w:val="en-GB" w:eastAsia="en-GB" w:bidi="en-GB"/>
              </w:rPr>
              <w:t>Flatten any provider-specific column index, convert dates to session dates, select the ordered schema, and coerce price and volume fields to numeric values.</w:t>
            </w:r>
          </w:p>
        </w:tc>
      </w:tr>
    </w:tbl>
    <w:p w14:paraId="6372F9F4">
      <w:pPr>
        <w:widowControl/>
        <w:spacing w:after="0"/>
      </w:pP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581C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36F5DB89">
            <w:pPr>
              <w:spacing w:after="0" w:line="240" w:lineRule="auto"/>
              <w:jc w:val="center"/>
            </w:pPr>
            <w:r>
              <w:rPr>
                <w:rFonts w:ascii="Arial" w:hAnsi="Arial" w:eastAsia="Arial" w:cs="Arial"/>
                <w:b/>
                <w:i w:val="0"/>
                <w:color w:val="FFFFFF"/>
                <w:sz w:val="18"/>
                <w:lang w:val="en-GB" w:eastAsia="en-GB" w:bidi="en-GB"/>
              </w:rPr>
              <w:t>5</w:t>
            </w:r>
          </w:p>
        </w:tc>
        <w:tc>
          <w:tcPr>
            <w:tcW w:w="9043" w:type="dxa"/>
            <w:tcMar>
              <w:top w:w="45" w:type="dxa"/>
              <w:left w:w="95" w:type="dxa"/>
              <w:bottom w:w="45" w:type="dxa"/>
              <w:right w:w="95" w:type="dxa"/>
            </w:tcMar>
          </w:tcPr>
          <w:p w14:paraId="5D22AE7D">
            <w:pPr>
              <w:spacing w:after="0" w:line="240" w:lineRule="auto"/>
            </w:pPr>
            <w:r>
              <w:rPr>
                <w:rFonts w:ascii="Times New Roman" w:hAnsi="Times New Roman" w:eastAsia="Times New Roman" w:cs="Times New Roman"/>
                <w:b w:val="0"/>
                <w:i w:val="0"/>
                <w:sz w:val="18"/>
                <w:lang w:val="en-GB" w:eastAsia="en-GB" w:bidi="en-GB"/>
              </w:rPr>
              <w:t>Validate before persistence. Hold data in memory until each security satisfies the internal acceptance rules and its configured independent close sample is within tolerance. In strict mode, a failed security prevents publication of a new raw CSV set or manifest.</w:t>
            </w:r>
          </w:p>
        </w:tc>
      </w:tr>
    </w:tbl>
    <w:p w14:paraId="20E24F3B">
      <w:pPr>
        <w:widowControl/>
        <w:spacing w:after="0"/>
      </w:pPr>
    </w:p>
    <w:tbl>
      <w:tblPr>
        <w:tblStyle w:val="32"/>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Ind w:type="dxa" w:w="120"/>
      </w:tblPr>
      <w:tblGrid>
        <w:gridCol w:w="748"/>
        <w:gridCol w:w="9043"/>
      </w:tblGrid>
      <w:tr w14:paraId="26C9B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48" w:type="dxa"/>
            <w:shd w:val="clear" w:color="auto" w:fill="2E75B6"/>
            <w:tcMar>
              <w:top w:w="45" w:type="dxa"/>
              <w:left w:w="45" w:type="dxa"/>
              <w:bottom w:w="45" w:type="dxa"/>
              <w:right w:w="45" w:type="dxa"/>
            </w:tcMar>
            <w:vAlign w:val="center"/>
          </w:tcPr>
          <w:p w14:paraId="0E835292">
            <w:pPr>
              <w:spacing w:after="0" w:line="240" w:lineRule="auto"/>
              <w:jc w:val="center"/>
            </w:pPr>
            <w:r>
              <w:rPr>
                <w:rFonts w:ascii="Arial" w:hAnsi="Arial" w:eastAsia="Arial" w:cs="Arial"/>
                <w:b/>
                <w:i w:val="0"/>
                <w:color w:val="FFFFFF"/>
                <w:sz w:val="18"/>
                <w:lang w:val="en-GB" w:eastAsia="en-GB" w:bidi="en-GB"/>
              </w:rPr>
              <w:t>6</w:t>
            </w:r>
          </w:p>
        </w:tc>
        <w:tc>
          <w:tcPr>
            <w:tcW w:w="9043" w:type="dxa"/>
            <w:tcMar>
              <w:top w:w="45" w:type="dxa"/>
              <w:left w:w="95" w:type="dxa"/>
              <w:bottom w:w="45" w:type="dxa"/>
              <w:right w:w="95" w:type="dxa"/>
            </w:tcMar>
          </w:tcPr>
          <w:p>
            <w:r>
              <w:t>Stage and publish auditable outputs. Build a complete data-directory snapshot in a sibling staging path, hash every raw CSV, preserve auxiliary failure evidence, back up the preceding data directory, install the staged snapshot by rename, and commit SUCCESS/PARTIAL only after it is live.</w:t>
            </w:r>
          </w:p>
        </w:tc>
      </w:tr>
    </w:tbl>
    <w:p w14:paraId="28850FF1">
      <w:pPr>
        <w:widowControl/>
        <w:spacing w:after="0"/>
      </w:pPr>
    </w:p>
    <w:p w14:paraId="7C3D4044">
      <w:pPr>
        <w:pStyle w:val="4"/>
        <w:widowControl/>
      </w:pPr>
      <w:r>
        <w:rPr>
          <w:rFonts w:ascii="Arial" w:hAnsi="Arial" w:eastAsia="Arial" w:cs="Arial"/>
          <w:b/>
          <w:sz w:val="23"/>
          <w:lang w:val="en-GB" w:eastAsia="en-GB" w:bidi="en-GB"/>
        </w:rPr>
        <w:t>3.2 Validation framework</w:t>
      </w:r>
    </w:p>
    <w:p w14:paraId="31404FD0">
      <w:pPr>
        <w:pStyle w:val="19"/>
        <w:widowControl/>
        <w:spacing w:before="0" w:after="100"/>
        <w:ind w:left="0" w:firstLine="0"/>
        <w:jc w:val="left"/>
      </w:pPr>
      <w:r>
        <w:t>Completeness is evaluated against scheduled U.S.-equity sessions rather than all weekdays, so weekends and market holidays are not misclassified as missing. In the pinned pandas-market-calendars 5.4.0 package, the requested NASDAQ name is an alias implemented by its NYSE calendar; run metadata records both the requested and implementation names. For 2021-01-01 through 2025-12-31, an independent exchange_calendars 4.13.2 XNAS/XNYS calculation produced the identical 1,255-date set. The alias therefore does not affect this submission's completeness result, but the software calendar remains versioned rather than a live exchange feed.</w:t>
      </w:r>
    </w:p>
    <w:p w14:paraId="4DA705B6">
      <w:pPr>
        <w:pStyle w:val="15"/>
        <w:keepNext/>
        <w:widowControl/>
        <w:spacing w:before="60" w:after="60"/>
      </w:pPr>
      <w:r>
        <w:rPr>
          <w:rFonts w:ascii="Arial" w:hAnsi="Arial" w:eastAsia="Arial" w:cs="Arial"/>
          <w:b/>
          <w:i w:val="0"/>
          <w:color w:val="12324B"/>
          <w:sz w:val="18"/>
          <w:lang w:val="en-GB" w:eastAsia="en-GB" w:bidi="en-GB"/>
        </w:rPr>
        <w:t>Table 5. Acceptance rules and observed outcomes</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2376"/>
        <w:gridCol w:w="5256"/>
        <w:gridCol w:w="2260"/>
      </w:tblGrid>
      <w:tr w14:paraId="5811364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2376" w:type="dxa"/>
            <w:shd w:val="clear" w:color="auto" w:fill="12324B"/>
            <w:tcMar>
              <w:top w:w="75" w:type="dxa"/>
              <w:left w:w="85" w:type="dxa"/>
              <w:bottom w:w="75" w:type="dxa"/>
              <w:right w:w="85" w:type="dxa"/>
            </w:tcMar>
            <w:vAlign w:val="center"/>
          </w:tcPr>
          <w:p w14:paraId="6D75E3C2">
            <w:pPr>
              <w:spacing w:after="0" w:line="240" w:lineRule="auto"/>
              <w:jc w:val="center"/>
            </w:pPr>
            <w:r>
              <w:rPr>
                <w:rFonts w:ascii="Arial" w:hAnsi="Arial" w:eastAsia="Arial" w:cs="Arial"/>
                <w:b/>
                <w:i w:val="0"/>
                <w:color w:val="FFFFFF"/>
                <w:sz w:val="16"/>
                <w:lang w:val="en-GB" w:eastAsia="en-GB" w:bidi="en-GB"/>
              </w:rPr>
              <w:t>Validation dimension</w:t>
            </w:r>
          </w:p>
        </w:tc>
        <w:tc>
          <w:tcPr>
            <w:tcW w:w="5256" w:type="dxa"/>
            <w:shd w:val="clear" w:color="auto" w:fill="12324B"/>
            <w:tcMar>
              <w:top w:w="75" w:type="dxa"/>
              <w:left w:w="85" w:type="dxa"/>
              <w:bottom w:w="75" w:type="dxa"/>
              <w:right w:w="85" w:type="dxa"/>
            </w:tcMar>
            <w:vAlign w:val="center"/>
          </w:tcPr>
          <w:p w14:paraId="404A1865">
            <w:pPr>
              <w:spacing w:after="0" w:line="240" w:lineRule="auto"/>
              <w:jc w:val="center"/>
            </w:pPr>
            <w:r>
              <w:rPr>
                <w:rFonts w:ascii="Arial" w:hAnsi="Arial" w:eastAsia="Arial" w:cs="Arial"/>
                <w:b/>
                <w:i w:val="0"/>
                <w:color w:val="FFFFFF"/>
                <w:sz w:val="16"/>
                <w:lang w:val="en-GB" w:eastAsia="en-GB" w:bidi="en-GB"/>
              </w:rPr>
              <w:t>Acceptance rule</w:t>
            </w:r>
          </w:p>
        </w:tc>
        <w:tc>
          <w:tcPr>
            <w:tcW w:w="2260" w:type="dxa"/>
            <w:shd w:val="clear" w:color="auto" w:fill="12324B"/>
            <w:tcMar>
              <w:top w:w="75" w:type="dxa"/>
              <w:left w:w="85" w:type="dxa"/>
              <w:bottom w:w="75" w:type="dxa"/>
              <w:right w:w="85" w:type="dxa"/>
            </w:tcMar>
            <w:vAlign w:val="center"/>
          </w:tcPr>
          <w:p w14:paraId="5CB887E8">
            <w:pPr>
              <w:spacing w:after="0" w:line="240" w:lineRule="auto"/>
              <w:jc w:val="center"/>
            </w:pPr>
            <w:r>
              <w:rPr>
                <w:rFonts w:ascii="Arial" w:hAnsi="Arial" w:eastAsia="Arial" w:cs="Arial"/>
                <w:b/>
                <w:i w:val="0"/>
                <w:color w:val="FFFFFF"/>
                <w:sz w:val="16"/>
                <w:lang w:val="en-GB" w:eastAsia="en-GB" w:bidi="en-GB"/>
              </w:rPr>
              <w:t>Observed result</w:t>
            </w:r>
          </w:p>
        </w:tc>
      </w:tr>
      <w:tr w14:paraId="19E8403D">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tcMar>
              <w:top w:w="68" w:type="dxa"/>
              <w:left w:w="85" w:type="dxa"/>
              <w:bottom w:w="68" w:type="dxa"/>
              <w:right w:w="85" w:type="dxa"/>
            </w:tcMar>
            <w:vAlign w:val="center"/>
          </w:tcPr>
          <w:p w14:paraId="2F33D2EE">
            <w:pPr>
              <w:spacing w:after="0" w:line="240" w:lineRule="auto"/>
              <w:jc w:val="left"/>
            </w:pPr>
            <w:r>
              <w:rPr>
                <w:rFonts w:ascii="Times New Roman" w:hAnsi="Times New Roman" w:eastAsia="Times New Roman" w:cs="Times New Roman"/>
                <w:b w:val="0"/>
                <w:i w:val="0"/>
                <w:color w:val="20262B"/>
                <w:sz w:val="17"/>
                <w:lang w:val="en-GB" w:eastAsia="en-GB" w:bidi="en-GB"/>
              </w:rPr>
              <w:t>Schema</w:t>
            </w:r>
          </w:p>
        </w:tc>
        <w:tc>
          <w:tcPr>
            <w:tcW w:w="5256" w:type="dxa"/>
            <w:tcMar>
              <w:top w:w="68" w:type="dxa"/>
              <w:left w:w="85" w:type="dxa"/>
              <w:bottom w:w="68" w:type="dxa"/>
              <w:right w:w="85" w:type="dxa"/>
            </w:tcMar>
            <w:vAlign w:val="center"/>
          </w:tcPr>
          <w:p w14:paraId="1B35F577">
            <w:pPr>
              <w:spacing w:after="0" w:line="240" w:lineRule="auto"/>
              <w:jc w:val="left"/>
            </w:pPr>
            <w:r>
              <w:rPr>
                <w:rFonts w:ascii="Times New Roman" w:hAnsi="Times New Roman" w:eastAsia="Times New Roman" w:cs="Times New Roman"/>
                <w:b w:val="0"/>
                <w:i w:val="0"/>
                <w:color w:val="20262B"/>
                <w:sz w:val="17"/>
                <w:lang w:val="en-GB" w:eastAsia="en-GB" w:bidi="en-GB"/>
              </w:rPr>
              <w:t>Exactly Date, Open, High, Low, Close, Adj Close, Volume</w:t>
            </w:r>
          </w:p>
        </w:tc>
        <w:tc>
          <w:tcPr>
            <w:tcW w:w="2260" w:type="dxa"/>
            <w:tcMar>
              <w:top w:w="68" w:type="dxa"/>
              <w:left w:w="85" w:type="dxa"/>
              <w:bottom w:w="68" w:type="dxa"/>
              <w:right w:w="85" w:type="dxa"/>
            </w:tcMar>
            <w:vAlign w:val="center"/>
          </w:tcPr>
          <w:p w14:paraId="3E611A5C">
            <w:pPr>
              <w:spacing w:after="0" w:line="240" w:lineRule="auto"/>
              <w:jc w:val="left"/>
            </w:pPr>
            <w:r>
              <w:rPr>
                <w:rFonts w:ascii="Times New Roman" w:hAnsi="Times New Roman" w:eastAsia="Times New Roman" w:cs="Times New Roman"/>
                <w:b w:val="0"/>
                <w:i w:val="0"/>
                <w:color w:val="20262B"/>
                <w:sz w:val="17"/>
                <w:lang w:val="en-GB" w:eastAsia="en-GB" w:bidi="en-GB"/>
              </w:rPr>
              <w:t>5/5 PASS</w:t>
            </w:r>
          </w:p>
        </w:tc>
      </w:tr>
      <w:tr w14:paraId="188C74F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shd w:val="clear" w:color="auto" w:fill="F2F4F7"/>
            <w:tcMar>
              <w:top w:w="68" w:type="dxa"/>
              <w:left w:w="85" w:type="dxa"/>
              <w:bottom w:w="68" w:type="dxa"/>
              <w:right w:w="85" w:type="dxa"/>
            </w:tcMar>
            <w:vAlign w:val="center"/>
          </w:tcPr>
          <w:p w14:paraId="2BB4363C">
            <w:pPr>
              <w:spacing w:after="0" w:line="240" w:lineRule="auto"/>
              <w:jc w:val="left"/>
            </w:pPr>
            <w:r>
              <w:rPr>
                <w:rFonts w:ascii="Times New Roman" w:hAnsi="Times New Roman" w:eastAsia="Times New Roman" w:cs="Times New Roman"/>
                <w:b w:val="0"/>
                <w:i w:val="0"/>
                <w:color w:val="20262B"/>
                <w:sz w:val="17"/>
                <w:lang w:val="en-GB" w:eastAsia="en-GB" w:bidi="en-GB"/>
              </w:rPr>
              <w:t>Coverage</w:t>
            </w:r>
          </w:p>
        </w:tc>
        <w:tc>
          <w:tcPr>
            <w:tcW w:w="5256" w:type="dxa"/>
            <w:shd w:val="clear" w:color="auto" w:fill="F2F4F7"/>
            <w:tcMar>
              <w:top w:w="68" w:type="dxa"/>
              <w:left w:w="85" w:type="dxa"/>
              <w:bottom w:w="68" w:type="dxa"/>
              <w:right w:w="85" w:type="dxa"/>
            </w:tcMar>
            <w:vAlign w:val="center"/>
          </w:tcPr>
          <w:p>
            <w:r>
              <w:t>One row for every scheduled U.S.-equity session requested through the NASDAQ alias</w:t>
            </w:r>
          </w:p>
        </w:tc>
        <w:tc>
          <w:tcPr>
            <w:tcW w:w="2260" w:type="dxa"/>
            <w:shd w:val="clear" w:color="auto" w:fill="F2F4F7"/>
            <w:tcMar>
              <w:top w:w="68" w:type="dxa"/>
              <w:left w:w="85" w:type="dxa"/>
              <w:bottom w:w="68" w:type="dxa"/>
              <w:right w:w="85" w:type="dxa"/>
            </w:tcMar>
            <w:vAlign w:val="center"/>
          </w:tcPr>
          <w:p w14:paraId="3CF708B3">
            <w:pPr>
              <w:spacing w:after="0" w:line="240" w:lineRule="auto"/>
              <w:jc w:val="left"/>
            </w:pPr>
            <w:r>
              <w:rPr>
                <w:rFonts w:ascii="Times New Roman" w:hAnsi="Times New Roman" w:eastAsia="Times New Roman" w:cs="Times New Roman"/>
                <w:b w:val="0"/>
                <w:i w:val="0"/>
                <w:color w:val="20262B"/>
                <w:sz w:val="17"/>
                <w:lang w:val="en-GB" w:eastAsia="en-GB" w:bidi="en-GB"/>
              </w:rPr>
              <w:t>0 missing sessions</w:t>
            </w:r>
          </w:p>
        </w:tc>
      </w:tr>
      <w:tr w14:paraId="54281DF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tcMar>
              <w:top w:w="68" w:type="dxa"/>
              <w:left w:w="85" w:type="dxa"/>
              <w:bottom w:w="68" w:type="dxa"/>
              <w:right w:w="85" w:type="dxa"/>
            </w:tcMar>
            <w:vAlign w:val="center"/>
          </w:tcPr>
          <w:p w14:paraId="56054974">
            <w:pPr>
              <w:spacing w:after="0" w:line="240" w:lineRule="auto"/>
              <w:jc w:val="left"/>
            </w:pPr>
            <w:r>
              <w:rPr>
                <w:rFonts w:ascii="Times New Roman" w:hAnsi="Times New Roman" w:eastAsia="Times New Roman" w:cs="Times New Roman"/>
                <w:b w:val="0"/>
                <w:i w:val="0"/>
                <w:color w:val="20262B"/>
                <w:sz w:val="17"/>
                <w:lang w:val="en-GB" w:eastAsia="en-GB" w:bidi="en-GB"/>
              </w:rPr>
              <w:t>Dates</w:t>
            </w:r>
          </w:p>
        </w:tc>
        <w:tc>
          <w:tcPr>
            <w:tcW w:w="5256" w:type="dxa"/>
            <w:tcMar>
              <w:top w:w="68" w:type="dxa"/>
              <w:left w:w="85" w:type="dxa"/>
              <w:bottom w:w="68" w:type="dxa"/>
              <w:right w:w="85" w:type="dxa"/>
            </w:tcMar>
            <w:vAlign w:val="center"/>
          </w:tcPr>
          <w:p w14:paraId="2B9A2733">
            <w:pPr>
              <w:spacing w:after="0" w:line="240" w:lineRule="auto"/>
              <w:jc w:val="left"/>
            </w:pPr>
            <w:r>
              <w:rPr>
                <w:rFonts w:ascii="Times New Roman" w:hAnsi="Times New Roman" w:eastAsia="Times New Roman" w:cs="Times New Roman"/>
                <w:b w:val="0"/>
                <w:i w:val="0"/>
                <w:color w:val="20262B"/>
                <w:sz w:val="17"/>
                <w:lang w:val="en-GB" w:eastAsia="en-GB" w:bidi="en-GB"/>
              </w:rPr>
              <w:t>Parseable, unique, ascending, and within the interval</w:t>
            </w:r>
          </w:p>
        </w:tc>
        <w:tc>
          <w:tcPr>
            <w:tcW w:w="2260" w:type="dxa"/>
            <w:tcMar>
              <w:top w:w="68" w:type="dxa"/>
              <w:left w:w="85" w:type="dxa"/>
              <w:bottom w:w="68" w:type="dxa"/>
              <w:right w:w="85" w:type="dxa"/>
            </w:tcMar>
            <w:vAlign w:val="center"/>
          </w:tcPr>
          <w:p w14:paraId="398558F6">
            <w:pPr>
              <w:spacing w:after="0" w:line="240" w:lineRule="auto"/>
              <w:jc w:val="left"/>
            </w:pPr>
            <w:r>
              <w:rPr>
                <w:rFonts w:ascii="Times New Roman" w:hAnsi="Times New Roman" w:eastAsia="Times New Roman" w:cs="Times New Roman"/>
                <w:b w:val="0"/>
                <w:i w:val="0"/>
                <w:color w:val="20262B"/>
                <w:sz w:val="17"/>
                <w:lang w:val="en-GB" w:eastAsia="en-GB" w:bidi="en-GB"/>
              </w:rPr>
              <w:t>0 violations</w:t>
            </w:r>
          </w:p>
        </w:tc>
      </w:tr>
      <w:tr w14:paraId="5FFAFDB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shd w:val="clear" w:color="auto" w:fill="F2F4F7"/>
            <w:tcMar>
              <w:top w:w="68" w:type="dxa"/>
              <w:left w:w="85" w:type="dxa"/>
              <w:bottom w:w="68" w:type="dxa"/>
              <w:right w:w="85" w:type="dxa"/>
            </w:tcMar>
            <w:vAlign w:val="center"/>
          </w:tcPr>
          <w:p w14:paraId="792918F5">
            <w:pPr>
              <w:spacing w:after="0" w:line="240" w:lineRule="auto"/>
              <w:jc w:val="left"/>
            </w:pPr>
            <w:r>
              <w:rPr>
                <w:rFonts w:ascii="Times New Roman" w:hAnsi="Times New Roman" w:eastAsia="Times New Roman" w:cs="Times New Roman"/>
                <w:b w:val="0"/>
                <w:i w:val="0"/>
                <w:color w:val="20262B"/>
                <w:sz w:val="17"/>
                <w:lang w:val="en-GB" w:eastAsia="en-GB" w:bidi="en-GB"/>
              </w:rPr>
              <w:t>Completeness</w:t>
            </w:r>
          </w:p>
        </w:tc>
        <w:tc>
          <w:tcPr>
            <w:tcW w:w="5256" w:type="dxa"/>
            <w:shd w:val="clear" w:color="auto" w:fill="F2F4F7"/>
            <w:tcMar>
              <w:top w:w="68" w:type="dxa"/>
              <w:left w:w="85" w:type="dxa"/>
              <w:bottom w:w="68" w:type="dxa"/>
              <w:right w:w="85" w:type="dxa"/>
            </w:tcMar>
            <w:vAlign w:val="center"/>
          </w:tcPr>
          <w:p w14:paraId="23228549">
            <w:pPr>
              <w:spacing w:after="0" w:line="240" w:lineRule="auto"/>
              <w:jc w:val="left"/>
            </w:pPr>
            <w:r>
              <w:rPr>
                <w:rFonts w:ascii="Times New Roman" w:hAnsi="Times New Roman" w:eastAsia="Times New Roman" w:cs="Times New Roman"/>
                <w:b w:val="0"/>
                <w:i w:val="0"/>
                <w:color w:val="20262B"/>
                <w:sz w:val="17"/>
                <w:lang w:val="en-GB" w:eastAsia="en-GB" w:bidi="en-GB"/>
              </w:rPr>
              <w:t>No missing or non-finite numeric values</w:t>
            </w:r>
          </w:p>
        </w:tc>
        <w:tc>
          <w:tcPr>
            <w:tcW w:w="2260" w:type="dxa"/>
            <w:shd w:val="clear" w:color="auto" w:fill="F2F4F7"/>
            <w:tcMar>
              <w:top w:w="68" w:type="dxa"/>
              <w:left w:w="85" w:type="dxa"/>
              <w:bottom w:w="68" w:type="dxa"/>
              <w:right w:w="85" w:type="dxa"/>
            </w:tcMar>
            <w:vAlign w:val="center"/>
          </w:tcPr>
          <w:p w14:paraId="6D5E6847">
            <w:pPr>
              <w:spacing w:after="0" w:line="240" w:lineRule="auto"/>
              <w:jc w:val="left"/>
            </w:pPr>
            <w:r>
              <w:rPr>
                <w:rFonts w:ascii="Times New Roman" w:hAnsi="Times New Roman" w:eastAsia="Times New Roman" w:cs="Times New Roman"/>
                <w:b w:val="0"/>
                <w:i w:val="0"/>
                <w:color w:val="20262B"/>
                <w:sz w:val="17"/>
                <w:lang w:val="en-GB" w:eastAsia="en-GB" w:bidi="en-GB"/>
              </w:rPr>
              <w:t>0 violations</w:t>
            </w:r>
          </w:p>
        </w:tc>
      </w:tr>
      <w:tr w14:paraId="683553E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tcMar>
              <w:top w:w="68" w:type="dxa"/>
              <w:left w:w="85" w:type="dxa"/>
              <w:bottom w:w="68" w:type="dxa"/>
              <w:right w:w="85" w:type="dxa"/>
            </w:tcMar>
            <w:vAlign w:val="center"/>
          </w:tcPr>
          <w:p w14:paraId="356BB128">
            <w:pPr>
              <w:spacing w:after="0" w:line="240" w:lineRule="auto"/>
              <w:jc w:val="left"/>
            </w:pPr>
            <w:r>
              <w:rPr>
                <w:rFonts w:ascii="Times New Roman" w:hAnsi="Times New Roman" w:eastAsia="Times New Roman" w:cs="Times New Roman"/>
                <w:b w:val="0"/>
                <w:i w:val="0"/>
                <w:color w:val="20262B"/>
                <w:sz w:val="17"/>
                <w:lang w:val="en-GB" w:eastAsia="en-GB" w:bidi="en-GB"/>
              </w:rPr>
              <w:t>Price domain</w:t>
            </w:r>
          </w:p>
        </w:tc>
        <w:tc>
          <w:tcPr>
            <w:tcW w:w="5256" w:type="dxa"/>
            <w:tcMar>
              <w:top w:w="68" w:type="dxa"/>
              <w:left w:w="85" w:type="dxa"/>
              <w:bottom w:w="68" w:type="dxa"/>
              <w:right w:w="85" w:type="dxa"/>
            </w:tcMar>
            <w:vAlign w:val="center"/>
          </w:tcPr>
          <w:p w14:paraId="15F209F0">
            <w:pPr>
              <w:spacing w:after="0" w:line="240" w:lineRule="auto"/>
              <w:jc w:val="left"/>
            </w:pPr>
            <w:r>
              <w:rPr>
                <w:rFonts w:ascii="Times New Roman" w:hAnsi="Times New Roman" w:eastAsia="Times New Roman" w:cs="Times New Roman"/>
                <w:b w:val="0"/>
                <w:i w:val="0"/>
                <w:color w:val="20262B"/>
                <w:sz w:val="17"/>
                <w:lang w:val="en-GB" w:eastAsia="en-GB" w:bidi="en-GB"/>
              </w:rPr>
              <w:t>Every price strictly greater than zero</w:t>
            </w:r>
          </w:p>
        </w:tc>
        <w:tc>
          <w:tcPr>
            <w:tcW w:w="2260" w:type="dxa"/>
            <w:tcMar>
              <w:top w:w="68" w:type="dxa"/>
              <w:left w:w="85" w:type="dxa"/>
              <w:bottom w:w="68" w:type="dxa"/>
              <w:right w:w="85" w:type="dxa"/>
            </w:tcMar>
            <w:vAlign w:val="center"/>
          </w:tcPr>
          <w:p w14:paraId="270739E9">
            <w:pPr>
              <w:spacing w:after="0" w:line="240" w:lineRule="auto"/>
              <w:jc w:val="left"/>
            </w:pPr>
            <w:r>
              <w:rPr>
                <w:rFonts w:ascii="Times New Roman" w:hAnsi="Times New Roman" w:eastAsia="Times New Roman" w:cs="Times New Roman"/>
                <w:b w:val="0"/>
                <w:i w:val="0"/>
                <w:color w:val="20262B"/>
                <w:sz w:val="17"/>
                <w:lang w:val="en-GB" w:eastAsia="en-GB" w:bidi="en-GB"/>
              </w:rPr>
              <w:t>0 violations</w:t>
            </w:r>
          </w:p>
        </w:tc>
      </w:tr>
      <w:tr w14:paraId="672F6E4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shd w:val="clear" w:color="auto" w:fill="F2F4F7"/>
            <w:tcMar>
              <w:top w:w="68" w:type="dxa"/>
              <w:left w:w="85" w:type="dxa"/>
              <w:bottom w:w="68" w:type="dxa"/>
              <w:right w:w="85" w:type="dxa"/>
            </w:tcMar>
            <w:vAlign w:val="center"/>
          </w:tcPr>
          <w:p w14:paraId="6ED663E0">
            <w:pPr>
              <w:spacing w:after="0" w:line="240" w:lineRule="auto"/>
              <w:jc w:val="left"/>
            </w:pPr>
            <w:r>
              <w:rPr>
                <w:rFonts w:ascii="Times New Roman" w:hAnsi="Times New Roman" w:eastAsia="Times New Roman" w:cs="Times New Roman"/>
                <w:b w:val="0"/>
                <w:i w:val="0"/>
                <w:color w:val="20262B"/>
                <w:sz w:val="17"/>
                <w:lang w:val="en-GB" w:eastAsia="en-GB" w:bidi="en-GB"/>
              </w:rPr>
              <w:t>OHLC coherence</w:t>
            </w:r>
          </w:p>
        </w:tc>
        <w:tc>
          <w:tcPr>
            <w:tcW w:w="5256" w:type="dxa"/>
            <w:shd w:val="clear" w:color="auto" w:fill="F2F4F7"/>
            <w:tcMar>
              <w:top w:w="68" w:type="dxa"/>
              <w:left w:w="85" w:type="dxa"/>
              <w:bottom w:w="68" w:type="dxa"/>
              <w:right w:w="85" w:type="dxa"/>
            </w:tcMar>
            <w:vAlign w:val="center"/>
          </w:tcPr>
          <w:p w14:paraId="1A0B68BE">
            <w:pPr>
              <w:spacing w:after="0" w:line="240" w:lineRule="auto"/>
              <w:jc w:val="left"/>
            </w:pPr>
            <w:r>
              <w:rPr>
                <w:rFonts w:ascii="Times New Roman" w:hAnsi="Times New Roman" w:eastAsia="Times New Roman" w:cs="Times New Roman"/>
                <w:b w:val="0"/>
                <w:i w:val="0"/>
                <w:color w:val="20262B"/>
                <w:sz w:val="17"/>
                <w:lang w:val="en-GB" w:eastAsia="en-GB" w:bidi="en-GB"/>
              </w:rPr>
              <w:t>High ≥ max(Open, Low, Close); Low ≤ min(Open, High, Close)</w:t>
            </w:r>
          </w:p>
        </w:tc>
        <w:tc>
          <w:tcPr>
            <w:tcW w:w="2260" w:type="dxa"/>
            <w:shd w:val="clear" w:color="auto" w:fill="F2F4F7"/>
            <w:tcMar>
              <w:top w:w="68" w:type="dxa"/>
              <w:left w:w="85" w:type="dxa"/>
              <w:bottom w:w="68" w:type="dxa"/>
              <w:right w:w="85" w:type="dxa"/>
            </w:tcMar>
            <w:vAlign w:val="center"/>
          </w:tcPr>
          <w:p w14:paraId="50CBBE13">
            <w:pPr>
              <w:spacing w:after="0" w:line="240" w:lineRule="auto"/>
              <w:jc w:val="left"/>
            </w:pPr>
            <w:r>
              <w:rPr>
                <w:rFonts w:ascii="Times New Roman" w:hAnsi="Times New Roman" w:eastAsia="Times New Roman" w:cs="Times New Roman"/>
                <w:b w:val="0"/>
                <w:i w:val="0"/>
                <w:color w:val="20262B"/>
                <w:sz w:val="17"/>
                <w:lang w:val="en-GB" w:eastAsia="en-GB" w:bidi="en-GB"/>
              </w:rPr>
              <w:t>0 violations</w:t>
            </w:r>
          </w:p>
        </w:tc>
      </w:tr>
      <w:tr w14:paraId="686A85F5">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tcMar>
              <w:top w:w="68" w:type="dxa"/>
              <w:left w:w="85" w:type="dxa"/>
              <w:bottom w:w="68" w:type="dxa"/>
              <w:right w:w="85" w:type="dxa"/>
            </w:tcMar>
            <w:vAlign w:val="center"/>
          </w:tcPr>
          <w:p w14:paraId="20816DB8">
            <w:pPr>
              <w:spacing w:after="0" w:line="240" w:lineRule="auto"/>
              <w:jc w:val="left"/>
            </w:pPr>
            <w:r>
              <w:rPr>
                <w:rFonts w:ascii="Times New Roman" w:hAnsi="Times New Roman" w:eastAsia="Times New Roman" w:cs="Times New Roman"/>
                <w:b w:val="0"/>
                <w:i w:val="0"/>
                <w:color w:val="20262B"/>
                <w:sz w:val="17"/>
                <w:lang w:val="en-GB" w:eastAsia="en-GB" w:bidi="en-GB"/>
              </w:rPr>
              <w:t>Volume</w:t>
            </w:r>
          </w:p>
        </w:tc>
        <w:tc>
          <w:tcPr>
            <w:tcW w:w="5256" w:type="dxa"/>
            <w:tcMar>
              <w:top w:w="68" w:type="dxa"/>
              <w:left w:w="85" w:type="dxa"/>
              <w:bottom w:w="68" w:type="dxa"/>
              <w:right w:w="85" w:type="dxa"/>
            </w:tcMar>
            <w:vAlign w:val="center"/>
          </w:tcPr>
          <w:p w14:paraId="2931506D">
            <w:pPr>
              <w:spacing w:after="0" w:line="240" w:lineRule="auto"/>
              <w:jc w:val="left"/>
            </w:pPr>
            <w:r>
              <w:rPr>
                <w:rFonts w:ascii="Times New Roman" w:hAnsi="Times New Roman" w:eastAsia="Times New Roman" w:cs="Times New Roman"/>
                <w:b w:val="0"/>
                <w:i w:val="0"/>
                <w:color w:val="20262B"/>
                <w:sz w:val="17"/>
                <w:lang w:val="en-GB" w:eastAsia="en-GB" w:bidi="en-GB"/>
              </w:rPr>
              <w:t>Non-negative whole number of reported shares</w:t>
            </w:r>
          </w:p>
        </w:tc>
        <w:tc>
          <w:tcPr>
            <w:tcW w:w="2260" w:type="dxa"/>
            <w:tcMar>
              <w:top w:w="68" w:type="dxa"/>
              <w:left w:w="85" w:type="dxa"/>
              <w:bottom w:w="68" w:type="dxa"/>
              <w:right w:w="85" w:type="dxa"/>
            </w:tcMar>
            <w:vAlign w:val="center"/>
          </w:tcPr>
          <w:p w14:paraId="1E8D4582">
            <w:pPr>
              <w:spacing w:after="0" w:line="240" w:lineRule="auto"/>
              <w:jc w:val="left"/>
            </w:pPr>
            <w:r>
              <w:rPr>
                <w:rFonts w:ascii="Times New Roman" w:hAnsi="Times New Roman" w:eastAsia="Times New Roman" w:cs="Times New Roman"/>
                <w:b w:val="0"/>
                <w:i w:val="0"/>
                <w:color w:val="20262B"/>
                <w:sz w:val="17"/>
                <w:lang w:val="en-GB" w:eastAsia="en-GB" w:bidi="en-GB"/>
              </w:rPr>
              <w:t>0 violations</w:t>
            </w:r>
          </w:p>
        </w:tc>
      </w:tr>
      <w:tr w14:paraId="2B4DCEE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shd w:val="clear" w:color="auto" w:fill="F2F4F7"/>
            <w:tcMar>
              <w:top w:w="68" w:type="dxa"/>
              <w:left w:w="85" w:type="dxa"/>
              <w:bottom w:w="68" w:type="dxa"/>
              <w:right w:w="85" w:type="dxa"/>
            </w:tcMar>
            <w:vAlign w:val="center"/>
          </w:tcPr>
          <w:p w14:paraId="4470C29E">
            <w:pPr>
              <w:spacing w:after="0" w:line="240" w:lineRule="auto"/>
              <w:jc w:val="left"/>
            </w:pPr>
            <w:r>
              <w:rPr>
                <w:rFonts w:ascii="Times New Roman" w:hAnsi="Times New Roman" w:eastAsia="Times New Roman" w:cs="Times New Roman"/>
                <w:b w:val="0"/>
                <w:i w:val="0"/>
                <w:color w:val="20262B"/>
                <w:sz w:val="17"/>
                <w:lang w:val="en-GB" w:eastAsia="en-GB" w:bidi="en-GB"/>
              </w:rPr>
              <w:t>File integrity</w:t>
            </w:r>
          </w:p>
        </w:tc>
        <w:tc>
          <w:tcPr>
            <w:tcW w:w="5256" w:type="dxa"/>
            <w:shd w:val="clear" w:color="auto" w:fill="F2F4F7"/>
            <w:tcMar>
              <w:top w:w="68" w:type="dxa"/>
              <w:left w:w="85" w:type="dxa"/>
              <w:bottom w:w="68" w:type="dxa"/>
              <w:right w:w="85" w:type="dxa"/>
            </w:tcMar>
            <w:vAlign w:val="center"/>
          </w:tcPr>
          <w:p>
            <w:r>
              <w:t>SHA-256 digest recorded for each staged raw file before snapshot publication</w:t>
            </w:r>
          </w:p>
        </w:tc>
        <w:tc>
          <w:tcPr>
            <w:tcW w:w="2260" w:type="dxa"/>
            <w:shd w:val="clear" w:color="auto" w:fill="F2F4F7"/>
            <w:tcMar>
              <w:top w:w="68" w:type="dxa"/>
              <w:left w:w="85" w:type="dxa"/>
              <w:bottom w:w="68" w:type="dxa"/>
              <w:right w:w="85" w:type="dxa"/>
            </w:tcMar>
            <w:vAlign w:val="center"/>
          </w:tcPr>
          <w:p w14:paraId="100524D5">
            <w:pPr>
              <w:spacing w:after="0" w:line="240" w:lineRule="auto"/>
              <w:jc w:val="left"/>
            </w:pPr>
            <w:r>
              <w:rPr>
                <w:rFonts w:ascii="Times New Roman" w:hAnsi="Times New Roman" w:eastAsia="Times New Roman" w:cs="Times New Roman"/>
                <w:b w:val="0"/>
                <w:i w:val="0"/>
                <w:color w:val="20262B"/>
                <w:sz w:val="17"/>
                <w:lang w:val="en-GB" w:eastAsia="en-GB" w:bidi="en-GB"/>
              </w:rPr>
              <w:t>5 digests recorded</w:t>
            </w:r>
          </w:p>
        </w:tc>
      </w:tr>
      <w:tr w14:paraId="2B4DCEE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376" w:type="dxa"/>
            <w:shd w:val="clear" w:color="auto" w:fill="F2F4F7"/>
            <w:tcMar>
              <w:top w:w="68" w:type="dxa"/>
              <w:left w:w="85" w:type="dxa"/>
              <w:bottom w:w="68" w:type="dxa"/>
              <w:right w:w="85" w:type="dxa"/>
            </w:tcMar>
            <w:vAlign w:val="center"/>
          </w:tcPr>
          <w:p w14:paraId="4470C29E">
            <w:pPr>
              <w:spacing w:after="0" w:line="240" w:lineRule="auto"/>
              <w:jc w:val="left"/>
            </w:pPr>
            <w:r>
              <w:rPr>
                <w:rFonts w:ascii="Times New Roman" w:hAnsi="Times New Roman" w:eastAsia="Times New Roman" w:cs="Times New Roman"/>
                <w:b w:val="0"/>
                <w:i w:val="0"/>
                <w:color w:val="20262B"/>
                <w:sz w:val="17"/>
                <w:lang w:val="en-GB" w:eastAsia="en-GB" w:bidi="en-GB"/>
              </w:rPr>
              <w:t>Independent close sample</w:t>
            </w:r>
          </w:p>
        </w:tc>
        <w:tc>
          <w:tcPr>
            <w:tcW w:w="5256" w:type="dxa"/>
            <w:shd w:val="clear" w:color="auto" w:fill="F2F4F7"/>
            <w:tcMar>
              <w:top w:w="68" w:type="dxa"/>
              <w:left w:w="85" w:type="dxa"/>
              <w:bottom w:w="68" w:type="dxa"/>
              <w:right w:w="85" w:type="dxa"/>
            </w:tcMar>
            <w:vAlign w:val="center"/>
          </w:tcPr>
          <w:p>
            <w:r>
              <w:t>Absolute (Yahoo Close - Nasdaq reference close) no greater than USD 0.01</w:t>
            </w:r>
          </w:p>
        </w:tc>
        <w:tc>
          <w:tcPr>
            <w:tcW w:w="2260" w:type="dxa"/>
            <w:shd w:val="clear" w:color="auto" w:fill="F2F4F7"/>
            <w:tcMar>
              <w:top w:w="68" w:type="dxa"/>
              <w:left w:w="85" w:type="dxa"/>
              <w:bottom w:w="68" w:type="dxa"/>
              <w:right w:w="85" w:type="dxa"/>
            </w:tcMar>
            <w:vAlign w:val="center"/>
          </w:tcPr>
          <w:p w14:paraId="100524D5">
            <w:pPr>
              <w:spacing w:after="0" w:line="240" w:lineRule="auto"/>
              <w:jc w:val="left"/>
            </w:pPr>
            <w:r>
              <w:rPr>
                <w:rFonts w:ascii="Times New Roman" w:hAnsi="Times New Roman" w:eastAsia="Times New Roman" w:cs="Times New Roman"/>
                <w:b w:val="0"/>
                <w:i w:val="0"/>
                <w:color w:val="20262B"/>
                <w:sz w:val="17"/>
                <w:lang w:val="en-GB" w:eastAsia="en-GB" w:bidi="en-GB"/>
              </w:rPr>
              <w:t>5/5 PASS; maximum difference USD 0.00001465</w:t>
            </w:r>
          </w:p>
        </w:tc>
      </w:tr>
    </w:tbl>
    <w:p w14:paraId="35A799C2">
      <w:pPr>
        <w:pStyle w:val="19"/>
        <w:widowControl/>
        <w:spacing w:before="0" w:after="100"/>
        <w:ind w:left="0" w:firstLine="0"/>
        <w:jc w:val="left"/>
      </w:pPr>
      <w:r>
        <w:t>The deterministic test suite contains 24 tests. It covers schema, dates, session completeness, numeric domains, OHLC logic, ticker normalization, company-configuration validation, independent close comparison and tolerance, reference URL/timestamp provenance, retries, proxy redaction, both failure policies, command-line selection, stale-file elimination, staging failure, final-status failure, and complete data-directory snapshot rollback. The documented local run completed with 24/24 tests passing.</w:t>
      </w:r>
    </w:p>
    <w:p w14:paraId="469346BB">
      <w:pPr>
        <w:pStyle w:val="3"/>
        <w:widowControl/>
      </w:pPr>
      <w:r>
        <w:rPr>
          <w:rFonts w:ascii="Arial" w:hAnsi="Arial" w:eastAsia="Arial" w:cs="Arial"/>
          <w:b/>
          <w:sz w:val="28"/>
          <w:lang w:val="en-GB" w:eastAsia="en-GB" w:bidi="en-GB"/>
        </w:rPr>
        <w:t>4. Results</w:t>
      </w:r>
    </w:p>
    <w:p w14:paraId="05E91B57">
      <w:pPr>
        <w:pStyle w:val="19"/>
        <w:widowControl/>
        <w:spacing w:before="0" w:after="100"/>
        <w:ind w:left="0" w:firstLine="0"/>
        <w:jc w:val="left"/>
      </w:pPr>
      <w:r>
        <w:t>The Yahoo collection began at 2026-07-30T02:32:55+00:00 and completed at 2026-07-30T02:33:02+00:00, producing 6,275 daily observations. The first scheduled session was 4 January 2021 and the last was 31 December 2025; each security has 1,255 sessions. The feedback extension retrieved the Nasdaq reference sample on 4 August 2026 and then updated tests, metadata, and documentation without re-downloading or relabelling the original Yahoo files. These distinct evidence times are recorded separately, and the original raw-file hashes remain unchanged.</w:t>
      </w:r>
    </w:p>
    <w:p w14:paraId="43C80156">
      <w:pPr>
        <w:pStyle w:val="15"/>
        <w:keepNext/>
        <w:widowControl/>
        <w:spacing w:before="60" w:after="60"/>
      </w:pPr>
      <w:r>
        <w:rPr>
          <w:rFonts w:ascii="Arial" w:hAnsi="Arial" w:eastAsia="Arial" w:cs="Arial"/>
          <w:b/>
          <w:i w:val="0"/>
          <w:color w:val="12324B"/>
          <w:sz w:val="18"/>
          <w:lang w:val="en-GB" w:eastAsia="en-GB" w:bidi="en-GB"/>
        </w:rPr>
        <w:t>Table 6. Validated market-data files</w:t>
      </w:r>
    </w:p>
    <w:tbl>
      <w:tblPr>
        <w:tblStyle w:val="32"/>
        <w:tblW w:w="9458"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892"/>
        <w:gridCol w:w="3096"/>
        <w:gridCol w:w="892"/>
        <w:gridCol w:w="1699"/>
        <w:gridCol w:w="1699"/>
        <w:gridCol w:w="1180"/>
      </w:tblGrid>
      <w:tr w14:paraId="4195ECE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892" w:type="dxa"/>
            <w:shd w:val="clear" w:color="auto" w:fill="12324B"/>
            <w:tcMar>
              <w:top w:w="75" w:type="dxa"/>
              <w:left w:w="85" w:type="dxa"/>
              <w:bottom w:w="75" w:type="dxa"/>
              <w:right w:w="85" w:type="dxa"/>
            </w:tcMar>
            <w:vAlign w:val="center"/>
          </w:tcPr>
          <w:p w14:paraId="13CF6808">
            <w:pPr>
              <w:spacing w:after="0" w:line="240" w:lineRule="auto"/>
              <w:jc w:val="center"/>
            </w:pPr>
            <w:r>
              <w:rPr>
                <w:rFonts w:ascii="Arial" w:hAnsi="Arial" w:eastAsia="Arial" w:cs="Arial"/>
                <w:b/>
                <w:i w:val="0"/>
                <w:color w:val="FFFFFF"/>
                <w:sz w:val="16"/>
                <w:lang w:val="en-GB" w:eastAsia="en-GB" w:bidi="en-GB"/>
              </w:rPr>
              <w:t>Ticker</w:t>
            </w:r>
          </w:p>
        </w:tc>
        <w:tc>
          <w:tcPr>
            <w:tcW w:w="3096" w:type="dxa"/>
            <w:shd w:val="clear" w:color="auto" w:fill="12324B"/>
            <w:tcMar>
              <w:top w:w="75" w:type="dxa"/>
              <w:left w:w="85" w:type="dxa"/>
              <w:bottom w:w="75" w:type="dxa"/>
              <w:right w:w="85" w:type="dxa"/>
            </w:tcMar>
            <w:vAlign w:val="center"/>
          </w:tcPr>
          <w:p w14:paraId="691B30C6">
            <w:pPr>
              <w:spacing w:after="0" w:line="240" w:lineRule="auto"/>
              <w:jc w:val="left"/>
            </w:pPr>
            <w:r>
              <w:rPr>
                <w:rFonts w:ascii="Arial" w:hAnsi="Arial" w:eastAsia="Arial" w:cs="Arial"/>
                <w:b/>
                <w:i w:val="0"/>
                <w:color w:val="FFFFFF"/>
                <w:sz w:val="16"/>
                <w:lang w:val="en-GB" w:eastAsia="en-GB" w:bidi="en-GB"/>
              </w:rPr>
              <w:t>Company</w:t>
            </w:r>
          </w:p>
        </w:tc>
        <w:tc>
          <w:tcPr>
            <w:tcW w:w="892" w:type="dxa"/>
            <w:shd w:val="clear" w:color="auto" w:fill="12324B"/>
            <w:tcMar>
              <w:top w:w="75" w:type="dxa"/>
              <w:left w:w="85" w:type="dxa"/>
              <w:bottom w:w="75" w:type="dxa"/>
              <w:right w:w="85" w:type="dxa"/>
            </w:tcMar>
            <w:vAlign w:val="center"/>
          </w:tcPr>
          <w:p w14:paraId="251C3368">
            <w:pPr>
              <w:spacing w:after="0" w:line="240" w:lineRule="auto"/>
              <w:jc w:val="center"/>
            </w:pPr>
            <w:r>
              <w:rPr>
                <w:rFonts w:ascii="Arial" w:hAnsi="Arial" w:eastAsia="Arial" w:cs="Arial"/>
                <w:b/>
                <w:i w:val="0"/>
                <w:color w:val="FFFFFF"/>
                <w:sz w:val="16"/>
                <w:lang w:val="en-GB" w:eastAsia="en-GB" w:bidi="en-GB"/>
              </w:rPr>
              <w:t>Rows</w:t>
            </w:r>
          </w:p>
        </w:tc>
        <w:tc>
          <w:tcPr>
            <w:tcW w:w="1699" w:type="dxa"/>
            <w:shd w:val="clear" w:color="auto" w:fill="12324B"/>
            <w:tcMar>
              <w:top w:w="75" w:type="dxa"/>
              <w:left w:w="85" w:type="dxa"/>
              <w:bottom w:w="75" w:type="dxa"/>
              <w:right w:w="85" w:type="dxa"/>
            </w:tcMar>
            <w:vAlign w:val="center"/>
          </w:tcPr>
          <w:p w14:paraId="5A431188">
            <w:pPr>
              <w:spacing w:after="0" w:line="240" w:lineRule="auto"/>
              <w:jc w:val="center"/>
            </w:pPr>
            <w:r>
              <w:rPr>
                <w:rFonts w:ascii="Arial" w:hAnsi="Arial" w:eastAsia="Arial" w:cs="Arial"/>
                <w:b/>
                <w:i w:val="0"/>
                <w:color w:val="FFFFFF"/>
                <w:sz w:val="16"/>
                <w:lang w:val="en-GB" w:eastAsia="en-GB" w:bidi="en-GB"/>
              </w:rPr>
              <w:t>First session</w:t>
            </w:r>
          </w:p>
        </w:tc>
        <w:tc>
          <w:tcPr>
            <w:tcW w:w="1699" w:type="dxa"/>
            <w:shd w:val="clear" w:color="auto" w:fill="12324B"/>
            <w:tcMar>
              <w:top w:w="75" w:type="dxa"/>
              <w:left w:w="85" w:type="dxa"/>
              <w:bottom w:w="75" w:type="dxa"/>
              <w:right w:w="85" w:type="dxa"/>
            </w:tcMar>
            <w:vAlign w:val="center"/>
          </w:tcPr>
          <w:p w14:paraId="6705099E">
            <w:pPr>
              <w:spacing w:after="0" w:line="240" w:lineRule="auto"/>
              <w:jc w:val="center"/>
            </w:pPr>
            <w:r>
              <w:rPr>
                <w:rFonts w:ascii="Arial" w:hAnsi="Arial" w:eastAsia="Arial" w:cs="Arial"/>
                <w:b/>
                <w:i w:val="0"/>
                <w:color w:val="FFFFFF"/>
                <w:sz w:val="16"/>
                <w:lang w:val="en-GB" w:eastAsia="en-GB" w:bidi="en-GB"/>
              </w:rPr>
              <w:t>Last session</w:t>
            </w:r>
          </w:p>
        </w:tc>
        <w:tc>
          <w:tcPr>
            <w:tcW w:w="1180" w:type="dxa"/>
            <w:shd w:val="clear" w:color="auto" w:fill="12324B"/>
            <w:tcMar>
              <w:top w:w="75" w:type="dxa"/>
              <w:left w:w="85" w:type="dxa"/>
              <w:bottom w:w="75" w:type="dxa"/>
              <w:right w:w="85" w:type="dxa"/>
            </w:tcMar>
            <w:vAlign w:val="center"/>
          </w:tcPr>
          <w:p w14:paraId="5F13170E">
            <w:pPr>
              <w:spacing w:after="0" w:line="240" w:lineRule="auto"/>
              <w:jc w:val="center"/>
            </w:pPr>
            <w:r>
              <w:rPr>
                <w:rFonts w:ascii="Arial" w:hAnsi="Arial" w:eastAsia="Arial" w:cs="Arial"/>
                <w:b/>
                <w:i w:val="0"/>
                <w:color w:val="FFFFFF"/>
                <w:sz w:val="16"/>
                <w:lang w:val="en-GB" w:eastAsia="en-GB" w:bidi="en-GB"/>
              </w:rPr>
              <w:t>Status</w:t>
            </w:r>
          </w:p>
        </w:tc>
      </w:tr>
      <w:tr w14:paraId="424AFA6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1231033D">
            <w:pPr>
              <w:spacing w:after="0" w:line="240" w:lineRule="auto"/>
              <w:jc w:val="center"/>
            </w:pPr>
            <w:r>
              <w:rPr>
                <w:rFonts w:ascii="Times New Roman" w:hAnsi="Times New Roman" w:eastAsia="Times New Roman" w:cs="Times New Roman"/>
                <w:b w:val="0"/>
                <w:i w:val="0"/>
                <w:color w:val="20262B"/>
                <w:sz w:val="17"/>
                <w:lang w:val="en-GB" w:eastAsia="en-GB" w:bidi="en-GB"/>
              </w:rPr>
              <w:t>AAPL</w:t>
            </w:r>
          </w:p>
        </w:tc>
        <w:tc>
          <w:tcPr>
            <w:tcW w:w="3096" w:type="dxa"/>
            <w:tcMar>
              <w:top w:w="68" w:type="dxa"/>
              <w:left w:w="85" w:type="dxa"/>
              <w:bottom w:w="68" w:type="dxa"/>
              <w:right w:w="85" w:type="dxa"/>
            </w:tcMar>
            <w:vAlign w:val="center"/>
          </w:tcPr>
          <w:p w14:paraId="10CBE790">
            <w:pPr>
              <w:spacing w:after="0" w:line="240" w:lineRule="auto"/>
              <w:jc w:val="left"/>
            </w:pPr>
            <w:r>
              <w:rPr>
                <w:rFonts w:ascii="Times New Roman" w:hAnsi="Times New Roman" w:eastAsia="Times New Roman" w:cs="Times New Roman"/>
                <w:b w:val="0"/>
                <w:i w:val="0"/>
                <w:color w:val="20262B"/>
                <w:sz w:val="17"/>
                <w:lang w:val="en-GB" w:eastAsia="en-GB" w:bidi="en-GB"/>
              </w:rPr>
              <w:t>Apple Inc.</w:t>
            </w:r>
          </w:p>
        </w:tc>
        <w:tc>
          <w:tcPr>
            <w:tcW w:w="892" w:type="dxa"/>
            <w:tcMar>
              <w:top w:w="68" w:type="dxa"/>
              <w:left w:w="85" w:type="dxa"/>
              <w:bottom w:w="68" w:type="dxa"/>
              <w:right w:w="85" w:type="dxa"/>
            </w:tcMar>
            <w:vAlign w:val="center"/>
          </w:tcPr>
          <w:p w14:paraId="39093D5E">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c>
          <w:tcPr>
            <w:tcW w:w="1699" w:type="dxa"/>
            <w:tcMar>
              <w:top w:w="68" w:type="dxa"/>
              <w:left w:w="85" w:type="dxa"/>
              <w:bottom w:w="68" w:type="dxa"/>
              <w:right w:w="85" w:type="dxa"/>
            </w:tcMar>
            <w:vAlign w:val="center"/>
          </w:tcPr>
          <w:p w14:paraId="0B233569">
            <w:pPr>
              <w:spacing w:after="0" w:line="240" w:lineRule="auto"/>
              <w:jc w:val="center"/>
            </w:pPr>
            <w:r>
              <w:rPr>
                <w:rFonts w:ascii="Times New Roman" w:hAnsi="Times New Roman" w:eastAsia="Times New Roman" w:cs="Times New Roman"/>
                <w:b w:val="0"/>
                <w:i w:val="0"/>
                <w:color w:val="20262B"/>
                <w:sz w:val="17"/>
                <w:lang w:val="en-GB" w:eastAsia="en-GB" w:bidi="en-GB"/>
              </w:rPr>
              <w:t>2021-01-04</w:t>
            </w:r>
          </w:p>
        </w:tc>
        <w:tc>
          <w:tcPr>
            <w:tcW w:w="1699" w:type="dxa"/>
            <w:tcMar>
              <w:top w:w="68" w:type="dxa"/>
              <w:left w:w="85" w:type="dxa"/>
              <w:bottom w:w="68" w:type="dxa"/>
              <w:right w:w="85" w:type="dxa"/>
            </w:tcMar>
            <w:vAlign w:val="center"/>
          </w:tcPr>
          <w:p w14:paraId="5B05273E">
            <w:pPr>
              <w:spacing w:after="0" w:line="240" w:lineRule="auto"/>
              <w:jc w:val="center"/>
            </w:pPr>
            <w:r>
              <w:rPr>
                <w:rFonts w:ascii="Times New Roman" w:hAnsi="Times New Roman" w:eastAsia="Times New Roman" w:cs="Times New Roman"/>
                <w:b w:val="0"/>
                <w:i w:val="0"/>
                <w:color w:val="20262B"/>
                <w:sz w:val="17"/>
                <w:lang w:val="en-GB" w:eastAsia="en-GB" w:bidi="en-GB"/>
              </w:rPr>
              <w:t>2025-12-31</w:t>
            </w:r>
          </w:p>
        </w:tc>
        <w:tc>
          <w:tcPr>
            <w:tcW w:w="1180" w:type="dxa"/>
            <w:tcMar>
              <w:top w:w="68" w:type="dxa"/>
              <w:left w:w="85" w:type="dxa"/>
              <w:bottom w:w="68" w:type="dxa"/>
              <w:right w:w="85" w:type="dxa"/>
            </w:tcMar>
            <w:vAlign w:val="center"/>
          </w:tcPr>
          <w:p w14:paraId="5EC1E9F9">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01A2046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shd w:val="clear" w:color="auto" w:fill="F2F4F7"/>
            <w:tcMar>
              <w:top w:w="68" w:type="dxa"/>
              <w:left w:w="85" w:type="dxa"/>
              <w:bottom w:w="68" w:type="dxa"/>
              <w:right w:w="85" w:type="dxa"/>
            </w:tcMar>
            <w:vAlign w:val="center"/>
          </w:tcPr>
          <w:p w14:paraId="363FC71B">
            <w:pPr>
              <w:spacing w:after="0" w:line="240" w:lineRule="auto"/>
              <w:jc w:val="center"/>
            </w:pPr>
            <w:r>
              <w:rPr>
                <w:rFonts w:ascii="Times New Roman" w:hAnsi="Times New Roman" w:eastAsia="Times New Roman" w:cs="Times New Roman"/>
                <w:b w:val="0"/>
                <w:i w:val="0"/>
                <w:color w:val="20262B"/>
                <w:sz w:val="17"/>
                <w:lang w:val="en-GB" w:eastAsia="en-GB" w:bidi="en-GB"/>
              </w:rPr>
              <w:t>MSFT</w:t>
            </w:r>
          </w:p>
        </w:tc>
        <w:tc>
          <w:tcPr>
            <w:tcW w:w="3096" w:type="dxa"/>
            <w:shd w:val="clear" w:color="auto" w:fill="F2F4F7"/>
            <w:tcMar>
              <w:top w:w="68" w:type="dxa"/>
              <w:left w:w="85" w:type="dxa"/>
              <w:bottom w:w="68" w:type="dxa"/>
              <w:right w:w="85" w:type="dxa"/>
            </w:tcMar>
            <w:vAlign w:val="center"/>
          </w:tcPr>
          <w:p w14:paraId="3253311E">
            <w:pPr>
              <w:spacing w:after="0" w:line="240" w:lineRule="auto"/>
              <w:jc w:val="left"/>
            </w:pPr>
            <w:r>
              <w:rPr>
                <w:rFonts w:ascii="Times New Roman" w:hAnsi="Times New Roman" w:eastAsia="Times New Roman" w:cs="Times New Roman"/>
                <w:b w:val="0"/>
                <w:i w:val="0"/>
                <w:color w:val="20262B"/>
                <w:sz w:val="17"/>
                <w:lang w:val="en-GB" w:eastAsia="en-GB" w:bidi="en-GB"/>
              </w:rPr>
              <w:t>Microsoft Corporation</w:t>
            </w:r>
          </w:p>
        </w:tc>
        <w:tc>
          <w:tcPr>
            <w:tcW w:w="892" w:type="dxa"/>
            <w:shd w:val="clear" w:color="auto" w:fill="F2F4F7"/>
            <w:tcMar>
              <w:top w:w="68" w:type="dxa"/>
              <w:left w:w="85" w:type="dxa"/>
              <w:bottom w:w="68" w:type="dxa"/>
              <w:right w:w="85" w:type="dxa"/>
            </w:tcMar>
            <w:vAlign w:val="center"/>
          </w:tcPr>
          <w:p w14:paraId="11C8463C">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c>
          <w:tcPr>
            <w:tcW w:w="1699" w:type="dxa"/>
            <w:shd w:val="clear" w:color="auto" w:fill="F2F4F7"/>
            <w:tcMar>
              <w:top w:w="68" w:type="dxa"/>
              <w:left w:w="85" w:type="dxa"/>
              <w:bottom w:w="68" w:type="dxa"/>
              <w:right w:w="85" w:type="dxa"/>
            </w:tcMar>
            <w:vAlign w:val="center"/>
          </w:tcPr>
          <w:p w14:paraId="1B16926B">
            <w:pPr>
              <w:spacing w:after="0" w:line="240" w:lineRule="auto"/>
              <w:jc w:val="center"/>
            </w:pPr>
            <w:r>
              <w:rPr>
                <w:rFonts w:ascii="Times New Roman" w:hAnsi="Times New Roman" w:eastAsia="Times New Roman" w:cs="Times New Roman"/>
                <w:b w:val="0"/>
                <w:i w:val="0"/>
                <w:color w:val="20262B"/>
                <w:sz w:val="17"/>
                <w:lang w:val="en-GB" w:eastAsia="en-GB" w:bidi="en-GB"/>
              </w:rPr>
              <w:t>2021-01-04</w:t>
            </w:r>
          </w:p>
        </w:tc>
        <w:tc>
          <w:tcPr>
            <w:tcW w:w="1699" w:type="dxa"/>
            <w:shd w:val="clear" w:color="auto" w:fill="F2F4F7"/>
            <w:tcMar>
              <w:top w:w="68" w:type="dxa"/>
              <w:left w:w="85" w:type="dxa"/>
              <w:bottom w:w="68" w:type="dxa"/>
              <w:right w:w="85" w:type="dxa"/>
            </w:tcMar>
            <w:vAlign w:val="center"/>
          </w:tcPr>
          <w:p w14:paraId="78BCBB06">
            <w:pPr>
              <w:spacing w:after="0" w:line="240" w:lineRule="auto"/>
              <w:jc w:val="center"/>
            </w:pPr>
            <w:r>
              <w:rPr>
                <w:rFonts w:ascii="Times New Roman" w:hAnsi="Times New Roman" w:eastAsia="Times New Roman" w:cs="Times New Roman"/>
                <w:b w:val="0"/>
                <w:i w:val="0"/>
                <w:color w:val="20262B"/>
                <w:sz w:val="17"/>
                <w:lang w:val="en-GB" w:eastAsia="en-GB" w:bidi="en-GB"/>
              </w:rPr>
              <w:t>2025-12-31</w:t>
            </w:r>
          </w:p>
        </w:tc>
        <w:tc>
          <w:tcPr>
            <w:tcW w:w="1180" w:type="dxa"/>
            <w:shd w:val="clear" w:color="auto" w:fill="F2F4F7"/>
            <w:tcMar>
              <w:top w:w="68" w:type="dxa"/>
              <w:left w:w="85" w:type="dxa"/>
              <w:bottom w:w="68" w:type="dxa"/>
              <w:right w:w="85" w:type="dxa"/>
            </w:tcMar>
            <w:vAlign w:val="center"/>
          </w:tcPr>
          <w:p w14:paraId="3A67A0F6">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7B39536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40059E14">
            <w:pPr>
              <w:spacing w:after="0" w:line="240" w:lineRule="auto"/>
              <w:jc w:val="center"/>
            </w:pPr>
            <w:r>
              <w:rPr>
                <w:rFonts w:ascii="Times New Roman" w:hAnsi="Times New Roman" w:eastAsia="Times New Roman" w:cs="Times New Roman"/>
                <w:b w:val="0"/>
                <w:i w:val="0"/>
                <w:color w:val="20262B"/>
                <w:sz w:val="17"/>
                <w:lang w:val="en-GB" w:eastAsia="en-GB" w:bidi="en-GB"/>
              </w:rPr>
              <w:t>GOOGL</w:t>
            </w:r>
          </w:p>
        </w:tc>
        <w:tc>
          <w:tcPr>
            <w:tcW w:w="3096" w:type="dxa"/>
            <w:tcMar>
              <w:top w:w="68" w:type="dxa"/>
              <w:left w:w="85" w:type="dxa"/>
              <w:bottom w:w="68" w:type="dxa"/>
              <w:right w:w="85" w:type="dxa"/>
            </w:tcMar>
            <w:vAlign w:val="center"/>
          </w:tcPr>
          <w:p w14:paraId="7735CC8F">
            <w:pPr>
              <w:spacing w:after="0" w:line="240" w:lineRule="auto"/>
              <w:jc w:val="left"/>
            </w:pPr>
            <w:r>
              <w:rPr>
                <w:rFonts w:ascii="Times New Roman" w:hAnsi="Times New Roman" w:eastAsia="Times New Roman" w:cs="Times New Roman"/>
                <w:b w:val="0"/>
                <w:i w:val="0"/>
                <w:color w:val="20262B"/>
                <w:sz w:val="17"/>
                <w:lang w:val="en-GB" w:eastAsia="en-GB" w:bidi="en-GB"/>
              </w:rPr>
              <w:t>Alphabet Inc.</w:t>
            </w:r>
          </w:p>
        </w:tc>
        <w:tc>
          <w:tcPr>
            <w:tcW w:w="892" w:type="dxa"/>
            <w:tcMar>
              <w:top w:w="68" w:type="dxa"/>
              <w:left w:w="85" w:type="dxa"/>
              <w:bottom w:w="68" w:type="dxa"/>
              <w:right w:w="85" w:type="dxa"/>
            </w:tcMar>
            <w:vAlign w:val="center"/>
          </w:tcPr>
          <w:p w14:paraId="72DF7585">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c>
          <w:tcPr>
            <w:tcW w:w="1699" w:type="dxa"/>
            <w:tcMar>
              <w:top w:w="68" w:type="dxa"/>
              <w:left w:w="85" w:type="dxa"/>
              <w:bottom w:w="68" w:type="dxa"/>
              <w:right w:w="85" w:type="dxa"/>
            </w:tcMar>
            <w:vAlign w:val="center"/>
          </w:tcPr>
          <w:p w14:paraId="45AFC0EF">
            <w:pPr>
              <w:spacing w:after="0" w:line="240" w:lineRule="auto"/>
              <w:jc w:val="center"/>
            </w:pPr>
            <w:r>
              <w:rPr>
                <w:rFonts w:ascii="Times New Roman" w:hAnsi="Times New Roman" w:eastAsia="Times New Roman" w:cs="Times New Roman"/>
                <w:b w:val="0"/>
                <w:i w:val="0"/>
                <w:color w:val="20262B"/>
                <w:sz w:val="17"/>
                <w:lang w:val="en-GB" w:eastAsia="en-GB" w:bidi="en-GB"/>
              </w:rPr>
              <w:t>2021-01-04</w:t>
            </w:r>
          </w:p>
        </w:tc>
        <w:tc>
          <w:tcPr>
            <w:tcW w:w="1699" w:type="dxa"/>
            <w:tcMar>
              <w:top w:w="68" w:type="dxa"/>
              <w:left w:w="85" w:type="dxa"/>
              <w:bottom w:w="68" w:type="dxa"/>
              <w:right w:w="85" w:type="dxa"/>
            </w:tcMar>
            <w:vAlign w:val="center"/>
          </w:tcPr>
          <w:p w14:paraId="11C24AF1">
            <w:pPr>
              <w:spacing w:after="0" w:line="240" w:lineRule="auto"/>
              <w:jc w:val="center"/>
            </w:pPr>
            <w:r>
              <w:rPr>
                <w:rFonts w:ascii="Times New Roman" w:hAnsi="Times New Roman" w:eastAsia="Times New Roman" w:cs="Times New Roman"/>
                <w:b w:val="0"/>
                <w:i w:val="0"/>
                <w:color w:val="20262B"/>
                <w:sz w:val="17"/>
                <w:lang w:val="en-GB" w:eastAsia="en-GB" w:bidi="en-GB"/>
              </w:rPr>
              <w:t>2025-12-31</w:t>
            </w:r>
          </w:p>
        </w:tc>
        <w:tc>
          <w:tcPr>
            <w:tcW w:w="1180" w:type="dxa"/>
            <w:tcMar>
              <w:top w:w="68" w:type="dxa"/>
              <w:left w:w="85" w:type="dxa"/>
              <w:bottom w:w="68" w:type="dxa"/>
              <w:right w:w="85" w:type="dxa"/>
            </w:tcMar>
            <w:vAlign w:val="center"/>
          </w:tcPr>
          <w:p w14:paraId="2C5DE267">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45009C94">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shd w:val="clear" w:color="auto" w:fill="F2F4F7"/>
            <w:tcMar>
              <w:top w:w="68" w:type="dxa"/>
              <w:left w:w="85" w:type="dxa"/>
              <w:bottom w:w="68" w:type="dxa"/>
              <w:right w:w="85" w:type="dxa"/>
            </w:tcMar>
            <w:vAlign w:val="center"/>
          </w:tcPr>
          <w:p w14:paraId="6B221FE8">
            <w:pPr>
              <w:spacing w:after="0" w:line="240" w:lineRule="auto"/>
              <w:jc w:val="center"/>
            </w:pPr>
            <w:r>
              <w:rPr>
                <w:rFonts w:ascii="Times New Roman" w:hAnsi="Times New Roman" w:eastAsia="Times New Roman" w:cs="Times New Roman"/>
                <w:b w:val="0"/>
                <w:i w:val="0"/>
                <w:color w:val="20262B"/>
                <w:sz w:val="17"/>
                <w:lang w:val="en-GB" w:eastAsia="en-GB" w:bidi="en-GB"/>
              </w:rPr>
              <w:t>AMZN</w:t>
            </w:r>
          </w:p>
        </w:tc>
        <w:tc>
          <w:tcPr>
            <w:tcW w:w="3096" w:type="dxa"/>
            <w:shd w:val="clear" w:color="auto" w:fill="F2F4F7"/>
            <w:tcMar>
              <w:top w:w="68" w:type="dxa"/>
              <w:left w:w="85" w:type="dxa"/>
              <w:bottom w:w="68" w:type="dxa"/>
              <w:right w:w="85" w:type="dxa"/>
            </w:tcMar>
            <w:vAlign w:val="center"/>
          </w:tcPr>
          <w:p w14:paraId="34678304">
            <w:pPr>
              <w:spacing w:after="0" w:line="240" w:lineRule="auto"/>
              <w:jc w:val="left"/>
            </w:pPr>
            <w:r>
              <w:rPr>
                <w:rFonts w:ascii="Times New Roman" w:hAnsi="Times New Roman" w:eastAsia="Times New Roman" w:cs="Times New Roman"/>
                <w:b w:val="0"/>
                <w:i w:val="0"/>
                <w:color w:val="20262B"/>
                <w:sz w:val="17"/>
                <w:lang w:val="en-GB" w:eastAsia="en-GB" w:bidi="en-GB"/>
              </w:rPr>
              <w:t>Amazon.com, Inc.</w:t>
            </w:r>
          </w:p>
        </w:tc>
        <w:tc>
          <w:tcPr>
            <w:tcW w:w="892" w:type="dxa"/>
            <w:shd w:val="clear" w:color="auto" w:fill="F2F4F7"/>
            <w:tcMar>
              <w:top w:w="68" w:type="dxa"/>
              <w:left w:w="85" w:type="dxa"/>
              <w:bottom w:w="68" w:type="dxa"/>
              <w:right w:w="85" w:type="dxa"/>
            </w:tcMar>
            <w:vAlign w:val="center"/>
          </w:tcPr>
          <w:p w14:paraId="2110D619">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c>
          <w:tcPr>
            <w:tcW w:w="1699" w:type="dxa"/>
            <w:shd w:val="clear" w:color="auto" w:fill="F2F4F7"/>
            <w:tcMar>
              <w:top w:w="68" w:type="dxa"/>
              <w:left w:w="85" w:type="dxa"/>
              <w:bottom w:w="68" w:type="dxa"/>
              <w:right w:w="85" w:type="dxa"/>
            </w:tcMar>
            <w:vAlign w:val="center"/>
          </w:tcPr>
          <w:p w14:paraId="4427A364">
            <w:pPr>
              <w:spacing w:after="0" w:line="240" w:lineRule="auto"/>
              <w:jc w:val="center"/>
            </w:pPr>
            <w:r>
              <w:rPr>
                <w:rFonts w:ascii="Times New Roman" w:hAnsi="Times New Roman" w:eastAsia="Times New Roman" w:cs="Times New Roman"/>
                <w:b w:val="0"/>
                <w:i w:val="0"/>
                <w:color w:val="20262B"/>
                <w:sz w:val="17"/>
                <w:lang w:val="en-GB" w:eastAsia="en-GB" w:bidi="en-GB"/>
              </w:rPr>
              <w:t>2021-01-04</w:t>
            </w:r>
          </w:p>
        </w:tc>
        <w:tc>
          <w:tcPr>
            <w:tcW w:w="1699" w:type="dxa"/>
            <w:shd w:val="clear" w:color="auto" w:fill="F2F4F7"/>
            <w:tcMar>
              <w:top w:w="68" w:type="dxa"/>
              <w:left w:w="85" w:type="dxa"/>
              <w:bottom w:w="68" w:type="dxa"/>
              <w:right w:w="85" w:type="dxa"/>
            </w:tcMar>
            <w:vAlign w:val="center"/>
          </w:tcPr>
          <w:p w14:paraId="0CD7BC6E">
            <w:pPr>
              <w:spacing w:after="0" w:line="240" w:lineRule="auto"/>
              <w:jc w:val="center"/>
            </w:pPr>
            <w:r>
              <w:rPr>
                <w:rFonts w:ascii="Times New Roman" w:hAnsi="Times New Roman" w:eastAsia="Times New Roman" w:cs="Times New Roman"/>
                <w:b w:val="0"/>
                <w:i w:val="0"/>
                <w:color w:val="20262B"/>
                <w:sz w:val="17"/>
                <w:lang w:val="en-GB" w:eastAsia="en-GB" w:bidi="en-GB"/>
              </w:rPr>
              <w:t>2025-12-31</w:t>
            </w:r>
          </w:p>
        </w:tc>
        <w:tc>
          <w:tcPr>
            <w:tcW w:w="1180" w:type="dxa"/>
            <w:shd w:val="clear" w:color="auto" w:fill="F2F4F7"/>
            <w:tcMar>
              <w:top w:w="68" w:type="dxa"/>
              <w:left w:w="85" w:type="dxa"/>
              <w:bottom w:w="68" w:type="dxa"/>
              <w:right w:w="85" w:type="dxa"/>
            </w:tcMar>
            <w:vAlign w:val="center"/>
          </w:tcPr>
          <w:p w14:paraId="3E68EB43">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3095894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429861AC">
            <w:pPr>
              <w:spacing w:after="0" w:line="240" w:lineRule="auto"/>
              <w:jc w:val="center"/>
            </w:pPr>
            <w:r>
              <w:rPr>
                <w:rFonts w:ascii="Times New Roman" w:hAnsi="Times New Roman" w:eastAsia="Times New Roman" w:cs="Times New Roman"/>
                <w:b w:val="0"/>
                <w:i w:val="0"/>
                <w:color w:val="20262B"/>
                <w:sz w:val="17"/>
                <w:lang w:val="en-GB" w:eastAsia="en-GB" w:bidi="en-GB"/>
              </w:rPr>
              <w:t>NVDA</w:t>
            </w:r>
          </w:p>
        </w:tc>
        <w:tc>
          <w:tcPr>
            <w:tcW w:w="3096" w:type="dxa"/>
            <w:tcMar>
              <w:top w:w="68" w:type="dxa"/>
              <w:left w:w="85" w:type="dxa"/>
              <w:bottom w:w="68" w:type="dxa"/>
              <w:right w:w="85" w:type="dxa"/>
            </w:tcMar>
            <w:vAlign w:val="center"/>
          </w:tcPr>
          <w:p w14:paraId="0E4347D0">
            <w:pPr>
              <w:spacing w:after="0" w:line="240" w:lineRule="auto"/>
              <w:jc w:val="left"/>
            </w:pPr>
            <w:r>
              <w:rPr>
                <w:rFonts w:ascii="Times New Roman" w:hAnsi="Times New Roman" w:eastAsia="Times New Roman" w:cs="Times New Roman"/>
                <w:b w:val="0"/>
                <w:i w:val="0"/>
                <w:color w:val="20262B"/>
                <w:sz w:val="17"/>
                <w:lang w:val="en-GB" w:eastAsia="en-GB" w:bidi="en-GB"/>
              </w:rPr>
              <w:t>NVIDIA Corporation</w:t>
            </w:r>
          </w:p>
        </w:tc>
        <w:tc>
          <w:tcPr>
            <w:tcW w:w="892" w:type="dxa"/>
            <w:tcMar>
              <w:top w:w="68" w:type="dxa"/>
              <w:left w:w="85" w:type="dxa"/>
              <w:bottom w:w="68" w:type="dxa"/>
              <w:right w:w="85" w:type="dxa"/>
            </w:tcMar>
            <w:vAlign w:val="center"/>
          </w:tcPr>
          <w:p w14:paraId="79A785F5">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c>
          <w:tcPr>
            <w:tcW w:w="1699" w:type="dxa"/>
            <w:tcMar>
              <w:top w:w="68" w:type="dxa"/>
              <w:left w:w="85" w:type="dxa"/>
              <w:bottom w:w="68" w:type="dxa"/>
              <w:right w:w="85" w:type="dxa"/>
            </w:tcMar>
            <w:vAlign w:val="center"/>
          </w:tcPr>
          <w:p w14:paraId="5B60877F">
            <w:pPr>
              <w:spacing w:after="0" w:line="240" w:lineRule="auto"/>
              <w:jc w:val="center"/>
            </w:pPr>
            <w:r>
              <w:rPr>
                <w:rFonts w:ascii="Times New Roman" w:hAnsi="Times New Roman" w:eastAsia="Times New Roman" w:cs="Times New Roman"/>
                <w:b w:val="0"/>
                <w:i w:val="0"/>
                <w:color w:val="20262B"/>
                <w:sz w:val="17"/>
                <w:lang w:val="en-GB" w:eastAsia="en-GB" w:bidi="en-GB"/>
              </w:rPr>
              <w:t>2021-01-04</w:t>
            </w:r>
          </w:p>
        </w:tc>
        <w:tc>
          <w:tcPr>
            <w:tcW w:w="1699" w:type="dxa"/>
            <w:tcMar>
              <w:top w:w="68" w:type="dxa"/>
              <w:left w:w="85" w:type="dxa"/>
              <w:bottom w:w="68" w:type="dxa"/>
              <w:right w:w="85" w:type="dxa"/>
            </w:tcMar>
            <w:vAlign w:val="center"/>
          </w:tcPr>
          <w:p w14:paraId="61578FC2">
            <w:pPr>
              <w:spacing w:after="0" w:line="240" w:lineRule="auto"/>
              <w:jc w:val="center"/>
            </w:pPr>
            <w:r>
              <w:rPr>
                <w:rFonts w:ascii="Times New Roman" w:hAnsi="Times New Roman" w:eastAsia="Times New Roman" w:cs="Times New Roman"/>
                <w:b w:val="0"/>
                <w:i w:val="0"/>
                <w:color w:val="20262B"/>
                <w:sz w:val="17"/>
                <w:lang w:val="en-GB" w:eastAsia="en-GB" w:bidi="en-GB"/>
              </w:rPr>
              <w:t>2025-12-31</w:t>
            </w:r>
          </w:p>
        </w:tc>
        <w:tc>
          <w:tcPr>
            <w:tcW w:w="1180" w:type="dxa"/>
            <w:tcMar>
              <w:top w:w="68" w:type="dxa"/>
              <w:left w:w="85" w:type="dxa"/>
              <w:bottom w:w="68" w:type="dxa"/>
              <w:right w:w="85" w:type="dxa"/>
            </w:tcMar>
            <w:vAlign w:val="center"/>
          </w:tcPr>
          <w:p w14:paraId="677B055B">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bl>
    <w:p w14:paraId="43C80156">
      <w:pPr>
        <w:pStyle w:val="15"/>
        <w:keepNext/>
        <w:widowControl/>
        <w:spacing w:before="60" w:after="60"/>
      </w:pPr>
      <w:r>
        <w:rPr>
          <w:rFonts w:ascii="Arial" w:hAnsi="Arial" w:eastAsia="Arial" w:cs="Arial"/>
          <w:b/>
          <w:i w:val="0"/>
          <w:color w:val="12324B"/>
          <w:sz w:val="18"/>
          <w:lang w:val="en-GB" w:eastAsia="en-GB" w:bidi="en-GB"/>
        </w:rPr>
        <w:t>Table 6A. Independent closing-price cross-check (USD)</w:t>
      </w:r>
    </w:p>
    <w:tbl>
      <w:tblPr>
        <w:tblStyle w:val="32"/>
        <w:tblW w:w="9458"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892"/>
        <w:gridCol w:w="3096"/>
        <w:gridCol w:w="892"/>
        <w:gridCol w:w="1699"/>
        <w:gridCol w:w="1699"/>
        <w:gridCol w:w="1180"/>
      </w:tblGrid>
      <w:tr w14:paraId="4195ECE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892" w:type="dxa"/>
            <w:shd w:val="clear" w:color="auto" w:fill="12324B"/>
            <w:tcMar>
              <w:top w:w="75" w:type="dxa"/>
              <w:left w:w="85" w:type="dxa"/>
              <w:bottom w:w="75" w:type="dxa"/>
              <w:right w:w="85" w:type="dxa"/>
            </w:tcMar>
            <w:vAlign w:val="center"/>
          </w:tcPr>
          <w:p w14:paraId="13CF6808">
            <w:pPr>
              <w:spacing w:after="0" w:line="240" w:lineRule="auto"/>
              <w:jc w:val="center"/>
            </w:pPr>
            <w:r>
              <w:rPr>
                <w:rFonts w:ascii="Arial" w:hAnsi="Arial" w:eastAsia="Arial" w:cs="Arial"/>
                <w:b/>
                <w:i w:val="0"/>
                <w:color w:val="FFFFFF"/>
                <w:sz w:val="16"/>
                <w:lang w:val="en-GB" w:eastAsia="en-GB" w:bidi="en-GB"/>
              </w:rPr>
              <w:t>Ticker</w:t>
            </w:r>
          </w:p>
        </w:tc>
        <w:tc>
          <w:tcPr>
            <w:tcW w:w="3096" w:type="dxa"/>
            <w:shd w:val="clear" w:color="auto" w:fill="12324B"/>
            <w:tcMar>
              <w:top w:w="75" w:type="dxa"/>
              <w:left w:w="85" w:type="dxa"/>
              <w:bottom w:w="75" w:type="dxa"/>
              <w:right w:w="85" w:type="dxa"/>
            </w:tcMar>
            <w:vAlign w:val="center"/>
          </w:tcPr>
          <w:p w14:paraId="691B30C6">
            <w:pPr>
              <w:spacing w:after="0" w:line="240" w:lineRule="auto"/>
              <w:jc w:val="left"/>
            </w:pPr>
            <w:r>
              <w:rPr>
                <w:rFonts w:ascii="Arial" w:hAnsi="Arial" w:eastAsia="Arial" w:cs="Arial"/>
                <w:b/>
                <w:i w:val="0"/>
                <w:color w:val="FFFFFF"/>
                <w:sz w:val="16"/>
                <w:lang w:val="en-GB" w:eastAsia="en-GB" w:bidi="en-GB"/>
              </w:rPr>
              <w:t>Date</w:t>
            </w:r>
          </w:p>
        </w:tc>
        <w:tc>
          <w:tcPr>
            <w:tcW w:w="892" w:type="dxa"/>
            <w:shd w:val="clear" w:color="auto" w:fill="12324B"/>
            <w:tcMar>
              <w:top w:w="75" w:type="dxa"/>
              <w:left w:w="85" w:type="dxa"/>
              <w:bottom w:w="75" w:type="dxa"/>
              <w:right w:w="85" w:type="dxa"/>
            </w:tcMar>
            <w:vAlign w:val="center"/>
          </w:tcPr>
          <w:p w14:paraId="251C3368">
            <w:pPr>
              <w:spacing w:after="0" w:line="240" w:lineRule="auto"/>
              <w:jc w:val="center"/>
            </w:pPr>
            <w:r>
              <w:rPr>
                <w:rFonts w:ascii="Arial" w:hAnsi="Arial" w:eastAsia="Arial" w:cs="Arial"/>
                <w:b/>
                <w:i w:val="0"/>
                <w:color w:val="FFFFFF"/>
                <w:sz w:val="16"/>
                <w:lang w:val="en-GB" w:eastAsia="en-GB" w:bidi="en-GB"/>
              </w:rPr>
              <w:t>Yahoo Close</w:t>
            </w:r>
          </w:p>
        </w:tc>
        <w:tc>
          <w:tcPr>
            <w:tcW w:w="1699" w:type="dxa"/>
            <w:shd w:val="clear" w:color="auto" w:fill="12324B"/>
            <w:tcMar>
              <w:top w:w="75" w:type="dxa"/>
              <w:left w:w="85" w:type="dxa"/>
              <w:bottom w:w="75" w:type="dxa"/>
              <w:right w:w="85" w:type="dxa"/>
            </w:tcMar>
            <w:vAlign w:val="center"/>
          </w:tcPr>
          <w:p>
            <w:r>
              <w:t>Reference Close (Nasdaq)</w:t>
            </w:r>
          </w:p>
        </w:tc>
        <w:tc>
          <w:tcPr>
            <w:tcW w:w="1699" w:type="dxa"/>
            <w:shd w:val="clear" w:color="auto" w:fill="12324B"/>
            <w:tcMar>
              <w:top w:w="75" w:type="dxa"/>
              <w:left w:w="85" w:type="dxa"/>
              <w:bottom w:w="75" w:type="dxa"/>
              <w:right w:w="85" w:type="dxa"/>
            </w:tcMar>
            <w:vAlign w:val="center"/>
          </w:tcPr>
          <w:p w14:paraId="6705099E">
            <w:pPr>
              <w:spacing w:after="0" w:line="240" w:lineRule="auto"/>
              <w:jc w:val="center"/>
            </w:pPr>
            <w:r>
              <w:rPr>
                <w:rFonts w:ascii="Arial" w:hAnsi="Arial" w:eastAsia="Arial" w:cs="Arial"/>
                <w:b/>
                <w:i w:val="0"/>
                <w:color w:val="FFFFFF"/>
                <w:sz w:val="16"/>
                <w:lang w:val="en-GB" w:eastAsia="en-GB" w:bidi="en-GB"/>
              </w:rPr>
              <w:t>Difference</w:t>
            </w:r>
          </w:p>
        </w:tc>
        <w:tc>
          <w:tcPr>
            <w:tcW w:w="1180" w:type="dxa"/>
            <w:shd w:val="clear" w:color="auto" w:fill="12324B"/>
            <w:tcMar>
              <w:top w:w="75" w:type="dxa"/>
              <w:left w:w="85" w:type="dxa"/>
              <w:bottom w:w="75" w:type="dxa"/>
              <w:right w:w="85" w:type="dxa"/>
            </w:tcMar>
            <w:vAlign w:val="center"/>
          </w:tcPr>
          <w:p w14:paraId="5F13170E">
            <w:pPr>
              <w:spacing w:after="0" w:line="240" w:lineRule="auto"/>
              <w:jc w:val="center"/>
            </w:pPr>
            <w:r>
              <w:rPr>
                <w:rFonts w:ascii="Arial" w:hAnsi="Arial" w:eastAsia="Arial" w:cs="Arial"/>
                <w:b/>
                <w:i w:val="0"/>
                <w:color w:val="FFFFFF"/>
                <w:sz w:val="16"/>
                <w:lang w:val="en-GB" w:eastAsia="en-GB" w:bidi="en-GB"/>
              </w:rPr>
              <w:t>Result</w:t>
            </w:r>
          </w:p>
        </w:tc>
      </w:tr>
      <w:tr w14:paraId="424AFA6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1231033D">
            <w:pPr>
              <w:spacing w:after="0" w:line="240" w:lineRule="auto"/>
              <w:jc w:val="center"/>
            </w:pPr>
            <w:r>
              <w:rPr>
                <w:rFonts w:ascii="Times New Roman" w:hAnsi="Times New Roman" w:eastAsia="Times New Roman" w:cs="Times New Roman"/>
                <w:b w:val="0"/>
                <w:i w:val="0"/>
                <w:color w:val="20262B"/>
                <w:sz w:val="17"/>
                <w:lang w:val="en-GB" w:eastAsia="en-GB" w:bidi="en-GB"/>
              </w:rPr>
              <w:t>AAPL</w:t>
            </w:r>
          </w:p>
        </w:tc>
        <w:tc>
          <w:tcPr>
            <w:tcW w:w="3096" w:type="dxa"/>
            <w:tcMar>
              <w:top w:w="68" w:type="dxa"/>
              <w:left w:w="85" w:type="dxa"/>
              <w:bottom w:w="68" w:type="dxa"/>
              <w:right w:w="85" w:type="dxa"/>
            </w:tcMar>
            <w:vAlign w:val="center"/>
          </w:tcPr>
          <w:p w14:paraId="10CBE790">
            <w:pPr>
              <w:spacing w:after="0" w:line="240" w:lineRule="auto"/>
              <w:jc w:val="left"/>
            </w:pPr>
            <w:r>
              <w:rPr>
                <w:rFonts w:ascii="Times New Roman" w:hAnsi="Times New Roman" w:eastAsia="Times New Roman" w:cs="Times New Roman"/>
                <w:b w:val="0"/>
                <w:i w:val="0"/>
                <w:color w:val="20262B"/>
                <w:sz w:val="17"/>
                <w:lang w:val="en-GB" w:eastAsia="en-GB" w:bidi="en-GB"/>
              </w:rPr>
              <w:t>2025-12-31</w:t>
            </w:r>
          </w:p>
        </w:tc>
        <w:tc>
          <w:tcPr>
            <w:tcW w:w="892" w:type="dxa"/>
            <w:tcMar>
              <w:top w:w="68" w:type="dxa"/>
              <w:left w:w="85" w:type="dxa"/>
              <w:bottom w:w="68" w:type="dxa"/>
              <w:right w:w="85" w:type="dxa"/>
            </w:tcMar>
            <w:vAlign w:val="center"/>
          </w:tcPr>
          <w:p w14:paraId="39093D5E">
            <w:pPr>
              <w:spacing w:after="0" w:line="240" w:lineRule="auto"/>
              <w:jc w:val="center"/>
            </w:pPr>
            <w:r>
              <w:rPr>
                <w:rFonts w:ascii="Times New Roman" w:hAnsi="Times New Roman" w:eastAsia="Times New Roman" w:cs="Times New Roman"/>
                <w:b w:val="0"/>
                <w:i w:val="0"/>
                <w:color w:val="20262B"/>
                <w:sz w:val="17"/>
                <w:lang w:val="en-GB" w:eastAsia="en-GB" w:bidi="en-GB"/>
              </w:rPr>
              <w:t>271.85998535</w:t>
            </w:r>
          </w:p>
        </w:tc>
        <w:tc>
          <w:tcPr>
            <w:tcW w:w="1699" w:type="dxa"/>
            <w:tcMar>
              <w:top w:w="68" w:type="dxa"/>
              <w:left w:w="85" w:type="dxa"/>
              <w:bottom w:w="68" w:type="dxa"/>
              <w:right w:w="85" w:type="dxa"/>
            </w:tcMar>
            <w:vAlign w:val="center"/>
          </w:tcPr>
          <w:p w14:paraId="0B233569">
            <w:pPr>
              <w:spacing w:after="0" w:line="240" w:lineRule="auto"/>
              <w:jc w:val="center"/>
            </w:pPr>
            <w:r>
              <w:rPr>
                <w:rFonts w:ascii="Times New Roman" w:hAnsi="Times New Roman" w:eastAsia="Times New Roman" w:cs="Times New Roman"/>
                <w:b w:val="0"/>
                <w:i w:val="0"/>
                <w:color w:val="20262B"/>
                <w:sz w:val="17"/>
                <w:lang w:val="en-GB" w:eastAsia="en-GB" w:bidi="en-GB"/>
              </w:rPr>
              <w:t>271.86</w:t>
            </w:r>
          </w:p>
        </w:tc>
        <w:tc>
          <w:tcPr>
            <w:tcW w:w="1699" w:type="dxa"/>
            <w:tcMar>
              <w:top w:w="68" w:type="dxa"/>
              <w:left w:w="85" w:type="dxa"/>
              <w:bottom w:w="68" w:type="dxa"/>
              <w:right w:w="85" w:type="dxa"/>
            </w:tcMar>
            <w:vAlign w:val="center"/>
          </w:tcPr>
          <w:p w14:paraId="5B05273E">
            <w:pPr>
              <w:spacing w:after="0" w:line="240" w:lineRule="auto"/>
              <w:jc w:val="center"/>
            </w:pPr>
            <w:r>
              <w:rPr>
                <w:rFonts w:ascii="Times New Roman" w:hAnsi="Times New Roman" w:eastAsia="Times New Roman" w:cs="Times New Roman"/>
                <w:b w:val="0"/>
                <w:i w:val="0"/>
                <w:color w:val="20262B"/>
                <w:sz w:val="17"/>
                <w:lang w:val="en-GB" w:eastAsia="en-GB" w:bidi="en-GB"/>
              </w:rPr>
              <w:t>-0.00001465</w:t>
            </w:r>
          </w:p>
        </w:tc>
        <w:tc>
          <w:tcPr>
            <w:tcW w:w="1180" w:type="dxa"/>
            <w:tcMar>
              <w:top w:w="68" w:type="dxa"/>
              <w:left w:w="85" w:type="dxa"/>
              <w:bottom w:w="68" w:type="dxa"/>
              <w:right w:w="85" w:type="dxa"/>
            </w:tcMar>
            <w:vAlign w:val="center"/>
          </w:tcPr>
          <w:p w14:paraId="5EC1E9F9">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01A2046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shd w:val="clear" w:color="auto" w:fill="F2F4F7"/>
            <w:tcMar>
              <w:top w:w="68" w:type="dxa"/>
              <w:left w:w="85" w:type="dxa"/>
              <w:bottom w:w="68" w:type="dxa"/>
              <w:right w:w="85" w:type="dxa"/>
            </w:tcMar>
            <w:vAlign w:val="center"/>
          </w:tcPr>
          <w:p w14:paraId="363FC71B">
            <w:pPr>
              <w:spacing w:after="0" w:line="240" w:lineRule="auto"/>
              <w:jc w:val="center"/>
            </w:pPr>
            <w:r>
              <w:rPr>
                <w:rFonts w:ascii="Times New Roman" w:hAnsi="Times New Roman" w:eastAsia="Times New Roman" w:cs="Times New Roman"/>
                <w:b w:val="0"/>
                <w:i w:val="0"/>
                <w:color w:val="20262B"/>
                <w:sz w:val="17"/>
                <w:lang w:val="en-GB" w:eastAsia="en-GB" w:bidi="en-GB"/>
              </w:rPr>
              <w:t>MSFT</w:t>
            </w:r>
          </w:p>
        </w:tc>
        <w:tc>
          <w:tcPr>
            <w:tcW w:w="3096" w:type="dxa"/>
            <w:shd w:val="clear" w:color="auto" w:fill="F2F4F7"/>
            <w:tcMar>
              <w:top w:w="68" w:type="dxa"/>
              <w:left w:w="85" w:type="dxa"/>
              <w:bottom w:w="68" w:type="dxa"/>
              <w:right w:w="85" w:type="dxa"/>
            </w:tcMar>
            <w:vAlign w:val="center"/>
          </w:tcPr>
          <w:p w14:paraId="3253311E">
            <w:pPr>
              <w:spacing w:after="0" w:line="240" w:lineRule="auto"/>
              <w:jc w:val="left"/>
            </w:pPr>
            <w:r>
              <w:rPr>
                <w:rFonts w:ascii="Times New Roman" w:hAnsi="Times New Roman" w:eastAsia="Times New Roman" w:cs="Times New Roman"/>
                <w:b w:val="0"/>
                <w:i w:val="0"/>
                <w:color w:val="20262B"/>
                <w:sz w:val="17"/>
                <w:lang w:val="en-GB" w:eastAsia="en-GB" w:bidi="en-GB"/>
              </w:rPr>
              <w:t>2025-12-31</w:t>
            </w:r>
          </w:p>
        </w:tc>
        <w:tc>
          <w:tcPr>
            <w:tcW w:w="892" w:type="dxa"/>
            <w:shd w:val="clear" w:color="auto" w:fill="F2F4F7"/>
            <w:tcMar>
              <w:top w:w="68" w:type="dxa"/>
              <w:left w:w="85" w:type="dxa"/>
              <w:bottom w:w="68" w:type="dxa"/>
              <w:right w:w="85" w:type="dxa"/>
            </w:tcMar>
            <w:vAlign w:val="center"/>
          </w:tcPr>
          <w:p w14:paraId="11C8463C">
            <w:pPr>
              <w:spacing w:after="0" w:line="240" w:lineRule="auto"/>
              <w:jc w:val="center"/>
            </w:pPr>
            <w:r>
              <w:rPr>
                <w:rFonts w:ascii="Times New Roman" w:hAnsi="Times New Roman" w:eastAsia="Times New Roman" w:cs="Times New Roman"/>
                <w:b w:val="0"/>
                <w:i w:val="0"/>
                <w:color w:val="20262B"/>
                <w:sz w:val="17"/>
                <w:lang w:val="en-GB" w:eastAsia="en-GB" w:bidi="en-GB"/>
              </w:rPr>
              <w:t>483.61999512</w:t>
            </w:r>
          </w:p>
        </w:tc>
        <w:tc>
          <w:tcPr>
            <w:tcW w:w="1699" w:type="dxa"/>
            <w:shd w:val="clear" w:color="auto" w:fill="F2F4F7"/>
            <w:tcMar>
              <w:top w:w="68" w:type="dxa"/>
              <w:left w:w="85" w:type="dxa"/>
              <w:bottom w:w="68" w:type="dxa"/>
              <w:right w:w="85" w:type="dxa"/>
            </w:tcMar>
            <w:vAlign w:val="center"/>
          </w:tcPr>
          <w:p w14:paraId="1B16926B">
            <w:pPr>
              <w:spacing w:after="0" w:line="240" w:lineRule="auto"/>
              <w:jc w:val="center"/>
            </w:pPr>
            <w:r>
              <w:rPr>
                <w:rFonts w:ascii="Times New Roman" w:hAnsi="Times New Roman" w:eastAsia="Times New Roman" w:cs="Times New Roman"/>
                <w:b w:val="0"/>
                <w:i w:val="0"/>
                <w:color w:val="20262B"/>
                <w:sz w:val="17"/>
                <w:lang w:val="en-GB" w:eastAsia="en-GB" w:bidi="en-GB"/>
              </w:rPr>
              <w:t>483.62</w:t>
            </w:r>
          </w:p>
        </w:tc>
        <w:tc>
          <w:tcPr>
            <w:tcW w:w="1699" w:type="dxa"/>
            <w:shd w:val="clear" w:color="auto" w:fill="F2F4F7"/>
            <w:tcMar>
              <w:top w:w="68" w:type="dxa"/>
              <w:left w:w="85" w:type="dxa"/>
              <w:bottom w:w="68" w:type="dxa"/>
              <w:right w:w="85" w:type="dxa"/>
            </w:tcMar>
            <w:vAlign w:val="center"/>
          </w:tcPr>
          <w:p w14:paraId="78BCBB06">
            <w:pPr>
              <w:spacing w:after="0" w:line="240" w:lineRule="auto"/>
              <w:jc w:val="center"/>
            </w:pPr>
            <w:r>
              <w:rPr>
                <w:rFonts w:ascii="Times New Roman" w:hAnsi="Times New Roman" w:eastAsia="Times New Roman" w:cs="Times New Roman"/>
                <w:b w:val="0"/>
                <w:i w:val="0"/>
                <w:color w:val="20262B"/>
                <w:sz w:val="17"/>
                <w:lang w:val="en-GB" w:eastAsia="en-GB" w:bidi="en-GB"/>
              </w:rPr>
              <w:t>-0.00000488</w:t>
            </w:r>
          </w:p>
        </w:tc>
        <w:tc>
          <w:tcPr>
            <w:tcW w:w="1180" w:type="dxa"/>
            <w:shd w:val="clear" w:color="auto" w:fill="F2F4F7"/>
            <w:tcMar>
              <w:top w:w="68" w:type="dxa"/>
              <w:left w:w="85" w:type="dxa"/>
              <w:bottom w:w="68" w:type="dxa"/>
              <w:right w:w="85" w:type="dxa"/>
            </w:tcMar>
            <w:vAlign w:val="center"/>
          </w:tcPr>
          <w:p w14:paraId="3A67A0F6">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7B39536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40059E14">
            <w:pPr>
              <w:spacing w:after="0" w:line="240" w:lineRule="auto"/>
              <w:jc w:val="center"/>
            </w:pPr>
            <w:r>
              <w:rPr>
                <w:rFonts w:ascii="Times New Roman" w:hAnsi="Times New Roman" w:eastAsia="Times New Roman" w:cs="Times New Roman"/>
                <w:b w:val="0"/>
                <w:i w:val="0"/>
                <w:color w:val="20262B"/>
                <w:sz w:val="17"/>
                <w:lang w:val="en-GB" w:eastAsia="en-GB" w:bidi="en-GB"/>
              </w:rPr>
              <w:t>GOOGL</w:t>
            </w:r>
          </w:p>
        </w:tc>
        <w:tc>
          <w:tcPr>
            <w:tcW w:w="3096" w:type="dxa"/>
            <w:tcMar>
              <w:top w:w="68" w:type="dxa"/>
              <w:left w:w="85" w:type="dxa"/>
              <w:bottom w:w="68" w:type="dxa"/>
              <w:right w:w="85" w:type="dxa"/>
            </w:tcMar>
            <w:vAlign w:val="center"/>
          </w:tcPr>
          <w:p w14:paraId="7735CC8F">
            <w:pPr>
              <w:spacing w:after="0" w:line="240" w:lineRule="auto"/>
              <w:jc w:val="left"/>
            </w:pPr>
            <w:r>
              <w:rPr>
                <w:rFonts w:ascii="Times New Roman" w:hAnsi="Times New Roman" w:eastAsia="Times New Roman" w:cs="Times New Roman"/>
                <w:b w:val="0"/>
                <w:i w:val="0"/>
                <w:color w:val="20262B"/>
                <w:sz w:val="17"/>
                <w:lang w:val="en-GB" w:eastAsia="en-GB" w:bidi="en-GB"/>
              </w:rPr>
              <w:t>2025-12-31</w:t>
            </w:r>
          </w:p>
        </w:tc>
        <w:tc>
          <w:tcPr>
            <w:tcW w:w="892" w:type="dxa"/>
            <w:tcMar>
              <w:top w:w="68" w:type="dxa"/>
              <w:left w:w="85" w:type="dxa"/>
              <w:bottom w:w="68" w:type="dxa"/>
              <w:right w:w="85" w:type="dxa"/>
            </w:tcMar>
            <w:vAlign w:val="center"/>
          </w:tcPr>
          <w:p w14:paraId="72DF7585">
            <w:pPr>
              <w:spacing w:after="0" w:line="240" w:lineRule="auto"/>
              <w:jc w:val="center"/>
            </w:pPr>
            <w:r>
              <w:rPr>
                <w:rFonts w:ascii="Times New Roman" w:hAnsi="Times New Roman" w:eastAsia="Times New Roman" w:cs="Times New Roman"/>
                <w:b w:val="0"/>
                <w:i w:val="0"/>
                <w:color w:val="20262B"/>
                <w:sz w:val="17"/>
                <w:lang w:val="en-GB" w:eastAsia="en-GB" w:bidi="en-GB"/>
              </w:rPr>
              <w:t>313.00000000</w:t>
            </w:r>
          </w:p>
        </w:tc>
        <w:tc>
          <w:tcPr>
            <w:tcW w:w="1699" w:type="dxa"/>
            <w:tcMar>
              <w:top w:w="68" w:type="dxa"/>
              <w:left w:w="85" w:type="dxa"/>
              <w:bottom w:w="68" w:type="dxa"/>
              <w:right w:w="85" w:type="dxa"/>
            </w:tcMar>
            <w:vAlign w:val="center"/>
          </w:tcPr>
          <w:p w14:paraId="45AFC0EF">
            <w:pPr>
              <w:spacing w:after="0" w:line="240" w:lineRule="auto"/>
              <w:jc w:val="center"/>
            </w:pPr>
            <w:r>
              <w:rPr>
                <w:rFonts w:ascii="Times New Roman" w:hAnsi="Times New Roman" w:eastAsia="Times New Roman" w:cs="Times New Roman"/>
                <w:b w:val="0"/>
                <w:i w:val="0"/>
                <w:color w:val="20262B"/>
                <w:sz w:val="17"/>
                <w:lang w:val="en-GB" w:eastAsia="en-GB" w:bidi="en-GB"/>
              </w:rPr>
              <w:t>313.00</w:t>
            </w:r>
          </w:p>
        </w:tc>
        <w:tc>
          <w:tcPr>
            <w:tcW w:w="1699" w:type="dxa"/>
            <w:tcMar>
              <w:top w:w="68" w:type="dxa"/>
              <w:left w:w="85" w:type="dxa"/>
              <w:bottom w:w="68" w:type="dxa"/>
              <w:right w:w="85" w:type="dxa"/>
            </w:tcMar>
            <w:vAlign w:val="center"/>
          </w:tcPr>
          <w:p w14:paraId="11C24AF1">
            <w:pPr>
              <w:spacing w:after="0" w:line="240" w:lineRule="auto"/>
              <w:jc w:val="center"/>
            </w:pPr>
            <w:r>
              <w:rPr>
                <w:rFonts w:ascii="Times New Roman" w:hAnsi="Times New Roman" w:eastAsia="Times New Roman" w:cs="Times New Roman"/>
                <w:b w:val="0"/>
                <w:i w:val="0"/>
                <w:color w:val="20262B"/>
                <w:sz w:val="17"/>
                <w:lang w:val="en-GB" w:eastAsia="en-GB" w:bidi="en-GB"/>
              </w:rPr>
              <w:t>0.00000000</w:t>
            </w:r>
          </w:p>
        </w:tc>
        <w:tc>
          <w:tcPr>
            <w:tcW w:w="1180" w:type="dxa"/>
            <w:tcMar>
              <w:top w:w="68" w:type="dxa"/>
              <w:left w:w="85" w:type="dxa"/>
              <w:bottom w:w="68" w:type="dxa"/>
              <w:right w:w="85" w:type="dxa"/>
            </w:tcMar>
            <w:vAlign w:val="center"/>
          </w:tcPr>
          <w:p w14:paraId="2C5DE267">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45009C94">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shd w:val="clear" w:color="auto" w:fill="F2F4F7"/>
            <w:tcMar>
              <w:top w:w="68" w:type="dxa"/>
              <w:left w:w="85" w:type="dxa"/>
              <w:bottom w:w="68" w:type="dxa"/>
              <w:right w:w="85" w:type="dxa"/>
            </w:tcMar>
            <w:vAlign w:val="center"/>
          </w:tcPr>
          <w:p w14:paraId="6B221FE8">
            <w:pPr>
              <w:spacing w:after="0" w:line="240" w:lineRule="auto"/>
              <w:jc w:val="center"/>
            </w:pPr>
            <w:r>
              <w:rPr>
                <w:rFonts w:ascii="Times New Roman" w:hAnsi="Times New Roman" w:eastAsia="Times New Roman" w:cs="Times New Roman"/>
                <w:b w:val="0"/>
                <w:i w:val="0"/>
                <w:color w:val="20262B"/>
                <w:sz w:val="17"/>
                <w:lang w:val="en-GB" w:eastAsia="en-GB" w:bidi="en-GB"/>
              </w:rPr>
              <w:t>AMZN</w:t>
            </w:r>
          </w:p>
        </w:tc>
        <w:tc>
          <w:tcPr>
            <w:tcW w:w="3096" w:type="dxa"/>
            <w:shd w:val="clear" w:color="auto" w:fill="F2F4F7"/>
            <w:tcMar>
              <w:top w:w="68" w:type="dxa"/>
              <w:left w:w="85" w:type="dxa"/>
              <w:bottom w:w="68" w:type="dxa"/>
              <w:right w:w="85" w:type="dxa"/>
            </w:tcMar>
            <w:vAlign w:val="center"/>
          </w:tcPr>
          <w:p w14:paraId="34678304">
            <w:pPr>
              <w:spacing w:after="0" w:line="240" w:lineRule="auto"/>
              <w:jc w:val="left"/>
            </w:pPr>
            <w:r>
              <w:rPr>
                <w:rFonts w:ascii="Times New Roman" w:hAnsi="Times New Roman" w:eastAsia="Times New Roman" w:cs="Times New Roman"/>
                <w:b w:val="0"/>
                <w:i w:val="0"/>
                <w:color w:val="20262B"/>
                <w:sz w:val="17"/>
                <w:lang w:val="en-GB" w:eastAsia="en-GB" w:bidi="en-GB"/>
              </w:rPr>
              <w:t>2025-12-31</w:t>
            </w:r>
          </w:p>
        </w:tc>
        <w:tc>
          <w:tcPr>
            <w:tcW w:w="892" w:type="dxa"/>
            <w:shd w:val="clear" w:color="auto" w:fill="F2F4F7"/>
            <w:tcMar>
              <w:top w:w="68" w:type="dxa"/>
              <w:left w:w="85" w:type="dxa"/>
              <w:bottom w:w="68" w:type="dxa"/>
              <w:right w:w="85" w:type="dxa"/>
            </w:tcMar>
            <w:vAlign w:val="center"/>
          </w:tcPr>
          <w:p w14:paraId="2110D619">
            <w:pPr>
              <w:spacing w:after="0" w:line="240" w:lineRule="auto"/>
              <w:jc w:val="center"/>
            </w:pPr>
            <w:r>
              <w:rPr>
                <w:rFonts w:ascii="Times New Roman" w:hAnsi="Times New Roman" w:eastAsia="Times New Roman" w:cs="Times New Roman"/>
                <w:b w:val="0"/>
                <w:i w:val="0"/>
                <w:color w:val="20262B"/>
                <w:sz w:val="17"/>
                <w:lang w:val="en-GB" w:eastAsia="en-GB" w:bidi="en-GB"/>
              </w:rPr>
              <w:t>230.82000732</w:t>
            </w:r>
          </w:p>
        </w:tc>
        <w:tc>
          <w:tcPr>
            <w:tcW w:w="1699" w:type="dxa"/>
            <w:shd w:val="clear" w:color="auto" w:fill="F2F4F7"/>
            <w:tcMar>
              <w:top w:w="68" w:type="dxa"/>
              <w:left w:w="85" w:type="dxa"/>
              <w:bottom w:w="68" w:type="dxa"/>
              <w:right w:w="85" w:type="dxa"/>
            </w:tcMar>
            <w:vAlign w:val="center"/>
          </w:tcPr>
          <w:p w14:paraId="4427A364">
            <w:pPr>
              <w:spacing w:after="0" w:line="240" w:lineRule="auto"/>
              <w:jc w:val="center"/>
            </w:pPr>
            <w:r>
              <w:rPr>
                <w:rFonts w:ascii="Times New Roman" w:hAnsi="Times New Roman" w:eastAsia="Times New Roman" w:cs="Times New Roman"/>
                <w:b w:val="0"/>
                <w:i w:val="0"/>
                <w:color w:val="20262B"/>
                <w:sz w:val="17"/>
                <w:lang w:val="en-GB" w:eastAsia="en-GB" w:bidi="en-GB"/>
              </w:rPr>
              <w:t>230.82</w:t>
            </w:r>
          </w:p>
        </w:tc>
        <w:tc>
          <w:tcPr>
            <w:tcW w:w="1699" w:type="dxa"/>
            <w:shd w:val="clear" w:color="auto" w:fill="F2F4F7"/>
            <w:tcMar>
              <w:top w:w="68" w:type="dxa"/>
              <w:left w:w="85" w:type="dxa"/>
              <w:bottom w:w="68" w:type="dxa"/>
              <w:right w:w="85" w:type="dxa"/>
            </w:tcMar>
            <w:vAlign w:val="center"/>
          </w:tcPr>
          <w:p w14:paraId="0CD7BC6E">
            <w:pPr>
              <w:spacing w:after="0" w:line="240" w:lineRule="auto"/>
              <w:jc w:val="center"/>
            </w:pPr>
            <w:r>
              <w:rPr>
                <w:rFonts w:ascii="Times New Roman" w:hAnsi="Times New Roman" w:eastAsia="Times New Roman" w:cs="Times New Roman"/>
                <w:b w:val="0"/>
                <w:i w:val="0"/>
                <w:color w:val="20262B"/>
                <w:sz w:val="17"/>
                <w:lang w:val="en-GB" w:eastAsia="en-GB" w:bidi="en-GB"/>
              </w:rPr>
              <w:t>0.00000732</w:t>
            </w:r>
          </w:p>
        </w:tc>
        <w:tc>
          <w:tcPr>
            <w:tcW w:w="1180" w:type="dxa"/>
            <w:shd w:val="clear" w:color="auto" w:fill="F2F4F7"/>
            <w:tcMar>
              <w:top w:w="68" w:type="dxa"/>
              <w:left w:w="85" w:type="dxa"/>
              <w:bottom w:w="68" w:type="dxa"/>
              <w:right w:w="85" w:type="dxa"/>
            </w:tcMar>
            <w:vAlign w:val="center"/>
          </w:tcPr>
          <w:p w14:paraId="3E68EB43">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3095894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892" w:type="dxa"/>
            <w:tcMar>
              <w:top w:w="68" w:type="dxa"/>
              <w:left w:w="85" w:type="dxa"/>
              <w:bottom w:w="68" w:type="dxa"/>
              <w:right w:w="85" w:type="dxa"/>
            </w:tcMar>
            <w:vAlign w:val="center"/>
          </w:tcPr>
          <w:p w14:paraId="429861AC">
            <w:pPr>
              <w:spacing w:after="0" w:line="240" w:lineRule="auto"/>
              <w:jc w:val="center"/>
            </w:pPr>
            <w:r>
              <w:rPr>
                <w:rFonts w:ascii="Times New Roman" w:hAnsi="Times New Roman" w:eastAsia="Times New Roman" w:cs="Times New Roman"/>
                <w:b w:val="0"/>
                <w:i w:val="0"/>
                <w:color w:val="20262B"/>
                <w:sz w:val="17"/>
                <w:lang w:val="en-GB" w:eastAsia="en-GB" w:bidi="en-GB"/>
              </w:rPr>
              <w:t>NVDA</w:t>
            </w:r>
          </w:p>
        </w:tc>
        <w:tc>
          <w:tcPr>
            <w:tcW w:w="3096" w:type="dxa"/>
            <w:tcMar>
              <w:top w:w="68" w:type="dxa"/>
              <w:left w:w="85" w:type="dxa"/>
              <w:bottom w:w="68" w:type="dxa"/>
              <w:right w:w="85" w:type="dxa"/>
            </w:tcMar>
            <w:vAlign w:val="center"/>
          </w:tcPr>
          <w:p w14:paraId="0E4347D0">
            <w:pPr>
              <w:spacing w:after="0" w:line="240" w:lineRule="auto"/>
              <w:jc w:val="left"/>
            </w:pPr>
            <w:r>
              <w:rPr>
                <w:rFonts w:ascii="Times New Roman" w:hAnsi="Times New Roman" w:eastAsia="Times New Roman" w:cs="Times New Roman"/>
                <w:b w:val="0"/>
                <w:i w:val="0"/>
                <w:color w:val="20262B"/>
                <w:sz w:val="17"/>
                <w:lang w:val="en-GB" w:eastAsia="en-GB" w:bidi="en-GB"/>
              </w:rPr>
              <w:t>2025-12-31</w:t>
            </w:r>
          </w:p>
        </w:tc>
        <w:tc>
          <w:tcPr>
            <w:tcW w:w="892" w:type="dxa"/>
            <w:tcMar>
              <w:top w:w="68" w:type="dxa"/>
              <w:left w:w="85" w:type="dxa"/>
              <w:bottom w:w="68" w:type="dxa"/>
              <w:right w:w="85" w:type="dxa"/>
            </w:tcMar>
            <w:vAlign w:val="center"/>
          </w:tcPr>
          <w:p w14:paraId="79A785F5">
            <w:pPr>
              <w:spacing w:after="0" w:line="240" w:lineRule="auto"/>
              <w:jc w:val="center"/>
            </w:pPr>
            <w:r>
              <w:rPr>
                <w:rFonts w:ascii="Times New Roman" w:hAnsi="Times New Roman" w:eastAsia="Times New Roman" w:cs="Times New Roman"/>
                <w:b w:val="0"/>
                <w:i w:val="0"/>
                <w:color w:val="20262B"/>
                <w:sz w:val="17"/>
                <w:lang w:val="en-GB" w:eastAsia="en-GB" w:bidi="en-GB"/>
              </w:rPr>
              <w:t>186.50000000</w:t>
            </w:r>
          </w:p>
        </w:tc>
        <w:tc>
          <w:tcPr>
            <w:tcW w:w="1699" w:type="dxa"/>
            <w:tcMar>
              <w:top w:w="68" w:type="dxa"/>
              <w:left w:w="85" w:type="dxa"/>
              <w:bottom w:w="68" w:type="dxa"/>
              <w:right w:w="85" w:type="dxa"/>
            </w:tcMar>
            <w:vAlign w:val="center"/>
          </w:tcPr>
          <w:p w14:paraId="5B60877F">
            <w:pPr>
              <w:spacing w:after="0" w:line="240" w:lineRule="auto"/>
              <w:jc w:val="center"/>
            </w:pPr>
            <w:r>
              <w:rPr>
                <w:rFonts w:ascii="Times New Roman" w:hAnsi="Times New Roman" w:eastAsia="Times New Roman" w:cs="Times New Roman"/>
                <w:b w:val="0"/>
                <w:i w:val="0"/>
                <w:color w:val="20262B"/>
                <w:sz w:val="17"/>
                <w:lang w:val="en-GB" w:eastAsia="en-GB" w:bidi="en-GB"/>
              </w:rPr>
              <w:t>186.50</w:t>
            </w:r>
          </w:p>
        </w:tc>
        <w:tc>
          <w:tcPr>
            <w:tcW w:w="1699" w:type="dxa"/>
            <w:tcMar>
              <w:top w:w="68" w:type="dxa"/>
              <w:left w:w="85" w:type="dxa"/>
              <w:bottom w:w="68" w:type="dxa"/>
              <w:right w:w="85" w:type="dxa"/>
            </w:tcMar>
            <w:vAlign w:val="center"/>
          </w:tcPr>
          <w:p w14:paraId="61578FC2">
            <w:pPr>
              <w:spacing w:after="0" w:line="240" w:lineRule="auto"/>
              <w:jc w:val="center"/>
            </w:pPr>
            <w:r>
              <w:rPr>
                <w:rFonts w:ascii="Times New Roman" w:hAnsi="Times New Roman" w:eastAsia="Times New Roman" w:cs="Times New Roman"/>
                <w:b w:val="0"/>
                <w:i w:val="0"/>
                <w:color w:val="20262B"/>
                <w:sz w:val="17"/>
                <w:lang w:val="en-GB" w:eastAsia="en-GB" w:bidi="en-GB"/>
              </w:rPr>
              <w:t>0.00000000</w:t>
            </w:r>
          </w:p>
        </w:tc>
        <w:tc>
          <w:tcPr>
            <w:tcW w:w="1180" w:type="dxa"/>
            <w:tcMar>
              <w:top w:w="68" w:type="dxa"/>
              <w:left w:w="85" w:type="dxa"/>
              <w:bottom w:w="68" w:type="dxa"/>
              <w:right w:w="85" w:type="dxa"/>
            </w:tcMar>
            <w:vAlign w:val="center"/>
          </w:tcPr>
          <w:p w14:paraId="677B055B">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bl>
    <w:p w14:paraId="320A11D0">
      <w:pPr>
        <w:pStyle w:val="19"/>
        <w:keepLines/>
        <w:widowControl/>
        <w:spacing w:before="0" w:after="100"/>
        <w:ind w:left="0" w:firstLine="0"/>
        <w:jc w:val="left"/>
      </w:pPr>
      <w:r>
        <w:t>All five Yahoo closes agree with the independently retrieved Nasdaq.com sample within USD 0.01; the largest absolute difference is USD 0.00001465. Difference is defined as Yahoo Close minus Reference Close (Nasdaq). Nasdaq reports the sampled values to cents, while the Yahoo files retain provider precision. Source values, URLs, retrieval time, and calculations are preserved in config/reference_close_sample.csv and data/metadata/reference_close_comparison.csv.</w:t>
      </w:r>
    </w:p>
    <w:p w14:paraId="320A11D0">
      <w:pPr>
        <w:pStyle w:val="19"/>
        <w:keepLines/>
        <w:widowControl/>
        <w:spacing w:before="0" w:after="100"/>
        <w:ind w:left="0" w:firstLine="0"/>
        <w:jc w:val="left"/>
      </w:pPr>
      <w:r>
        <w:t>The manifest records run_id, provider page, retrieval timestamp, requested and observed boundaries, row count, calendar, interval, adjustment settings, direct dependency versions, proxy-presence flag, and SHA-256 digest. Raw observations are therefore separated from provenance and quality-control evidence. Ticker-specific Yahoo Finance pages are listed in the references (Yahoo Finance, n.d.-a–n.d.-e).</w:t>
      </w:r>
    </w:p>
    <w:p w14:paraId="09171C68">
      <w:pPr>
        <w:pStyle w:val="3"/>
        <w:widowControl/>
      </w:pPr>
      <w:r>
        <w:rPr>
          <w:rFonts w:ascii="Arial" w:hAnsi="Arial" w:eastAsia="Arial" w:cs="Arial"/>
          <w:b/>
          <w:sz w:val="28"/>
          <w:lang w:val="en-GB" w:eastAsia="en-GB" w:bidi="en-GB"/>
        </w:rPr>
        <w:t>5. Missing Data and Error Handling</w:t>
      </w:r>
    </w:p>
    <w:p w14:paraId="0EB1F4D0">
      <w:pPr>
        <w:pStyle w:val="19"/>
        <w:widowControl/>
        <w:spacing w:before="0" w:after="100"/>
        <w:ind w:left="0" w:firstLine="0"/>
        <w:jc w:val="left"/>
      </w:pPr>
      <w:r>
        <w:rPr>
          <w:rFonts w:ascii="Times New Roman" w:hAnsi="Times New Roman" w:eastAsia="Times New Roman"/>
          <w:b w:val="0"/>
          <w:i w:val="0"/>
          <w:sz w:val="21"/>
        </w:rPr>
        <w:t>No missing numeric values, duplicate dates, unexpected dates, or exchange-session gaps were found in the accepted files. The script deliberately does not interpolate, forward-fill, back-fill, reconstruct, or otherwise invent an observation. The yfinance price-repair mechanism is disabled by setting repair=False.</w:t>
      </w:r>
    </w:p>
    <w:p w14:paraId="0FDEE6D9">
      <w:pPr>
        <w:pStyle w:val="19"/>
        <w:widowControl/>
        <w:spacing w:before="0" w:after="100"/>
        <w:ind w:left="0" w:firstLine="0"/>
        <w:jc w:val="left"/>
      </w:pPr>
      <w:r>
        <w:rPr>
          <w:rFonts w:ascii="Times New Roman" w:hAnsi="Times New Roman" w:eastAsia="Times New Roman"/>
          <w:b w:val="0"/>
          <w:i w:val="0"/>
          <w:sz w:val="21"/>
        </w:rPr>
        <w:t>The provider request and response-normalization step are enclosed in the same bounded retry loop. Empty responses, transient network or provider exceptions, and normalization failures—including malformed columns, unparseable index dates, or missing required columns—therefore trigger another request, up to three provider requests in total per security, with exponential backoff. During the documented run, the first NVDA request returned no rows and the second attempt succeeded; the accepted response then passed the same validation rules as every other security.</w:t>
      </w:r>
    </w:p>
    <w:p w14:paraId="58B4D98B">
      <w:pPr>
        <w:pStyle w:val="19"/>
        <w:widowControl/>
        <w:spacing w:before="0" w:after="100"/>
        <w:ind w:left="0" w:firstLine="0"/>
        <w:jc w:val="left"/>
      </w:pPr>
      <w:r>
        <w:t>After normalization, missing or unexpected sessions and invalid numeric, OHLC, volume, or reference-comparison values cause failure and are never altered. Each run receives a unique run_id and is assembled as a complete data-directory snapshot in a sibling staging path. Existing auxiliary evidence, including earlier failed runs, is preserved in that staged tree. The default --fail-closed mode leaves the preceding data snapshot unchanged if any security fails; new sanitized evidence is written to data/failed_runs/&lt;RUN_ID&gt;/. The optional --allow-partial-with-failure-report mode builds a replacement snapshot containing only passing securities, so a failed ticker cannot retain a stale CSV. Publication backs up the old data directory, installs the complete staged directory by rename, writes SUCCESS or PARTIAL only after the snapshot is live, and restores the old directory on any failure. Diagnostics contain ticker, attempt, stage, error_type, error_message, and timestamp_utc; attempt 0 denotes post-retry checks. Proxy values and URL credentials are redacted before persistence.</w:t>
      </w:r>
    </w:p>
    <w:p w14:paraId="42B08A40">
      <w:pPr>
        <w:pStyle w:val="15"/>
        <w:keepNext/>
        <w:widowControl/>
        <w:spacing w:before="60" w:after="60"/>
      </w:pPr>
      <w:r>
        <w:rPr>
          <w:rFonts w:ascii="Arial" w:hAnsi="Arial" w:eastAsia="Arial" w:cs="Arial"/>
          <w:b/>
          <w:i w:val="0"/>
          <w:color w:val="12324B"/>
          <w:sz w:val="18"/>
          <w:lang w:val="en-GB" w:eastAsia="en-GB" w:bidi="en-GB"/>
        </w:rPr>
        <w:t>Table 7. Error-handling policy</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3384"/>
        <w:gridCol w:w="6508"/>
      </w:tblGrid>
      <w:tr w14:paraId="3098E65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3384" w:type="dxa"/>
            <w:shd w:val="clear" w:color="auto" w:fill="12324B"/>
            <w:tcMar>
              <w:top w:w="75" w:type="dxa"/>
              <w:left w:w="85" w:type="dxa"/>
              <w:bottom w:w="75" w:type="dxa"/>
              <w:right w:w="85" w:type="dxa"/>
            </w:tcMar>
            <w:vAlign w:val="center"/>
          </w:tcPr>
          <w:p w14:paraId="184E1BB3">
            <w:pPr>
              <w:spacing w:after="0" w:line="240" w:lineRule="auto"/>
              <w:jc w:val="center"/>
            </w:pPr>
            <w:r>
              <w:rPr>
                <w:rFonts w:ascii="Arial" w:hAnsi="Arial" w:eastAsia="Arial" w:cs="Arial"/>
                <w:b/>
                <w:i w:val="0"/>
                <w:color w:val="FFFFFF"/>
                <w:sz w:val="16"/>
                <w:lang w:val="en-GB" w:eastAsia="en-GB" w:bidi="en-GB"/>
              </w:rPr>
              <w:t>Condition</w:t>
            </w:r>
          </w:p>
        </w:tc>
        <w:tc>
          <w:tcPr>
            <w:tcW w:w="6508" w:type="dxa"/>
            <w:shd w:val="clear" w:color="auto" w:fill="12324B"/>
            <w:tcMar>
              <w:top w:w="75" w:type="dxa"/>
              <w:left w:w="85" w:type="dxa"/>
              <w:bottom w:w="75" w:type="dxa"/>
              <w:right w:w="85" w:type="dxa"/>
            </w:tcMar>
            <w:vAlign w:val="center"/>
          </w:tcPr>
          <w:p w14:paraId="3A683D39">
            <w:pPr>
              <w:spacing w:after="0" w:line="240" w:lineRule="auto"/>
              <w:jc w:val="center"/>
            </w:pPr>
            <w:r>
              <w:rPr>
                <w:rFonts w:ascii="Arial" w:hAnsi="Arial" w:eastAsia="Arial" w:cs="Arial"/>
                <w:b/>
                <w:i w:val="0"/>
                <w:color w:val="FFFFFF"/>
                <w:sz w:val="16"/>
                <w:lang w:val="en-GB" w:eastAsia="en-GB" w:bidi="en-GB"/>
              </w:rPr>
              <w:t>Response</w:t>
            </w:r>
          </w:p>
        </w:tc>
      </w:tr>
      <w:tr w14:paraId="26B54D40">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tcMar>
              <w:top w:w="68" w:type="dxa"/>
              <w:left w:w="85" w:type="dxa"/>
              <w:bottom w:w="68" w:type="dxa"/>
              <w:right w:w="85" w:type="dxa"/>
            </w:tcMar>
            <w:vAlign w:val="center"/>
          </w:tcPr>
          <w:p w14:paraId="15160910">
            <w:pPr>
              <w:spacing w:after="0" w:line="240" w:lineRule="auto"/>
              <w:jc w:val="left"/>
            </w:pPr>
            <w:r>
              <w:rPr>
                <w:rFonts w:ascii="Times New Roman" w:hAnsi="Times New Roman" w:eastAsia="Times New Roman"/>
                <w:b w:val="0"/>
                <w:sz w:val="17"/>
              </w:rPr>
              <w:t>Network/provider exception or empty response</w:t>
            </w:r>
          </w:p>
        </w:tc>
        <w:tc>
          <w:tcPr>
            <w:tcW w:w="6508" w:type="dxa"/>
            <w:tcMar>
              <w:top w:w="68" w:type="dxa"/>
              <w:left w:w="85" w:type="dxa"/>
              <w:bottom w:w="68" w:type="dxa"/>
              <w:right w:w="85" w:type="dxa"/>
            </w:tcMar>
            <w:vAlign w:val="center"/>
          </w:tcPr>
          <w:p w14:paraId="16591E43">
            <w:pPr>
              <w:spacing w:after="0" w:line="240" w:lineRule="auto"/>
              <w:jc w:val="left"/>
            </w:pPr>
            <w:r>
              <w:rPr>
                <w:rFonts w:ascii="Times New Roman" w:hAnsi="Times New Roman" w:eastAsia="Times New Roman"/>
                <w:b w:val="0"/>
                <w:sz w:val="17"/>
              </w:rPr>
              <w:t>Retry with exponential backoff, up to three requests in total; reject and record the error if all attempts fail</w:t>
            </w:r>
          </w:p>
        </w:tc>
      </w:tr>
      <w:tr w14:paraId="01B2BC5C">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shd w:val="clear" w:color="auto" w:fill="F2F4F7"/>
            <w:tcMar>
              <w:top w:w="68" w:type="dxa"/>
              <w:left w:w="85" w:type="dxa"/>
              <w:bottom w:w="68" w:type="dxa"/>
              <w:right w:w="85" w:type="dxa"/>
            </w:tcMar>
            <w:vAlign w:val="center"/>
          </w:tcPr>
          <w:p w14:paraId="4329E71E">
            <w:pPr>
              <w:spacing w:after="0" w:line="240" w:lineRule="auto"/>
              <w:jc w:val="left"/>
            </w:pPr>
            <w:r>
              <w:rPr>
                <w:rFonts w:ascii="Times New Roman" w:hAnsi="Times New Roman" w:eastAsia="Times New Roman"/>
                <w:b w:val="0"/>
                <w:sz w:val="17"/>
              </w:rPr>
              <w:t>Normalization failure (malformed columns, unparseable dates, or a missing required column)</w:t>
            </w:r>
          </w:p>
        </w:tc>
        <w:tc>
          <w:tcPr>
            <w:tcW w:w="6508" w:type="dxa"/>
            <w:shd w:val="clear" w:color="auto" w:fill="F2F4F7"/>
            <w:tcMar>
              <w:top w:w="68" w:type="dxa"/>
              <w:left w:w="85" w:type="dxa"/>
              <w:bottom w:w="68" w:type="dxa"/>
              <w:right w:w="85" w:type="dxa"/>
            </w:tcMar>
            <w:vAlign w:val="center"/>
          </w:tcPr>
          <w:p w14:paraId="102875FB">
            <w:pPr>
              <w:spacing w:after="0" w:line="240" w:lineRule="auto"/>
              <w:jc w:val="left"/>
            </w:pPr>
            <w:r>
              <w:rPr>
                <w:rFonts w:ascii="Times New Roman" w:hAnsi="Times New Roman" w:eastAsia="Times New Roman"/>
                <w:b w:val="0"/>
                <w:sz w:val="17"/>
              </w:rPr>
              <w:t>Retry within the same three-request limit; reject if no valid normalized response is obtained</w:t>
            </w:r>
          </w:p>
        </w:tc>
      </w:tr>
      <w:tr w14:paraId="7BD55923">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tcMar>
              <w:top w:w="68" w:type="dxa"/>
              <w:left w:w="85" w:type="dxa"/>
              <w:bottom w:w="68" w:type="dxa"/>
              <w:right w:w="85" w:type="dxa"/>
            </w:tcMar>
            <w:vAlign w:val="center"/>
          </w:tcPr>
          <w:p w14:paraId="644C3CC3">
            <w:pPr>
              <w:spacing w:after="0" w:line="240" w:lineRule="auto"/>
              <w:jc w:val="left"/>
            </w:pPr>
            <w:r>
              <w:rPr>
                <w:rFonts w:ascii="Times New Roman" w:hAnsi="Times New Roman" w:eastAsia="Times New Roman"/>
                <w:b w:val="0"/>
                <w:sz w:val="17"/>
              </w:rPr>
              <w:t>Post-normalization validation failure</w:t>
            </w:r>
          </w:p>
        </w:tc>
        <w:tc>
          <w:tcPr>
            <w:tcW w:w="6508" w:type="dxa"/>
            <w:tcMar>
              <w:top w:w="68" w:type="dxa"/>
              <w:left w:w="85" w:type="dxa"/>
              <w:bottom w:w="68" w:type="dxa"/>
              <w:right w:w="85" w:type="dxa"/>
            </w:tcMar>
            <w:vAlign w:val="center"/>
          </w:tcPr>
          <w:p w14:paraId="1932F61D">
            <w:pPr>
              <w:spacing w:after="0" w:line="240" w:lineRule="auto"/>
              <w:jc w:val="left"/>
            </w:pPr>
            <w:r>
              <w:rPr>
                <w:rFonts w:ascii="Times New Roman" w:hAnsi="Times New Roman" w:eastAsia="Times New Roman"/>
                <w:b w:val="0"/>
                <w:sz w:val="17"/>
              </w:rPr>
              <w:t>Do not retry or alter the data; mark the affected security as failed</w:t>
            </w:r>
          </w:p>
        </w:tc>
      </w:tr>
      <w:tr w14:paraId="4516DD4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shd w:val="clear" w:color="auto" w:fill="F2F4F7"/>
            <w:tcMar>
              <w:top w:w="68" w:type="dxa"/>
              <w:left w:w="85" w:type="dxa"/>
              <w:bottom w:w="68" w:type="dxa"/>
              <w:right w:w="85" w:type="dxa"/>
            </w:tcMar>
            <w:vAlign w:val="center"/>
          </w:tcPr>
          <w:p w14:paraId="28803C09">
            <w:pPr>
              <w:spacing w:after="0" w:line="240" w:lineRule="auto"/>
              <w:jc w:val="left"/>
            </w:pPr>
            <w:r>
              <w:rPr>
                <w:rFonts w:ascii="Times New Roman" w:hAnsi="Times New Roman" w:eastAsia="Times New Roman"/>
                <w:b w:val="0"/>
                <w:sz w:val="17"/>
              </w:rPr>
              <w:t>Any security ultimately fails in default mode</w:t>
            </w:r>
          </w:p>
        </w:tc>
        <w:tc>
          <w:tcPr>
            <w:tcW w:w="6508" w:type="dxa"/>
            <w:shd w:val="clear" w:color="auto" w:fill="F2F4F7"/>
            <w:tcMar>
              <w:top w:w="68" w:type="dxa"/>
              <w:left w:w="85" w:type="dxa"/>
              <w:bottom w:w="68" w:type="dxa"/>
              <w:right w:w="85" w:type="dxa"/>
            </w:tcMar>
            <w:vAlign w:val="center"/>
          </w:tcPr>
          <w:p>
            <w:r>
              <w:t>--fail-closed leaves the current raw/metadata snapshot unchanged, writes sanitized evidence under failed_runs/&lt;RUN_ID&gt;/, and exits non-zero</w:t>
            </w:r>
          </w:p>
        </w:tc>
      </w:tr>
      <w:tr w14:paraId="004BF1E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tcMar>
              <w:top w:w="68" w:type="dxa"/>
              <w:left w:w="85" w:type="dxa"/>
              <w:bottom w:w="68" w:type="dxa"/>
              <w:right w:w="85" w:type="dxa"/>
            </w:tcMar>
            <w:vAlign w:val="center"/>
          </w:tcPr>
          <w:p w14:paraId="0D317451">
            <w:pPr>
              <w:spacing w:after="0" w:line="240" w:lineRule="auto"/>
              <w:jc w:val="left"/>
            </w:pPr>
            <w:r>
              <w:rPr>
                <w:rFonts w:ascii="Times New Roman" w:hAnsi="Times New Roman" w:eastAsia="Times New Roman"/>
                <w:b w:val="0"/>
                <w:sz w:val="17"/>
              </w:rPr>
              <w:t>Successful complete run</w:t>
            </w:r>
          </w:p>
        </w:tc>
        <w:tc>
          <w:tcPr>
            <w:tcW w:w="6508" w:type="dxa"/>
            <w:tcMar>
              <w:top w:w="68" w:type="dxa"/>
              <w:left w:w="85" w:type="dxa"/>
              <w:bottom w:w="68" w:type="dxa"/>
              <w:right w:w="85" w:type="dxa"/>
            </w:tcMar>
            <w:vAlign w:val="center"/>
          </w:tcPr>
          <w:p>
            <w:r>
              <w:t>Stage the complete data tree; back up the preceding data directory; install the new snapshot by rename; write final success only after it is live; restore the backup if installation or final-status persistence fails</w:t>
            </w:r>
          </w:p>
        </w:tc>
      </w:tr>
      <w:tr w14:paraId="004BF1E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tcMar>
              <w:top w:w="68" w:type="dxa"/>
              <w:left w:w="85" w:type="dxa"/>
              <w:bottom w:w="68" w:type="dxa"/>
              <w:right w:w="85" w:type="dxa"/>
            </w:tcMar>
            <w:vAlign w:val="center"/>
          </w:tcPr>
          <w:p w14:paraId="0D317451">
            <w:pPr>
              <w:spacing w:after="0" w:line="240" w:lineRule="auto"/>
              <w:jc w:val="left"/>
            </w:pPr>
            <w:r>
              <w:rPr>
                <w:rFonts w:ascii="Times New Roman" w:hAnsi="Times New Roman" w:eastAsia="Times New Roman"/>
                <w:b w:val="0"/>
                <w:sz w:val="17"/>
              </w:rPr>
              <w:t>Any security fails in optional partial mode</w:t>
            </w:r>
          </w:p>
        </w:tc>
        <w:tc>
          <w:tcPr>
            <w:tcW w:w="6508" w:type="dxa"/>
            <w:tcMar>
              <w:top w:w="68" w:type="dxa"/>
              <w:left w:w="85" w:type="dxa"/>
              <w:bottom w:w="68" w:type="dxa"/>
              <w:right w:w="85" w:type="dxa"/>
            </w:tcMar>
            <w:vAlign w:val="center"/>
          </w:tcPr>
          <w:p>
            <w:r>
              <w:t>--allow-partial-with-failure-report publishes a replacement snapshot containing only passing securities, removes stale failed-ticker files, and labels the run PARTIAL</w:t>
            </w:r>
          </w:p>
        </w:tc>
      </w:tr>
      <w:tr w14:paraId="004BF1E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3384" w:type="dxa"/>
            <w:tcMar>
              <w:top w:w="68" w:type="dxa"/>
              <w:left w:w="85" w:type="dxa"/>
              <w:bottom w:w="68" w:type="dxa"/>
              <w:right w:w="85" w:type="dxa"/>
            </w:tcMar>
            <w:vAlign w:val="center"/>
          </w:tcPr>
          <w:p w14:paraId="0D317451">
            <w:pPr>
              <w:spacing w:after="0" w:line="240" w:lineRule="auto"/>
              <w:jc w:val="left"/>
            </w:pPr>
            <w:r>
              <w:rPr>
                <w:rFonts w:ascii="Times New Roman" w:hAnsi="Times New Roman" w:eastAsia="Times New Roman"/>
                <w:b w:val="0"/>
                <w:sz w:val="17"/>
              </w:rPr>
              <w:t>Empty or malformed provider response</w:t>
            </w:r>
          </w:p>
        </w:tc>
        <w:tc>
          <w:tcPr>
            <w:tcW w:w="6508" w:type="dxa"/>
            <w:tcMar>
              <w:top w:w="68" w:type="dxa"/>
              <w:left w:w="85" w:type="dxa"/>
              <w:bottom w:w="68" w:type="dxa"/>
              <w:right w:w="85" w:type="dxa"/>
            </w:tcMar>
            <w:vAlign w:val="center"/>
          </w:tcPr>
          <w:p w14:paraId="5D6C0D0D">
            <w:pPr>
              <w:spacing w:after="0" w:line="240" w:lineRule="auto"/>
              <w:jc w:val="left"/>
            </w:pPr>
            <w:r>
              <w:rPr>
                <w:rFonts w:ascii="Times New Roman" w:hAnsi="Times New Roman" w:eastAsia="Times New Roman"/>
                <w:b w:val="0"/>
                <w:sz w:val="17"/>
              </w:rPr>
              <w:t>Preserve a sanitized per-attempt diagnostic with ticker, attempt, stage, error type, message, and UTC timestamp; never persist proxy values or credentials</w:t>
            </w:r>
          </w:p>
        </w:tc>
      </w:tr>
    </w:tbl>
    <w:p w14:paraId="13B0B466">
      <w:pPr>
        <w:pStyle w:val="3"/>
        <w:widowControl/>
      </w:pPr>
      <w:r>
        <w:rPr>
          <w:rFonts w:ascii="Arial" w:hAnsi="Arial" w:eastAsia="Arial" w:cs="Arial"/>
          <w:b/>
          <w:sz w:val="28"/>
          <w:lang w:val="en-GB" w:eastAsia="en-GB" w:bidi="en-GB"/>
        </w:rPr>
        <w:t>6. File Organization and Data Dictionary</w:t>
      </w:r>
    </w:p>
    <w:p w14:paraId="71704D44">
      <w:pPr>
        <w:pStyle w:val="19"/>
        <w:widowControl/>
        <w:spacing w:before="0" w:after="100"/>
        <w:ind w:left="0" w:firstLine="0"/>
        <w:jc w:val="left"/>
      </w:pPr>
      <w:r>
        <w:t>The submission uses a predictable directory structure and descriptive filenames. Raw market data, current metadata, isolated failed-run evidence, documentation, logs, source code, configuration, and tests are kept separate.</w:t>
      </w:r>
    </w:p>
    <w:p w14:paraId="3800FD7F">
      <w:pPr>
        <w:keepLines/>
        <w:widowControl/>
        <w:pBdr>
          <w:top w:val="single" w:color="D9E0E7" w:sz="4" w:space="5"/>
          <w:bottom w:val="single" w:color="D9E0E7" w:sz="4" w:space="5"/>
        </w:pBdr>
        <w:shd w:val="clear" w:fill="F2F4F7"/>
        <w:spacing w:before="40" w:after="80" w:line="240" w:lineRule="auto"/>
        <w:ind w:left="216" w:right="216"/>
      </w:pPr>
      <w:r>
        <w:t>Task5_Stock_Data_Collection_Yingtan_Ji/</w:t>
        <w:br/>
        <w:t>|-- .github/workflows/tests.yml</w:t>
        <w:br/>
        <w:t>|-- config/</w:t>
        <w:br/>
        <w:t>|   |-- reference_close_sample.csv</w:t>
        <w:br/>
        <w:t>|   `-- selected_companies.csv</w:t>
        <w:br/>
        <w:t>|-- data/</w:t>
        <w:br/>
        <w:t>|   |-- raw/&lt;TICKER&gt;_daily_&lt;START&gt;_&lt;END&gt;.csv</w:t>
        <w:br/>
        <w:t>|   |-- metadata/{manifest,validation_summary,failure_report,reference_close_comparison}.csv</w:t>
        <w:br/>
        <w:t>|   |-- metadata/run_metadata.json</w:t>
        <w:br/>
        <w:t>|   `-- failed_runs/&lt;RUN_ID&gt;/  (created after a failed run)</w:t>
        <w:br/>
        <w:t>|-- docs/Task5_Stock_Price_Data_Collection_Report_Yingtan_Ji.docx</w:t>
        <w:br/>
        <w:t>|-- logs/collection.log</w:t>
        <w:br/>
        <w:t>|-- scripts/collect_stock_data.py</w:t>
        <w:br/>
        <w:t>|-- tests/test_collect_stock_data.py</w:t>
        <w:br/>
        <w:t>|-- README.md</w:t>
        <w:br/>
        <w:t>|-- pytest.ini</w:t>
        <w:br/>
        <w:t>`-- requirements.txt</w:t>
      </w:r>
    </w:p>
    <w:p w14:paraId="2C523ED9">
      <w:pPr>
        <w:pStyle w:val="15"/>
        <w:keepNext/>
        <w:widowControl/>
        <w:spacing w:before="60" w:after="60"/>
      </w:pPr>
      <w:r>
        <w:rPr>
          <w:rFonts w:ascii="Arial" w:hAnsi="Arial" w:eastAsia="Arial" w:cs="Arial"/>
          <w:b/>
          <w:i w:val="0"/>
          <w:color w:val="12324B"/>
          <w:sz w:val="18"/>
          <w:lang w:val="en-GB" w:eastAsia="en-GB" w:bidi="en-GB"/>
        </w:rPr>
        <w:t>Table 8. Market-data schema</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1224"/>
        <w:gridCol w:w="1324"/>
        <w:gridCol w:w="3528"/>
        <w:gridCol w:w="3816"/>
      </w:tblGrid>
      <w:tr w14:paraId="69A525FB">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1224" w:type="dxa"/>
            <w:shd w:val="clear" w:color="auto" w:fill="12324B"/>
            <w:tcMar>
              <w:top w:w="75" w:type="dxa"/>
              <w:left w:w="85" w:type="dxa"/>
              <w:bottom w:w="75" w:type="dxa"/>
              <w:right w:w="85" w:type="dxa"/>
            </w:tcMar>
            <w:vAlign w:val="center"/>
          </w:tcPr>
          <w:p w14:paraId="27F1DD21">
            <w:pPr>
              <w:spacing w:after="0" w:line="240" w:lineRule="auto"/>
              <w:jc w:val="center"/>
            </w:pPr>
            <w:r>
              <w:rPr>
                <w:rFonts w:ascii="Arial" w:hAnsi="Arial" w:eastAsia="Arial" w:cs="Arial"/>
                <w:b/>
                <w:i w:val="0"/>
                <w:color w:val="FFFFFF"/>
                <w:sz w:val="16"/>
                <w:lang w:val="en-GB" w:eastAsia="en-GB" w:bidi="en-GB"/>
              </w:rPr>
              <w:t>Field</w:t>
            </w:r>
          </w:p>
        </w:tc>
        <w:tc>
          <w:tcPr>
            <w:tcW w:w="1324" w:type="dxa"/>
            <w:shd w:val="clear" w:color="auto" w:fill="12324B"/>
            <w:tcMar>
              <w:top w:w="75" w:type="dxa"/>
              <w:left w:w="85" w:type="dxa"/>
              <w:bottom w:w="75" w:type="dxa"/>
              <w:right w:w="85" w:type="dxa"/>
            </w:tcMar>
            <w:vAlign w:val="center"/>
          </w:tcPr>
          <w:p w14:paraId="720249B8">
            <w:pPr>
              <w:spacing w:after="0" w:line="240" w:lineRule="auto"/>
              <w:jc w:val="center"/>
            </w:pPr>
            <w:r>
              <w:rPr>
                <w:rFonts w:ascii="Arial" w:hAnsi="Arial" w:eastAsia="Arial" w:cs="Arial"/>
                <w:b/>
                <w:i w:val="0"/>
                <w:color w:val="FFFFFF"/>
                <w:sz w:val="16"/>
                <w:lang w:val="en-GB" w:eastAsia="en-GB" w:bidi="en-GB"/>
              </w:rPr>
              <w:t>Type</w:t>
            </w:r>
          </w:p>
        </w:tc>
        <w:tc>
          <w:tcPr>
            <w:tcW w:w="3528" w:type="dxa"/>
            <w:shd w:val="clear" w:color="auto" w:fill="12324B"/>
            <w:tcMar>
              <w:top w:w="75" w:type="dxa"/>
              <w:left w:w="85" w:type="dxa"/>
              <w:bottom w:w="75" w:type="dxa"/>
              <w:right w:w="85" w:type="dxa"/>
            </w:tcMar>
            <w:vAlign w:val="center"/>
          </w:tcPr>
          <w:p w14:paraId="45E78F6B">
            <w:pPr>
              <w:spacing w:after="0" w:line="240" w:lineRule="auto"/>
              <w:jc w:val="center"/>
            </w:pPr>
            <w:r>
              <w:rPr>
                <w:rFonts w:ascii="Arial" w:hAnsi="Arial" w:eastAsia="Arial" w:cs="Arial"/>
                <w:b/>
                <w:i w:val="0"/>
                <w:color w:val="FFFFFF"/>
                <w:sz w:val="16"/>
                <w:lang w:val="en-GB" w:eastAsia="en-GB" w:bidi="en-GB"/>
              </w:rPr>
              <w:t>Definition</w:t>
            </w:r>
          </w:p>
        </w:tc>
        <w:tc>
          <w:tcPr>
            <w:tcW w:w="3816" w:type="dxa"/>
            <w:shd w:val="clear" w:color="auto" w:fill="12324B"/>
            <w:tcMar>
              <w:top w:w="75" w:type="dxa"/>
              <w:left w:w="85" w:type="dxa"/>
              <w:bottom w:w="75" w:type="dxa"/>
              <w:right w:w="85" w:type="dxa"/>
            </w:tcMar>
            <w:vAlign w:val="center"/>
          </w:tcPr>
          <w:p w14:paraId="719400DF">
            <w:pPr>
              <w:spacing w:after="0" w:line="240" w:lineRule="auto"/>
              <w:jc w:val="center"/>
            </w:pPr>
            <w:r>
              <w:rPr>
                <w:rFonts w:ascii="Arial" w:hAnsi="Arial" w:eastAsia="Arial" w:cs="Arial"/>
                <w:b/>
                <w:i w:val="0"/>
                <w:color w:val="FFFFFF"/>
                <w:sz w:val="16"/>
                <w:lang w:val="en-GB" w:eastAsia="en-GB" w:bidi="en-GB"/>
              </w:rPr>
              <w:t>Validation</w:t>
            </w:r>
          </w:p>
        </w:tc>
      </w:tr>
      <w:tr w14:paraId="6203B7E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tcMar>
              <w:top w:w="68" w:type="dxa"/>
              <w:left w:w="85" w:type="dxa"/>
              <w:bottom w:w="68" w:type="dxa"/>
              <w:right w:w="85" w:type="dxa"/>
            </w:tcMar>
            <w:vAlign w:val="center"/>
          </w:tcPr>
          <w:p w14:paraId="65E3BE3E">
            <w:pPr>
              <w:spacing w:after="0" w:line="240" w:lineRule="auto"/>
              <w:jc w:val="left"/>
            </w:pPr>
            <w:r>
              <w:rPr>
                <w:rFonts w:ascii="Times New Roman" w:hAnsi="Times New Roman" w:eastAsia="Times New Roman" w:cs="Times New Roman"/>
                <w:b w:val="0"/>
                <w:i w:val="0"/>
                <w:color w:val="20262B"/>
                <w:sz w:val="17"/>
                <w:lang w:val="en-GB" w:eastAsia="en-GB" w:bidi="en-GB"/>
              </w:rPr>
              <w:t>Date</w:t>
            </w:r>
          </w:p>
        </w:tc>
        <w:tc>
          <w:tcPr>
            <w:tcW w:w="1324" w:type="dxa"/>
            <w:tcMar>
              <w:top w:w="68" w:type="dxa"/>
              <w:left w:w="85" w:type="dxa"/>
              <w:bottom w:w="68" w:type="dxa"/>
              <w:right w:w="85" w:type="dxa"/>
            </w:tcMar>
            <w:vAlign w:val="center"/>
          </w:tcPr>
          <w:p w14:paraId="7F07E776">
            <w:pPr>
              <w:spacing w:after="0" w:line="240" w:lineRule="auto"/>
              <w:jc w:val="left"/>
            </w:pPr>
            <w:r>
              <w:rPr>
                <w:rFonts w:ascii="Times New Roman" w:hAnsi="Times New Roman" w:eastAsia="Times New Roman" w:cs="Times New Roman"/>
                <w:b w:val="0"/>
                <w:i w:val="0"/>
                <w:color w:val="20262B"/>
                <w:sz w:val="17"/>
                <w:lang w:val="en-GB" w:eastAsia="en-GB" w:bidi="en-GB"/>
              </w:rPr>
              <w:t>ISO date</w:t>
            </w:r>
          </w:p>
        </w:tc>
        <w:tc>
          <w:tcPr>
            <w:tcW w:w="3528" w:type="dxa"/>
            <w:tcMar>
              <w:top w:w="68" w:type="dxa"/>
              <w:left w:w="85" w:type="dxa"/>
              <w:bottom w:w="68" w:type="dxa"/>
              <w:right w:w="85" w:type="dxa"/>
            </w:tcMar>
            <w:vAlign w:val="center"/>
          </w:tcPr>
          <w:p w14:paraId="207DB418">
            <w:pPr>
              <w:spacing w:after="0" w:line="240" w:lineRule="auto"/>
              <w:jc w:val="left"/>
            </w:pPr>
            <w:r>
              <w:rPr>
                <w:rFonts w:ascii="Times New Roman" w:hAnsi="Times New Roman" w:eastAsia="Times New Roman" w:cs="Times New Roman"/>
                <w:b w:val="0"/>
                <w:i w:val="0"/>
                <w:color w:val="20262B"/>
                <w:sz w:val="17"/>
                <w:lang w:val="en-GB" w:eastAsia="en-GB" w:bidi="en-GB"/>
              </w:rPr>
              <w:t>Trading-session date</w:t>
            </w:r>
          </w:p>
        </w:tc>
        <w:tc>
          <w:tcPr>
            <w:tcW w:w="3816" w:type="dxa"/>
            <w:tcMar>
              <w:top w:w="68" w:type="dxa"/>
              <w:left w:w="85" w:type="dxa"/>
              <w:bottom w:w="68" w:type="dxa"/>
              <w:right w:w="85" w:type="dxa"/>
            </w:tcMar>
            <w:vAlign w:val="center"/>
          </w:tcPr>
          <w:p w14:paraId="4D84823E">
            <w:pPr>
              <w:spacing w:after="0" w:line="240" w:lineRule="auto"/>
              <w:jc w:val="left"/>
            </w:pPr>
            <w:r>
              <w:rPr>
                <w:rFonts w:ascii="Times New Roman" w:hAnsi="Times New Roman" w:eastAsia="Times New Roman" w:cs="Times New Roman"/>
                <w:b w:val="0"/>
                <w:i w:val="0"/>
                <w:color w:val="20262B"/>
                <w:sz w:val="17"/>
                <w:lang w:val="en-GB" w:eastAsia="en-GB" w:bidi="en-GB"/>
              </w:rPr>
              <w:t>Unique, ascending, scheduled, in range</w:t>
            </w:r>
          </w:p>
        </w:tc>
      </w:tr>
      <w:tr w14:paraId="780544D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shd w:val="clear" w:color="auto" w:fill="F2F4F7"/>
            <w:tcMar>
              <w:top w:w="68" w:type="dxa"/>
              <w:left w:w="85" w:type="dxa"/>
              <w:bottom w:w="68" w:type="dxa"/>
              <w:right w:w="85" w:type="dxa"/>
            </w:tcMar>
            <w:vAlign w:val="center"/>
          </w:tcPr>
          <w:p w14:paraId="1CFA8C46">
            <w:pPr>
              <w:spacing w:after="0" w:line="240" w:lineRule="auto"/>
              <w:jc w:val="left"/>
            </w:pPr>
            <w:r>
              <w:rPr>
                <w:rFonts w:ascii="Times New Roman" w:hAnsi="Times New Roman" w:eastAsia="Times New Roman" w:cs="Times New Roman"/>
                <w:b w:val="0"/>
                <w:i w:val="0"/>
                <w:color w:val="20262B"/>
                <w:sz w:val="17"/>
                <w:lang w:val="en-GB" w:eastAsia="en-GB" w:bidi="en-GB"/>
              </w:rPr>
              <w:t>Open</w:t>
            </w:r>
          </w:p>
        </w:tc>
        <w:tc>
          <w:tcPr>
            <w:tcW w:w="1324" w:type="dxa"/>
            <w:shd w:val="clear" w:color="auto" w:fill="F2F4F7"/>
            <w:tcMar>
              <w:top w:w="68" w:type="dxa"/>
              <w:left w:w="85" w:type="dxa"/>
              <w:bottom w:w="68" w:type="dxa"/>
              <w:right w:w="85" w:type="dxa"/>
            </w:tcMar>
            <w:vAlign w:val="center"/>
          </w:tcPr>
          <w:p w14:paraId="002EE348">
            <w:pPr>
              <w:spacing w:after="0" w:line="240" w:lineRule="auto"/>
              <w:jc w:val="left"/>
            </w:pPr>
            <w:r>
              <w:rPr>
                <w:rFonts w:ascii="Times New Roman" w:hAnsi="Times New Roman" w:eastAsia="Times New Roman" w:cs="Times New Roman"/>
                <w:b w:val="0"/>
                <w:i w:val="0"/>
                <w:color w:val="20262B"/>
                <w:sz w:val="17"/>
                <w:lang w:val="en-GB" w:eastAsia="en-GB" w:bidi="en-GB"/>
              </w:rPr>
              <w:t>Decimal</w:t>
            </w:r>
          </w:p>
        </w:tc>
        <w:tc>
          <w:tcPr>
            <w:tcW w:w="3528" w:type="dxa"/>
            <w:shd w:val="clear" w:color="auto" w:fill="F2F4F7"/>
            <w:tcMar>
              <w:top w:w="68" w:type="dxa"/>
              <w:left w:w="85" w:type="dxa"/>
              <w:bottom w:w="68" w:type="dxa"/>
              <w:right w:w="85" w:type="dxa"/>
            </w:tcMar>
            <w:vAlign w:val="center"/>
          </w:tcPr>
          <w:p w14:paraId="107B7E9C">
            <w:pPr>
              <w:spacing w:after="0" w:line="240" w:lineRule="auto"/>
              <w:jc w:val="left"/>
            </w:pPr>
            <w:r>
              <w:rPr>
                <w:rFonts w:ascii="Times New Roman" w:hAnsi="Times New Roman" w:eastAsia="Times New Roman" w:cs="Times New Roman"/>
                <w:b w:val="0"/>
                <w:i w:val="0"/>
                <w:color w:val="20262B"/>
                <w:sz w:val="17"/>
                <w:lang w:val="en-GB" w:eastAsia="en-GB" w:bidi="en-GB"/>
              </w:rPr>
              <w:t>Provider opening price</w:t>
            </w:r>
          </w:p>
        </w:tc>
        <w:tc>
          <w:tcPr>
            <w:tcW w:w="3816" w:type="dxa"/>
            <w:shd w:val="clear" w:color="auto" w:fill="F2F4F7"/>
            <w:tcMar>
              <w:top w:w="68" w:type="dxa"/>
              <w:left w:w="85" w:type="dxa"/>
              <w:bottom w:w="68" w:type="dxa"/>
              <w:right w:w="85" w:type="dxa"/>
            </w:tcMar>
            <w:vAlign w:val="center"/>
          </w:tcPr>
          <w:p w14:paraId="0E3A9D17">
            <w:pPr>
              <w:spacing w:after="0" w:line="240" w:lineRule="auto"/>
              <w:jc w:val="left"/>
            </w:pPr>
            <w:r>
              <w:rPr>
                <w:rFonts w:ascii="Times New Roman" w:hAnsi="Times New Roman" w:eastAsia="Times New Roman" w:cs="Times New Roman"/>
                <w:b w:val="0"/>
                <w:i w:val="0"/>
                <w:color w:val="20262B"/>
                <w:sz w:val="17"/>
                <w:lang w:val="en-GB" w:eastAsia="en-GB" w:bidi="en-GB"/>
              </w:rPr>
              <w:t>Finite, &gt; 0, within High/Low</w:t>
            </w:r>
          </w:p>
        </w:tc>
      </w:tr>
      <w:tr w14:paraId="18134FEE">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tcMar>
              <w:top w:w="68" w:type="dxa"/>
              <w:left w:w="85" w:type="dxa"/>
              <w:bottom w:w="68" w:type="dxa"/>
              <w:right w:w="85" w:type="dxa"/>
            </w:tcMar>
            <w:vAlign w:val="center"/>
          </w:tcPr>
          <w:p w14:paraId="4427A5E5">
            <w:pPr>
              <w:spacing w:after="0" w:line="240" w:lineRule="auto"/>
              <w:jc w:val="left"/>
            </w:pPr>
            <w:r>
              <w:rPr>
                <w:rFonts w:ascii="Times New Roman" w:hAnsi="Times New Roman" w:eastAsia="Times New Roman" w:cs="Times New Roman"/>
                <w:b w:val="0"/>
                <w:i w:val="0"/>
                <w:color w:val="20262B"/>
                <w:sz w:val="17"/>
                <w:lang w:val="en-GB" w:eastAsia="en-GB" w:bidi="en-GB"/>
              </w:rPr>
              <w:t>High</w:t>
            </w:r>
          </w:p>
        </w:tc>
        <w:tc>
          <w:tcPr>
            <w:tcW w:w="1324" w:type="dxa"/>
            <w:tcMar>
              <w:top w:w="68" w:type="dxa"/>
              <w:left w:w="85" w:type="dxa"/>
              <w:bottom w:w="68" w:type="dxa"/>
              <w:right w:w="85" w:type="dxa"/>
            </w:tcMar>
            <w:vAlign w:val="center"/>
          </w:tcPr>
          <w:p w14:paraId="7FE65362">
            <w:pPr>
              <w:spacing w:after="0" w:line="240" w:lineRule="auto"/>
              <w:jc w:val="left"/>
            </w:pPr>
            <w:r>
              <w:rPr>
                <w:rFonts w:ascii="Times New Roman" w:hAnsi="Times New Roman" w:eastAsia="Times New Roman" w:cs="Times New Roman"/>
                <w:b w:val="0"/>
                <w:i w:val="0"/>
                <w:color w:val="20262B"/>
                <w:sz w:val="17"/>
                <w:lang w:val="en-GB" w:eastAsia="en-GB" w:bidi="en-GB"/>
              </w:rPr>
              <w:t>Decimal</w:t>
            </w:r>
          </w:p>
        </w:tc>
        <w:tc>
          <w:tcPr>
            <w:tcW w:w="3528" w:type="dxa"/>
            <w:tcMar>
              <w:top w:w="68" w:type="dxa"/>
              <w:left w:w="85" w:type="dxa"/>
              <w:bottom w:w="68" w:type="dxa"/>
              <w:right w:w="85" w:type="dxa"/>
            </w:tcMar>
            <w:vAlign w:val="center"/>
          </w:tcPr>
          <w:p w14:paraId="7DA74A35">
            <w:pPr>
              <w:spacing w:after="0" w:line="240" w:lineRule="auto"/>
              <w:jc w:val="left"/>
            </w:pPr>
            <w:r>
              <w:rPr>
                <w:rFonts w:ascii="Times New Roman" w:hAnsi="Times New Roman" w:eastAsia="Times New Roman" w:cs="Times New Roman"/>
                <w:b w:val="0"/>
                <w:i w:val="0"/>
                <w:color w:val="20262B"/>
                <w:sz w:val="17"/>
                <w:lang w:val="en-GB" w:eastAsia="en-GB" w:bidi="en-GB"/>
              </w:rPr>
              <w:t>Provider session high</w:t>
            </w:r>
          </w:p>
        </w:tc>
        <w:tc>
          <w:tcPr>
            <w:tcW w:w="3816" w:type="dxa"/>
            <w:tcMar>
              <w:top w:w="68" w:type="dxa"/>
              <w:left w:w="85" w:type="dxa"/>
              <w:bottom w:w="68" w:type="dxa"/>
              <w:right w:w="85" w:type="dxa"/>
            </w:tcMar>
            <w:vAlign w:val="center"/>
          </w:tcPr>
          <w:p w14:paraId="253607FC">
            <w:pPr>
              <w:spacing w:after="0" w:line="240" w:lineRule="auto"/>
              <w:jc w:val="left"/>
            </w:pPr>
            <w:r>
              <w:rPr>
                <w:rFonts w:ascii="Times New Roman" w:hAnsi="Times New Roman" w:eastAsia="Times New Roman" w:cs="Times New Roman"/>
                <w:b w:val="0"/>
                <w:i w:val="0"/>
                <w:color w:val="20262B"/>
                <w:sz w:val="17"/>
                <w:lang w:val="en-GB" w:eastAsia="en-GB" w:bidi="en-GB"/>
              </w:rPr>
              <w:t>Finite; ≥ Open, Low, and Close</w:t>
            </w:r>
          </w:p>
        </w:tc>
      </w:tr>
      <w:tr w14:paraId="4C12012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shd w:val="clear" w:color="auto" w:fill="F2F4F7"/>
            <w:tcMar>
              <w:top w:w="68" w:type="dxa"/>
              <w:left w:w="85" w:type="dxa"/>
              <w:bottom w:w="68" w:type="dxa"/>
              <w:right w:w="85" w:type="dxa"/>
            </w:tcMar>
            <w:vAlign w:val="center"/>
          </w:tcPr>
          <w:p w14:paraId="7E48F688">
            <w:pPr>
              <w:spacing w:after="0" w:line="240" w:lineRule="auto"/>
              <w:jc w:val="left"/>
            </w:pPr>
            <w:r>
              <w:rPr>
                <w:rFonts w:ascii="Times New Roman" w:hAnsi="Times New Roman" w:eastAsia="Times New Roman" w:cs="Times New Roman"/>
                <w:b w:val="0"/>
                <w:i w:val="0"/>
                <w:color w:val="20262B"/>
                <w:sz w:val="17"/>
                <w:lang w:val="en-GB" w:eastAsia="en-GB" w:bidi="en-GB"/>
              </w:rPr>
              <w:t>Low</w:t>
            </w:r>
          </w:p>
        </w:tc>
        <w:tc>
          <w:tcPr>
            <w:tcW w:w="1324" w:type="dxa"/>
            <w:shd w:val="clear" w:color="auto" w:fill="F2F4F7"/>
            <w:tcMar>
              <w:top w:w="68" w:type="dxa"/>
              <w:left w:w="85" w:type="dxa"/>
              <w:bottom w:w="68" w:type="dxa"/>
              <w:right w:w="85" w:type="dxa"/>
            </w:tcMar>
            <w:vAlign w:val="center"/>
          </w:tcPr>
          <w:p w14:paraId="38981645">
            <w:pPr>
              <w:spacing w:after="0" w:line="240" w:lineRule="auto"/>
              <w:jc w:val="left"/>
            </w:pPr>
            <w:r>
              <w:rPr>
                <w:rFonts w:ascii="Times New Roman" w:hAnsi="Times New Roman" w:eastAsia="Times New Roman" w:cs="Times New Roman"/>
                <w:b w:val="0"/>
                <w:i w:val="0"/>
                <w:color w:val="20262B"/>
                <w:sz w:val="17"/>
                <w:lang w:val="en-GB" w:eastAsia="en-GB" w:bidi="en-GB"/>
              </w:rPr>
              <w:t>Decimal</w:t>
            </w:r>
          </w:p>
        </w:tc>
        <w:tc>
          <w:tcPr>
            <w:tcW w:w="3528" w:type="dxa"/>
            <w:shd w:val="clear" w:color="auto" w:fill="F2F4F7"/>
            <w:tcMar>
              <w:top w:w="68" w:type="dxa"/>
              <w:left w:w="85" w:type="dxa"/>
              <w:bottom w:w="68" w:type="dxa"/>
              <w:right w:w="85" w:type="dxa"/>
            </w:tcMar>
            <w:vAlign w:val="center"/>
          </w:tcPr>
          <w:p w14:paraId="0F56B0F0">
            <w:pPr>
              <w:spacing w:after="0" w:line="240" w:lineRule="auto"/>
              <w:jc w:val="left"/>
            </w:pPr>
            <w:r>
              <w:rPr>
                <w:rFonts w:ascii="Times New Roman" w:hAnsi="Times New Roman" w:eastAsia="Times New Roman" w:cs="Times New Roman"/>
                <w:b w:val="0"/>
                <w:i w:val="0"/>
                <w:color w:val="20262B"/>
                <w:sz w:val="17"/>
                <w:lang w:val="en-GB" w:eastAsia="en-GB" w:bidi="en-GB"/>
              </w:rPr>
              <w:t>Provider session low</w:t>
            </w:r>
          </w:p>
        </w:tc>
        <w:tc>
          <w:tcPr>
            <w:tcW w:w="3816" w:type="dxa"/>
            <w:shd w:val="clear" w:color="auto" w:fill="F2F4F7"/>
            <w:tcMar>
              <w:top w:w="68" w:type="dxa"/>
              <w:left w:w="85" w:type="dxa"/>
              <w:bottom w:w="68" w:type="dxa"/>
              <w:right w:w="85" w:type="dxa"/>
            </w:tcMar>
            <w:vAlign w:val="center"/>
          </w:tcPr>
          <w:p w14:paraId="518DEEE4">
            <w:pPr>
              <w:spacing w:after="0" w:line="240" w:lineRule="auto"/>
              <w:jc w:val="left"/>
            </w:pPr>
            <w:r>
              <w:rPr>
                <w:rFonts w:ascii="Times New Roman" w:hAnsi="Times New Roman" w:eastAsia="Times New Roman" w:cs="Times New Roman"/>
                <w:b w:val="0"/>
                <w:i w:val="0"/>
                <w:color w:val="20262B"/>
                <w:sz w:val="17"/>
                <w:lang w:val="en-GB" w:eastAsia="en-GB" w:bidi="en-GB"/>
              </w:rPr>
              <w:t>Finite; ≤ Open, High, and Close</w:t>
            </w:r>
          </w:p>
        </w:tc>
      </w:tr>
      <w:tr w14:paraId="7E8F9DB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tcMar>
              <w:top w:w="68" w:type="dxa"/>
              <w:left w:w="85" w:type="dxa"/>
              <w:bottom w:w="68" w:type="dxa"/>
              <w:right w:w="85" w:type="dxa"/>
            </w:tcMar>
            <w:vAlign w:val="center"/>
          </w:tcPr>
          <w:p w14:paraId="30796205">
            <w:pPr>
              <w:spacing w:after="0" w:line="240" w:lineRule="auto"/>
              <w:jc w:val="left"/>
            </w:pPr>
            <w:r>
              <w:rPr>
                <w:rFonts w:ascii="Times New Roman" w:hAnsi="Times New Roman" w:eastAsia="Times New Roman" w:cs="Times New Roman"/>
                <w:b w:val="0"/>
                <w:i w:val="0"/>
                <w:color w:val="20262B"/>
                <w:sz w:val="17"/>
                <w:lang w:val="en-GB" w:eastAsia="en-GB" w:bidi="en-GB"/>
              </w:rPr>
              <w:t>Close</w:t>
            </w:r>
          </w:p>
        </w:tc>
        <w:tc>
          <w:tcPr>
            <w:tcW w:w="1324" w:type="dxa"/>
            <w:tcMar>
              <w:top w:w="68" w:type="dxa"/>
              <w:left w:w="85" w:type="dxa"/>
              <w:bottom w:w="68" w:type="dxa"/>
              <w:right w:w="85" w:type="dxa"/>
            </w:tcMar>
            <w:vAlign w:val="center"/>
          </w:tcPr>
          <w:p w14:paraId="01B8E165">
            <w:pPr>
              <w:spacing w:after="0" w:line="240" w:lineRule="auto"/>
              <w:jc w:val="left"/>
            </w:pPr>
            <w:r>
              <w:rPr>
                <w:rFonts w:ascii="Times New Roman" w:hAnsi="Times New Roman" w:eastAsia="Times New Roman" w:cs="Times New Roman"/>
                <w:b w:val="0"/>
                <w:i w:val="0"/>
                <w:color w:val="20262B"/>
                <w:sz w:val="17"/>
                <w:lang w:val="en-GB" w:eastAsia="en-GB" w:bidi="en-GB"/>
              </w:rPr>
              <w:t>Decimal</w:t>
            </w:r>
          </w:p>
        </w:tc>
        <w:tc>
          <w:tcPr>
            <w:tcW w:w="3528" w:type="dxa"/>
            <w:tcMar>
              <w:top w:w="68" w:type="dxa"/>
              <w:left w:w="85" w:type="dxa"/>
              <w:bottom w:w="68" w:type="dxa"/>
              <w:right w:w="85" w:type="dxa"/>
            </w:tcMar>
            <w:vAlign w:val="center"/>
          </w:tcPr>
          <w:p w14:paraId="4142D615">
            <w:pPr>
              <w:spacing w:after="0" w:line="240" w:lineRule="auto"/>
              <w:jc w:val="left"/>
            </w:pPr>
            <w:r>
              <w:rPr>
                <w:rFonts w:ascii="Times New Roman" w:hAnsi="Times New Roman" w:eastAsia="Times New Roman" w:cs="Times New Roman"/>
                <w:b w:val="0"/>
                <w:i w:val="0"/>
                <w:color w:val="20262B"/>
                <w:sz w:val="17"/>
                <w:lang w:val="en-GB" w:eastAsia="en-GB" w:bidi="en-GB"/>
              </w:rPr>
              <w:t>Provider closing price</w:t>
            </w:r>
          </w:p>
        </w:tc>
        <w:tc>
          <w:tcPr>
            <w:tcW w:w="3816" w:type="dxa"/>
            <w:tcMar>
              <w:top w:w="68" w:type="dxa"/>
              <w:left w:w="85" w:type="dxa"/>
              <w:bottom w:w="68" w:type="dxa"/>
              <w:right w:w="85" w:type="dxa"/>
            </w:tcMar>
            <w:vAlign w:val="center"/>
          </w:tcPr>
          <w:p w14:paraId="4EDEFA29">
            <w:pPr>
              <w:spacing w:after="0" w:line="240" w:lineRule="auto"/>
              <w:jc w:val="left"/>
            </w:pPr>
            <w:r>
              <w:rPr>
                <w:rFonts w:ascii="Times New Roman" w:hAnsi="Times New Roman" w:eastAsia="Times New Roman" w:cs="Times New Roman"/>
                <w:b w:val="0"/>
                <w:i w:val="0"/>
                <w:color w:val="20262B"/>
                <w:sz w:val="17"/>
                <w:lang w:val="en-GB" w:eastAsia="en-GB" w:bidi="en-GB"/>
              </w:rPr>
              <w:t>Finite, &gt; 0, within High/Low</w:t>
            </w:r>
          </w:p>
        </w:tc>
      </w:tr>
      <w:tr w14:paraId="5DB55CC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shd w:val="clear" w:color="auto" w:fill="F2F4F7"/>
            <w:tcMar>
              <w:top w:w="68" w:type="dxa"/>
              <w:left w:w="85" w:type="dxa"/>
              <w:bottom w:w="68" w:type="dxa"/>
              <w:right w:w="85" w:type="dxa"/>
            </w:tcMar>
            <w:vAlign w:val="center"/>
          </w:tcPr>
          <w:p w14:paraId="3ABEDDC6">
            <w:pPr>
              <w:spacing w:after="0" w:line="240" w:lineRule="auto"/>
              <w:jc w:val="left"/>
            </w:pPr>
            <w:r>
              <w:rPr>
                <w:rFonts w:ascii="Times New Roman" w:hAnsi="Times New Roman" w:eastAsia="Times New Roman" w:cs="Times New Roman"/>
                <w:b w:val="0"/>
                <w:i w:val="0"/>
                <w:color w:val="20262B"/>
                <w:sz w:val="17"/>
                <w:lang w:val="en-GB" w:eastAsia="en-GB" w:bidi="en-GB"/>
              </w:rPr>
              <w:t>Adj Close</w:t>
            </w:r>
          </w:p>
        </w:tc>
        <w:tc>
          <w:tcPr>
            <w:tcW w:w="1324" w:type="dxa"/>
            <w:shd w:val="clear" w:color="auto" w:fill="F2F4F7"/>
            <w:tcMar>
              <w:top w:w="68" w:type="dxa"/>
              <w:left w:w="85" w:type="dxa"/>
              <w:bottom w:w="68" w:type="dxa"/>
              <w:right w:w="85" w:type="dxa"/>
            </w:tcMar>
            <w:vAlign w:val="center"/>
          </w:tcPr>
          <w:p w14:paraId="527396D2">
            <w:pPr>
              <w:spacing w:after="0" w:line="240" w:lineRule="auto"/>
              <w:jc w:val="left"/>
            </w:pPr>
            <w:r>
              <w:rPr>
                <w:rFonts w:ascii="Times New Roman" w:hAnsi="Times New Roman" w:eastAsia="Times New Roman" w:cs="Times New Roman"/>
                <w:b w:val="0"/>
                <w:i w:val="0"/>
                <w:color w:val="20262B"/>
                <w:sz w:val="17"/>
                <w:lang w:val="en-GB" w:eastAsia="en-GB" w:bidi="en-GB"/>
              </w:rPr>
              <w:t>Decimal</w:t>
            </w:r>
          </w:p>
        </w:tc>
        <w:tc>
          <w:tcPr>
            <w:tcW w:w="3528" w:type="dxa"/>
            <w:shd w:val="clear" w:color="auto" w:fill="F2F4F7"/>
            <w:tcMar>
              <w:top w:w="68" w:type="dxa"/>
              <w:left w:w="85" w:type="dxa"/>
              <w:bottom w:w="68" w:type="dxa"/>
              <w:right w:w="85" w:type="dxa"/>
            </w:tcMar>
            <w:vAlign w:val="center"/>
          </w:tcPr>
          <w:p w14:paraId="7AA2A54E">
            <w:pPr>
              <w:spacing w:after="0" w:line="240" w:lineRule="auto"/>
              <w:jc w:val="left"/>
            </w:pPr>
            <w:r>
              <w:rPr>
                <w:rFonts w:ascii="Times New Roman" w:hAnsi="Times New Roman" w:eastAsia="Times New Roman" w:cs="Times New Roman"/>
                <w:b w:val="0"/>
                <w:i w:val="0"/>
                <w:color w:val="20262B"/>
                <w:sz w:val="17"/>
                <w:lang w:val="en-GB" w:eastAsia="en-GB" w:bidi="en-GB"/>
              </w:rPr>
              <w:t>Provider adjusted closing price</w:t>
            </w:r>
          </w:p>
        </w:tc>
        <w:tc>
          <w:tcPr>
            <w:tcW w:w="3816" w:type="dxa"/>
            <w:shd w:val="clear" w:color="auto" w:fill="F2F4F7"/>
            <w:tcMar>
              <w:top w:w="68" w:type="dxa"/>
              <w:left w:w="85" w:type="dxa"/>
              <w:bottom w:w="68" w:type="dxa"/>
              <w:right w:w="85" w:type="dxa"/>
            </w:tcMar>
            <w:vAlign w:val="center"/>
          </w:tcPr>
          <w:p w14:paraId="3F0F184F">
            <w:pPr>
              <w:spacing w:after="0" w:line="240" w:lineRule="auto"/>
              <w:jc w:val="left"/>
            </w:pPr>
            <w:r>
              <w:rPr>
                <w:rFonts w:ascii="Times New Roman" w:hAnsi="Times New Roman" w:eastAsia="Times New Roman" w:cs="Times New Roman"/>
                <w:b w:val="0"/>
                <w:i w:val="0"/>
                <w:color w:val="20262B"/>
                <w:sz w:val="17"/>
                <w:lang w:val="en-GB" w:eastAsia="en-GB" w:bidi="en-GB"/>
              </w:rPr>
              <w:t>Finite and &gt; 0</w:t>
            </w:r>
          </w:p>
        </w:tc>
      </w:tr>
      <w:tr w14:paraId="3CE322F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1224" w:type="dxa"/>
            <w:tcMar>
              <w:top w:w="68" w:type="dxa"/>
              <w:left w:w="85" w:type="dxa"/>
              <w:bottom w:w="68" w:type="dxa"/>
              <w:right w:w="85" w:type="dxa"/>
            </w:tcMar>
            <w:vAlign w:val="center"/>
          </w:tcPr>
          <w:p w14:paraId="11C5B135">
            <w:pPr>
              <w:spacing w:after="0" w:line="240" w:lineRule="auto"/>
              <w:jc w:val="left"/>
            </w:pPr>
            <w:r>
              <w:rPr>
                <w:rFonts w:ascii="Times New Roman" w:hAnsi="Times New Roman" w:eastAsia="Times New Roman" w:cs="Times New Roman"/>
                <w:b w:val="0"/>
                <w:i w:val="0"/>
                <w:color w:val="20262B"/>
                <w:sz w:val="17"/>
                <w:lang w:val="en-GB" w:eastAsia="en-GB" w:bidi="en-GB"/>
              </w:rPr>
              <w:t>Volume</w:t>
            </w:r>
          </w:p>
        </w:tc>
        <w:tc>
          <w:tcPr>
            <w:tcW w:w="1324" w:type="dxa"/>
            <w:tcMar>
              <w:top w:w="68" w:type="dxa"/>
              <w:left w:w="85" w:type="dxa"/>
              <w:bottom w:w="68" w:type="dxa"/>
              <w:right w:w="85" w:type="dxa"/>
            </w:tcMar>
            <w:vAlign w:val="center"/>
          </w:tcPr>
          <w:p w14:paraId="016A75D0">
            <w:pPr>
              <w:spacing w:after="0" w:line="240" w:lineRule="auto"/>
              <w:jc w:val="left"/>
            </w:pPr>
            <w:r>
              <w:rPr>
                <w:rFonts w:ascii="Times New Roman" w:hAnsi="Times New Roman" w:eastAsia="Times New Roman" w:cs="Times New Roman"/>
                <w:b w:val="0"/>
                <w:i w:val="0"/>
                <w:color w:val="20262B"/>
                <w:sz w:val="17"/>
                <w:lang w:val="en-GB" w:eastAsia="en-GB" w:bidi="en-GB"/>
              </w:rPr>
              <w:t>Integer</w:t>
            </w:r>
          </w:p>
        </w:tc>
        <w:tc>
          <w:tcPr>
            <w:tcW w:w="3528" w:type="dxa"/>
            <w:tcMar>
              <w:top w:w="68" w:type="dxa"/>
              <w:left w:w="85" w:type="dxa"/>
              <w:bottom w:w="68" w:type="dxa"/>
              <w:right w:w="85" w:type="dxa"/>
            </w:tcMar>
            <w:vAlign w:val="center"/>
          </w:tcPr>
          <w:p w14:paraId="22E44816">
            <w:pPr>
              <w:spacing w:after="0" w:line="240" w:lineRule="auto"/>
              <w:jc w:val="left"/>
            </w:pPr>
            <w:r>
              <w:rPr>
                <w:rFonts w:ascii="Times New Roman" w:hAnsi="Times New Roman" w:eastAsia="Times New Roman" w:cs="Times New Roman"/>
                <w:b w:val="0"/>
                <w:i w:val="0"/>
                <w:color w:val="20262B"/>
                <w:sz w:val="17"/>
                <w:lang w:val="en-GB" w:eastAsia="en-GB" w:bidi="en-GB"/>
              </w:rPr>
              <w:t>Reported shares traded</w:t>
            </w:r>
          </w:p>
        </w:tc>
        <w:tc>
          <w:tcPr>
            <w:tcW w:w="3816" w:type="dxa"/>
            <w:tcMar>
              <w:top w:w="68" w:type="dxa"/>
              <w:left w:w="85" w:type="dxa"/>
              <w:bottom w:w="68" w:type="dxa"/>
              <w:right w:w="85" w:type="dxa"/>
            </w:tcMar>
            <w:vAlign w:val="center"/>
          </w:tcPr>
          <w:p w14:paraId="52A732D9">
            <w:pPr>
              <w:spacing w:after="0" w:line="240" w:lineRule="auto"/>
              <w:jc w:val="left"/>
            </w:pPr>
            <w:r>
              <w:rPr>
                <w:rFonts w:ascii="Times New Roman" w:hAnsi="Times New Roman" w:eastAsia="Times New Roman" w:cs="Times New Roman"/>
                <w:b w:val="0"/>
                <w:i w:val="0"/>
                <w:color w:val="20262B"/>
                <w:sz w:val="17"/>
                <w:lang w:val="en-GB" w:eastAsia="en-GB" w:bidi="en-GB"/>
              </w:rPr>
              <w:t>Non-negative whole number</w:t>
            </w:r>
          </w:p>
        </w:tc>
      </w:tr>
    </w:tbl>
    <w:p w14:paraId="0261CCCD">
      <w:pPr>
        <w:pStyle w:val="19"/>
        <w:widowControl/>
        <w:spacing w:before="0" w:after="100"/>
        <w:ind w:left="0" w:firstLine="0"/>
        <w:jc w:val="left"/>
      </w:pPr>
      <w:r>
        <w:rPr>
          <w:rFonts w:ascii="Times New Roman" w:hAnsi="Times New Roman" w:eastAsia="Times New Roman" w:cs="Times New Roman"/>
          <w:b w:val="0"/>
          <w:i w:val="0"/>
          <w:color w:val="20262B"/>
          <w:sz w:val="21"/>
          <w:lang w:val="en-GB" w:eastAsia="en-GB" w:bidi="en-GB"/>
        </w:rPr>
        <w:t>The filename convention embeds the ticker and inclusive requested boundaries, for example AAPL_daily_2021-01-01_2025-12-31.csv. The Date field is written as ISO 8601 calendar text, prices retain provider precision, and Volume is serialized as a 64-bit integer.</w:t>
      </w:r>
    </w:p>
    <w:p w14:paraId="3541AE72">
      <w:pPr>
        <w:pStyle w:val="3"/>
        <w:widowControl/>
      </w:pPr>
      <w:r>
        <w:rPr>
          <w:rFonts w:ascii="Arial" w:hAnsi="Arial" w:eastAsia="Arial" w:cs="Arial"/>
          <w:b/>
          <w:sz w:val="28"/>
          <w:lang w:val="en-GB" w:eastAsia="en-GB" w:bidi="en-GB"/>
        </w:rPr>
        <w:t>7. Limitations and Responsible Use</w:t>
      </w:r>
    </w:p>
    <w:p w14:paraId="69E4D772">
      <w:pPr>
        <w:pStyle w:val="19"/>
        <w:widowControl/>
        <w:spacing w:before="0" w:after="100"/>
        <w:ind w:left="0" w:firstLine="0"/>
        <w:jc w:val="left"/>
      </w:pPr>
      <w:r>
        <w:rPr>
          <w:rFonts w:ascii="Times New Roman" w:hAnsi="Times New Roman" w:eastAsia="Times New Roman"/>
          <w:b w:val="0"/>
          <w:i w:val="0"/>
          <w:sz w:val="21"/>
        </w:rPr>
        <w:t>The dataset remains source-dependent: Yahoo may revise historical observations, and yfinance is an unofficial client without a guaranteed service level. The validation framework and post-run verification establish provenance, archive integrity, exchange-session coverage, and internal consistency. A five-row external sample additionally compares each 2025-12-31 Yahoo Close with the independently retrieved Nasdaq.com close; all five pass the USD 0.01 tolerance. This strengthens the accuracy evidence but does not independently verify every value against a licensed exchange or professional market-data source. Accuracy therefore means faithful provider retrieval, the stated structural and logical checks, and agreement for the disclosed sample. Corporate-action interpretation follows the provider's Close and Adj Close definitions.</w:t>
      </w:r>
    </w:p>
    <w:p w14:paraId="1BD82394">
      <w:pPr>
        <w:pStyle w:val="19"/>
        <w:widowControl/>
        <w:spacing w:before="0" w:after="100"/>
        <w:ind w:left="0" w:firstLine="0"/>
        <w:jc w:val="left"/>
      </w:pPr>
      <w:r>
        <w:rPr>
          <w:rFonts w:ascii="Times New Roman" w:hAnsi="Times New Roman" w:eastAsia="Times New Roman" w:cs="Times New Roman"/>
          <w:b w:val="0"/>
          <w:i w:val="0"/>
          <w:color w:val="20262B"/>
          <w:sz w:val="21"/>
          <w:lang w:val="en-GB" w:eastAsia="en-GB" w:bidi="en-GB"/>
        </w:rPr>
        <w:t>The exchange calendar is versioned software rather than a live authoritative schedule. Any later correction to historical market holidays or special sessions would require a newer calendar package and a new validation run. The delivered files are appropriate for coursework and reproducible research, but they should not be treated as execution-grade market data, investment advice, or regulated reporting.</w:t>
      </w:r>
    </w:p>
    <w:p w14:paraId="00DB9B8F">
      <w:pPr>
        <w:pStyle w:val="3"/>
        <w:widowControl/>
      </w:pPr>
      <w:r>
        <w:rPr>
          <w:rFonts w:ascii="Arial" w:hAnsi="Arial" w:eastAsia="Arial" w:cs="Arial"/>
          <w:b/>
          <w:sz w:val="28"/>
          <w:lang w:val="en-GB" w:eastAsia="en-GB" w:bidi="en-GB"/>
        </w:rPr>
        <w:t>8. Conclusion</w:t>
      </w:r>
    </w:p>
    <w:p w14:paraId="6ED83F63">
      <w:pPr>
        <w:pStyle w:val="19"/>
        <w:widowControl/>
        <w:spacing w:before="0" w:after="100"/>
        <w:ind w:left="0" w:firstLine="0"/>
        <w:jc w:val="left"/>
      </w:pPr>
      <w:r>
        <w:t>The submission satisfies the task with a documented data source, explicit access configuration, a reusable configuration-driven Python script, five clearly named CSVs, all required fields, a coherent directory structure, and systematic checks for completeness and erroneous data. All 6,275 observations passed the internal criteria, and all five disclosed Nasdaq comparisons passed within USD 0.01. The default fail-closed policy remains appropriate for five securities; optional partial publication, isolated sanitized diagnostics, staged snapshot replacement with rollback, 24 deterministic tests, and a configured CI workflow extend the design for larger universes. These controls provide a clear audit trail without overstating the external accuracy evidence or CI execution status.</w:t>
      </w:r>
    </w:p>
    <w:p w14:paraId="3C6A5AEB">
      <w:pPr>
        <w:pStyle w:val="3"/>
        <w:widowControl/>
      </w:pPr>
      <w:r>
        <w:rPr>
          <w:rFonts w:ascii="Arial" w:hAnsi="Arial" w:eastAsia="Arial" w:cs="Arial"/>
          <w:b/>
          <w:sz w:val="28"/>
          <w:lang w:val="en-GB" w:eastAsia="en-GB" w:bidi="en-GB"/>
        </w:rPr>
        <w:t>9. Requirement Compliance Matrix</w:t>
      </w:r>
    </w:p>
    <w:p w14:paraId="55058379">
      <w:pPr>
        <w:pStyle w:val="15"/>
        <w:keepNext/>
        <w:widowControl/>
        <w:spacing w:before="60" w:after="60"/>
      </w:pPr>
      <w:r>
        <w:rPr>
          <w:rFonts w:ascii="Arial" w:hAnsi="Arial" w:eastAsia="Arial" w:cs="Arial"/>
          <w:b/>
          <w:i w:val="0"/>
          <w:color w:val="12324B"/>
          <w:sz w:val="18"/>
          <w:lang w:val="en-GB" w:eastAsia="en-GB" w:bidi="en-GB"/>
        </w:rPr>
        <w:t>Table 9. Assignment requirements mapped to submitted evidence</w:t>
      </w:r>
    </w:p>
    <w:tbl>
      <w:tblPr>
        <w:tblStyle w:val="32"/>
        <w:tblW w:w="9890"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604"/>
        <w:gridCol w:w="3311"/>
        <w:gridCol w:w="5011"/>
        <w:gridCol w:w="964"/>
      </w:tblGrid>
      <w:tr w14:paraId="652C3CE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604" w:type="dxa"/>
            <w:shd w:val="clear" w:color="auto" w:fill="12324B"/>
            <w:tcMar>
              <w:top w:w="75" w:type="dxa"/>
              <w:left w:w="85" w:type="dxa"/>
              <w:bottom w:w="75" w:type="dxa"/>
              <w:right w:w="85" w:type="dxa"/>
            </w:tcMar>
            <w:vAlign w:val="center"/>
          </w:tcPr>
          <w:p w14:paraId="5361960B">
            <w:pPr>
              <w:spacing w:after="0" w:line="240" w:lineRule="auto"/>
              <w:jc w:val="center"/>
            </w:pPr>
            <w:r>
              <w:rPr>
                <w:rFonts w:ascii="Arial" w:hAnsi="Arial" w:eastAsia="Arial" w:cs="Arial"/>
                <w:b/>
                <w:i w:val="0"/>
                <w:color w:val="FFFFFF"/>
                <w:sz w:val="16"/>
                <w:lang w:val="en-GB" w:eastAsia="en-GB" w:bidi="en-GB"/>
              </w:rPr>
              <w:t>No.</w:t>
            </w:r>
          </w:p>
        </w:tc>
        <w:tc>
          <w:tcPr>
            <w:tcW w:w="3311" w:type="dxa"/>
            <w:shd w:val="clear" w:color="auto" w:fill="12324B"/>
            <w:tcMar>
              <w:top w:w="75" w:type="dxa"/>
              <w:left w:w="85" w:type="dxa"/>
              <w:bottom w:w="75" w:type="dxa"/>
              <w:right w:w="85" w:type="dxa"/>
            </w:tcMar>
            <w:vAlign w:val="center"/>
          </w:tcPr>
          <w:p w14:paraId="18D0D1E8">
            <w:pPr>
              <w:spacing w:after="0" w:line="240" w:lineRule="auto"/>
              <w:jc w:val="left"/>
            </w:pPr>
            <w:r>
              <w:rPr>
                <w:rFonts w:ascii="Arial" w:hAnsi="Arial" w:eastAsia="Arial" w:cs="Arial"/>
                <w:b/>
                <w:i w:val="0"/>
                <w:color w:val="FFFFFF"/>
                <w:sz w:val="16"/>
                <w:lang w:val="en-GB" w:eastAsia="en-GB" w:bidi="en-GB"/>
              </w:rPr>
              <w:t>Assignment requirement</w:t>
            </w:r>
          </w:p>
        </w:tc>
        <w:tc>
          <w:tcPr>
            <w:tcW w:w="5011" w:type="dxa"/>
            <w:shd w:val="clear" w:color="auto" w:fill="12324B"/>
            <w:tcMar>
              <w:top w:w="75" w:type="dxa"/>
              <w:left w:w="85" w:type="dxa"/>
              <w:bottom w:w="75" w:type="dxa"/>
              <w:right w:w="85" w:type="dxa"/>
            </w:tcMar>
            <w:vAlign w:val="center"/>
          </w:tcPr>
          <w:p w14:paraId="7691EA36">
            <w:pPr>
              <w:spacing w:after="0" w:line="240" w:lineRule="auto"/>
              <w:jc w:val="left"/>
            </w:pPr>
            <w:r>
              <w:rPr>
                <w:rFonts w:ascii="Arial" w:hAnsi="Arial" w:eastAsia="Arial" w:cs="Arial"/>
                <w:b/>
                <w:i w:val="0"/>
                <w:color w:val="FFFFFF"/>
                <w:sz w:val="16"/>
                <w:lang w:val="en-GB" w:eastAsia="en-GB" w:bidi="en-GB"/>
              </w:rPr>
              <w:t>Submitted evidence</w:t>
            </w:r>
          </w:p>
        </w:tc>
        <w:tc>
          <w:tcPr>
            <w:tcW w:w="964" w:type="dxa"/>
            <w:shd w:val="clear" w:color="auto" w:fill="12324B"/>
            <w:tcMar>
              <w:top w:w="75" w:type="dxa"/>
              <w:left w:w="85" w:type="dxa"/>
              <w:bottom w:w="75" w:type="dxa"/>
              <w:right w:w="85" w:type="dxa"/>
            </w:tcMar>
            <w:vAlign w:val="center"/>
          </w:tcPr>
          <w:p w14:paraId="06D9AE94">
            <w:pPr>
              <w:spacing w:after="0" w:line="240" w:lineRule="auto"/>
              <w:jc w:val="center"/>
            </w:pPr>
            <w:r>
              <w:rPr>
                <w:rFonts w:ascii="Arial" w:hAnsi="Arial" w:eastAsia="Arial" w:cs="Arial"/>
                <w:b/>
                <w:i w:val="0"/>
                <w:color w:val="FFFFFF"/>
                <w:sz w:val="16"/>
                <w:lang w:val="en-GB" w:eastAsia="en-GB" w:bidi="en-GB"/>
              </w:rPr>
              <w:t>Status</w:t>
            </w:r>
          </w:p>
        </w:tc>
      </w:tr>
      <w:tr w14:paraId="178CF75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tcMar>
              <w:top w:w="68" w:type="dxa"/>
              <w:left w:w="85" w:type="dxa"/>
              <w:bottom w:w="68" w:type="dxa"/>
              <w:right w:w="85" w:type="dxa"/>
            </w:tcMar>
            <w:vAlign w:val="center"/>
          </w:tcPr>
          <w:p w14:paraId="72A41EE7">
            <w:pPr>
              <w:spacing w:after="0" w:line="240" w:lineRule="auto"/>
              <w:jc w:val="center"/>
            </w:pPr>
            <w:r>
              <w:rPr>
                <w:rFonts w:ascii="Times New Roman" w:hAnsi="Times New Roman" w:eastAsia="Times New Roman" w:cs="Times New Roman"/>
                <w:b w:val="0"/>
                <w:i w:val="0"/>
                <w:color w:val="20262B"/>
                <w:sz w:val="17"/>
                <w:lang w:val="en-GB" w:eastAsia="en-GB" w:bidi="en-GB"/>
              </w:rPr>
              <w:t>1</w:t>
            </w:r>
          </w:p>
        </w:tc>
        <w:tc>
          <w:tcPr>
            <w:tcW w:w="3311" w:type="dxa"/>
            <w:tcMar>
              <w:top w:w="68" w:type="dxa"/>
              <w:left w:w="85" w:type="dxa"/>
              <w:bottom w:w="68" w:type="dxa"/>
              <w:right w:w="85" w:type="dxa"/>
            </w:tcMar>
            <w:vAlign w:val="center"/>
          </w:tcPr>
          <w:p w14:paraId="19F04D62">
            <w:pPr>
              <w:spacing w:after="0" w:line="240" w:lineRule="auto"/>
              <w:jc w:val="left"/>
            </w:pPr>
            <w:r>
              <w:rPr>
                <w:rFonts w:ascii="Times New Roman" w:hAnsi="Times New Roman" w:eastAsia="Times New Roman" w:cs="Times New Roman"/>
                <w:b w:val="0"/>
                <w:i w:val="0"/>
                <w:color w:val="20262B"/>
                <w:sz w:val="17"/>
                <w:lang w:val="en-GB" w:eastAsia="en-GB" w:bidi="en-GB"/>
              </w:rPr>
              <w:t>Choose an appropriate API / data source</w:t>
            </w:r>
          </w:p>
        </w:tc>
        <w:tc>
          <w:tcPr>
            <w:tcW w:w="5011" w:type="dxa"/>
            <w:tcMar>
              <w:top w:w="68" w:type="dxa"/>
              <w:left w:w="85" w:type="dxa"/>
              <w:bottom w:w="68" w:type="dxa"/>
              <w:right w:w="85" w:type="dxa"/>
            </w:tcMar>
            <w:vAlign w:val="center"/>
          </w:tcPr>
          <w:p w14:paraId="5DF54DFC">
            <w:pPr>
              <w:spacing w:after="0" w:line="240" w:lineRule="auto"/>
              <w:jc w:val="left"/>
            </w:pPr>
            <w:r>
              <w:rPr>
                <w:rFonts w:ascii="Times New Roman" w:hAnsi="Times New Roman" w:eastAsia="Times New Roman" w:cs="Times New Roman"/>
                <w:b w:val="0"/>
                <w:i w:val="0"/>
                <w:color w:val="20262B"/>
                <w:sz w:val="17"/>
                <w:lang w:val="en-GB" w:eastAsia="en-GB" w:bidi="en-GB"/>
              </w:rPr>
              <w:t>Yahoo Finance accessed through yfinance 1.5.2; rationale in Section 2</w:t>
            </w:r>
          </w:p>
        </w:tc>
        <w:tc>
          <w:tcPr>
            <w:tcW w:w="964" w:type="dxa"/>
            <w:tcMar>
              <w:top w:w="68" w:type="dxa"/>
              <w:left w:w="85" w:type="dxa"/>
              <w:bottom w:w="68" w:type="dxa"/>
              <w:right w:w="85" w:type="dxa"/>
            </w:tcMar>
            <w:vAlign w:val="center"/>
          </w:tcPr>
          <w:p w14:paraId="6D3A55E7">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32F4CDA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shd w:val="clear" w:color="auto" w:fill="F2F4F7"/>
            <w:tcMar>
              <w:top w:w="68" w:type="dxa"/>
              <w:left w:w="85" w:type="dxa"/>
              <w:bottom w:w="68" w:type="dxa"/>
              <w:right w:w="85" w:type="dxa"/>
            </w:tcMar>
            <w:vAlign w:val="center"/>
          </w:tcPr>
          <w:p w14:paraId="311F3E23">
            <w:pPr>
              <w:spacing w:after="0" w:line="240" w:lineRule="auto"/>
              <w:jc w:val="center"/>
            </w:pPr>
            <w:r>
              <w:rPr>
                <w:rFonts w:ascii="Times New Roman" w:hAnsi="Times New Roman" w:eastAsia="Times New Roman" w:cs="Times New Roman"/>
                <w:b w:val="0"/>
                <w:i w:val="0"/>
                <w:color w:val="20262B"/>
                <w:sz w:val="17"/>
                <w:lang w:val="en-GB" w:eastAsia="en-GB" w:bidi="en-GB"/>
              </w:rPr>
              <w:t>2</w:t>
            </w:r>
          </w:p>
        </w:tc>
        <w:tc>
          <w:tcPr>
            <w:tcW w:w="3311" w:type="dxa"/>
            <w:shd w:val="clear" w:color="auto" w:fill="F2F4F7"/>
            <w:tcMar>
              <w:top w:w="68" w:type="dxa"/>
              <w:left w:w="85" w:type="dxa"/>
              <w:bottom w:w="68" w:type="dxa"/>
              <w:right w:w="85" w:type="dxa"/>
            </w:tcMar>
            <w:vAlign w:val="center"/>
          </w:tcPr>
          <w:p w14:paraId="13AB8728">
            <w:pPr>
              <w:spacing w:after="0" w:line="240" w:lineRule="auto"/>
              <w:jc w:val="left"/>
            </w:pPr>
            <w:r>
              <w:rPr>
                <w:rFonts w:ascii="Times New Roman" w:hAnsi="Times New Roman" w:eastAsia="Times New Roman" w:cs="Times New Roman"/>
                <w:b w:val="0"/>
                <w:i w:val="0"/>
                <w:color w:val="20262B"/>
                <w:sz w:val="17"/>
                <w:lang w:val="en-GB" w:eastAsia="en-GB" w:bidi="en-GB"/>
              </w:rPr>
              <w:t>Set up access and obtain any necessary key</w:t>
            </w:r>
          </w:p>
        </w:tc>
        <w:tc>
          <w:tcPr>
            <w:tcW w:w="5011" w:type="dxa"/>
            <w:shd w:val="clear" w:color="auto" w:fill="F2F4F7"/>
            <w:tcMar>
              <w:top w:w="68" w:type="dxa"/>
              <w:left w:w="85" w:type="dxa"/>
              <w:bottom w:w="68" w:type="dxa"/>
              <w:right w:w="85" w:type="dxa"/>
            </w:tcMar>
            <w:vAlign w:val="center"/>
          </w:tcPr>
          <w:p>
            <w:r>
              <w:t>Version-pinned direct dependencies; yfinance needs no API key for this workflow; commands in Section 2.2</w:t>
            </w:r>
          </w:p>
        </w:tc>
        <w:tc>
          <w:tcPr>
            <w:tcW w:w="964" w:type="dxa"/>
            <w:shd w:val="clear" w:color="auto" w:fill="F2F4F7"/>
            <w:tcMar>
              <w:top w:w="68" w:type="dxa"/>
              <w:left w:w="85" w:type="dxa"/>
              <w:bottom w:w="68" w:type="dxa"/>
              <w:right w:w="85" w:type="dxa"/>
            </w:tcMar>
            <w:vAlign w:val="center"/>
          </w:tcPr>
          <w:p w14:paraId="17AE8A62">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59D0DBCD">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tcMar>
              <w:top w:w="68" w:type="dxa"/>
              <w:left w:w="85" w:type="dxa"/>
              <w:bottom w:w="68" w:type="dxa"/>
              <w:right w:w="85" w:type="dxa"/>
            </w:tcMar>
            <w:vAlign w:val="center"/>
          </w:tcPr>
          <w:p w14:paraId="4E7AF249">
            <w:pPr>
              <w:spacing w:after="0" w:line="240" w:lineRule="auto"/>
              <w:jc w:val="center"/>
            </w:pPr>
            <w:r>
              <w:rPr>
                <w:rFonts w:ascii="Times New Roman" w:hAnsi="Times New Roman" w:eastAsia="Times New Roman" w:cs="Times New Roman"/>
                <w:b w:val="0"/>
                <w:i w:val="0"/>
                <w:color w:val="20262B"/>
                <w:sz w:val="17"/>
                <w:lang w:val="en-GB" w:eastAsia="en-GB" w:bidi="en-GB"/>
              </w:rPr>
              <w:t>3</w:t>
            </w:r>
          </w:p>
        </w:tc>
        <w:tc>
          <w:tcPr>
            <w:tcW w:w="3311" w:type="dxa"/>
            <w:tcMar>
              <w:top w:w="68" w:type="dxa"/>
              <w:left w:w="85" w:type="dxa"/>
              <w:bottom w:w="68" w:type="dxa"/>
              <w:right w:w="85" w:type="dxa"/>
            </w:tcMar>
            <w:vAlign w:val="center"/>
          </w:tcPr>
          <w:p w14:paraId="6A5F10B3">
            <w:pPr>
              <w:spacing w:after="0" w:line="240" w:lineRule="auto"/>
              <w:jc w:val="left"/>
            </w:pPr>
            <w:r>
              <w:rPr>
                <w:rFonts w:ascii="Times New Roman" w:hAnsi="Times New Roman" w:eastAsia="Times New Roman" w:cs="Times New Roman"/>
                <w:b w:val="0"/>
                <w:i w:val="0"/>
                <w:color w:val="20262B"/>
                <w:sz w:val="17"/>
                <w:lang w:val="en-GB" w:eastAsia="en-GB" w:bidi="en-GB"/>
              </w:rPr>
              <w:t>Write Python scripts to download data</w:t>
            </w:r>
          </w:p>
        </w:tc>
        <w:tc>
          <w:tcPr>
            <w:tcW w:w="5011" w:type="dxa"/>
            <w:tcMar>
              <w:top w:w="68" w:type="dxa"/>
              <w:left w:w="85" w:type="dxa"/>
              <w:bottom w:w="68" w:type="dxa"/>
              <w:right w:w="85" w:type="dxa"/>
            </w:tcMar>
            <w:vAlign w:val="center"/>
          </w:tcPr>
          <w:p w14:paraId="7EDC26F1">
            <w:pPr>
              <w:spacing w:after="0" w:line="240" w:lineRule="auto"/>
              <w:jc w:val="left"/>
            </w:pPr>
            <w:r>
              <w:rPr>
                <w:rFonts w:ascii="Times New Roman" w:hAnsi="Times New Roman" w:eastAsia="Times New Roman" w:cs="Times New Roman"/>
                <w:b w:val="0"/>
                <w:i w:val="0"/>
                <w:color w:val="20262B"/>
                <w:sz w:val="17"/>
                <w:lang w:val="en-GB" w:eastAsia="en-GB" w:bidi="en-GB"/>
              </w:rPr>
              <w:t>scripts/collect_stock_data.py</w:t>
            </w:r>
          </w:p>
        </w:tc>
        <w:tc>
          <w:tcPr>
            <w:tcW w:w="964" w:type="dxa"/>
            <w:tcMar>
              <w:top w:w="68" w:type="dxa"/>
              <w:left w:w="85" w:type="dxa"/>
              <w:bottom w:w="68" w:type="dxa"/>
              <w:right w:w="85" w:type="dxa"/>
            </w:tcMar>
            <w:vAlign w:val="center"/>
          </w:tcPr>
          <w:p w14:paraId="2386D421">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73ED7A8E">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shd w:val="clear" w:color="auto" w:fill="F2F4F7"/>
            <w:tcMar>
              <w:top w:w="68" w:type="dxa"/>
              <w:left w:w="85" w:type="dxa"/>
              <w:bottom w:w="68" w:type="dxa"/>
              <w:right w:w="85" w:type="dxa"/>
            </w:tcMar>
            <w:vAlign w:val="center"/>
          </w:tcPr>
          <w:p w14:paraId="0ABF319C">
            <w:pPr>
              <w:spacing w:after="0" w:line="240" w:lineRule="auto"/>
              <w:jc w:val="center"/>
            </w:pPr>
            <w:r>
              <w:rPr>
                <w:rFonts w:ascii="Times New Roman" w:hAnsi="Times New Roman" w:eastAsia="Times New Roman" w:cs="Times New Roman"/>
                <w:b w:val="0"/>
                <w:i w:val="0"/>
                <w:color w:val="20262B"/>
                <w:sz w:val="17"/>
                <w:lang w:val="en-GB" w:eastAsia="en-GB" w:bidi="en-GB"/>
              </w:rPr>
              <w:t>4</w:t>
            </w:r>
          </w:p>
        </w:tc>
        <w:tc>
          <w:tcPr>
            <w:tcW w:w="3311" w:type="dxa"/>
            <w:shd w:val="clear" w:color="auto" w:fill="F2F4F7"/>
            <w:tcMar>
              <w:top w:w="68" w:type="dxa"/>
              <w:left w:w="85" w:type="dxa"/>
              <w:bottom w:w="68" w:type="dxa"/>
              <w:right w:w="85" w:type="dxa"/>
            </w:tcMar>
            <w:vAlign w:val="center"/>
          </w:tcPr>
          <w:p w14:paraId="1CEC8F5B">
            <w:pPr>
              <w:spacing w:after="0" w:line="240" w:lineRule="auto"/>
              <w:jc w:val="left"/>
            </w:pPr>
            <w:r>
              <w:rPr>
                <w:rFonts w:ascii="Times New Roman" w:hAnsi="Times New Roman" w:eastAsia="Times New Roman" w:cs="Times New Roman"/>
                <w:b w:val="0"/>
                <w:i w:val="0"/>
                <w:color w:val="20262B"/>
                <w:sz w:val="17"/>
                <w:lang w:val="en-GB" w:eastAsia="en-GB" w:bidi="en-GB"/>
              </w:rPr>
              <w:t>Include date, open, high, low, close, and volume</w:t>
            </w:r>
          </w:p>
        </w:tc>
        <w:tc>
          <w:tcPr>
            <w:tcW w:w="5011" w:type="dxa"/>
            <w:shd w:val="clear" w:color="auto" w:fill="F2F4F7"/>
            <w:tcMar>
              <w:top w:w="68" w:type="dxa"/>
              <w:left w:w="85" w:type="dxa"/>
              <w:bottom w:w="68" w:type="dxa"/>
              <w:right w:w="85" w:type="dxa"/>
            </w:tcMar>
            <w:vAlign w:val="center"/>
          </w:tcPr>
          <w:p w14:paraId="001175E7">
            <w:pPr>
              <w:spacing w:after="0" w:line="240" w:lineRule="auto"/>
              <w:jc w:val="left"/>
            </w:pPr>
            <w:r>
              <w:rPr>
                <w:rFonts w:ascii="Times New Roman" w:hAnsi="Times New Roman" w:eastAsia="Times New Roman" w:cs="Times New Roman"/>
                <w:b w:val="0"/>
                <w:i w:val="0"/>
                <w:color w:val="20262B"/>
                <w:sz w:val="17"/>
                <w:lang w:val="en-GB" w:eastAsia="en-GB" w:bidi="en-GB"/>
              </w:rPr>
              <w:t>Seven-field schema in Table 8, including all required fields</w:t>
            </w:r>
          </w:p>
        </w:tc>
        <w:tc>
          <w:tcPr>
            <w:tcW w:w="964" w:type="dxa"/>
            <w:shd w:val="clear" w:color="auto" w:fill="F2F4F7"/>
            <w:tcMar>
              <w:top w:w="68" w:type="dxa"/>
              <w:left w:w="85" w:type="dxa"/>
              <w:bottom w:w="68" w:type="dxa"/>
              <w:right w:w="85" w:type="dxa"/>
            </w:tcMar>
            <w:vAlign w:val="center"/>
          </w:tcPr>
          <w:p w14:paraId="21C7BEDD">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05BC255C">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tcMar>
              <w:top w:w="68" w:type="dxa"/>
              <w:left w:w="85" w:type="dxa"/>
              <w:bottom w:w="68" w:type="dxa"/>
              <w:right w:w="85" w:type="dxa"/>
            </w:tcMar>
            <w:vAlign w:val="center"/>
          </w:tcPr>
          <w:p w14:paraId="66D90BE3">
            <w:pPr>
              <w:spacing w:after="0" w:line="240" w:lineRule="auto"/>
              <w:jc w:val="center"/>
            </w:pPr>
            <w:r>
              <w:rPr>
                <w:rFonts w:ascii="Times New Roman" w:hAnsi="Times New Roman" w:eastAsia="Times New Roman" w:cs="Times New Roman"/>
                <w:b w:val="0"/>
                <w:i w:val="0"/>
                <w:color w:val="20262B"/>
                <w:sz w:val="17"/>
                <w:lang w:val="en-GB" w:eastAsia="en-GB" w:bidi="en-GB"/>
              </w:rPr>
              <w:t>5</w:t>
            </w:r>
          </w:p>
        </w:tc>
        <w:tc>
          <w:tcPr>
            <w:tcW w:w="3311" w:type="dxa"/>
            <w:tcMar>
              <w:top w:w="68" w:type="dxa"/>
              <w:left w:w="85" w:type="dxa"/>
              <w:bottom w:w="68" w:type="dxa"/>
              <w:right w:w="85" w:type="dxa"/>
            </w:tcMar>
            <w:vAlign w:val="center"/>
          </w:tcPr>
          <w:p w14:paraId="51CF2632">
            <w:pPr>
              <w:spacing w:after="0" w:line="240" w:lineRule="auto"/>
              <w:jc w:val="left"/>
            </w:pPr>
            <w:r>
              <w:rPr>
                <w:rFonts w:ascii="Times New Roman" w:hAnsi="Times New Roman" w:eastAsia="Times New Roman" w:cs="Times New Roman"/>
                <w:b w:val="0"/>
                <w:i w:val="0"/>
                <w:color w:val="20262B"/>
                <w:sz w:val="17"/>
                <w:lang w:val="en-GB" w:eastAsia="en-GB" w:bidi="en-GB"/>
              </w:rPr>
              <w:t>Save data in a structured format</w:t>
            </w:r>
          </w:p>
        </w:tc>
        <w:tc>
          <w:tcPr>
            <w:tcW w:w="5011" w:type="dxa"/>
            <w:tcMar>
              <w:top w:w="68" w:type="dxa"/>
              <w:left w:w="85" w:type="dxa"/>
              <w:bottom w:w="68" w:type="dxa"/>
              <w:right w:w="85" w:type="dxa"/>
            </w:tcMar>
            <w:vAlign w:val="center"/>
          </w:tcPr>
          <w:p w14:paraId="468208F8">
            <w:pPr>
              <w:spacing w:after="0" w:line="240" w:lineRule="auto"/>
              <w:jc w:val="left"/>
            </w:pPr>
            <w:r>
              <w:rPr>
                <w:rFonts w:ascii="Times New Roman" w:hAnsi="Times New Roman" w:eastAsia="Times New Roman" w:cs="Times New Roman"/>
                <w:b w:val="0"/>
                <w:i w:val="0"/>
                <w:sz w:val="17"/>
                <w:lang w:val="en-GB" w:eastAsia="en-GB" w:bidi="en-GB"/>
              </w:rPr>
              <w:t>Five UTF-8 CSV files in data/raw/, named &lt;TICKER&gt;_daily_2021-01-01_2025-12-31.csv</w:t>
            </w:r>
          </w:p>
        </w:tc>
        <w:tc>
          <w:tcPr>
            <w:tcW w:w="964" w:type="dxa"/>
            <w:tcMar>
              <w:top w:w="68" w:type="dxa"/>
              <w:left w:w="85" w:type="dxa"/>
              <w:bottom w:w="68" w:type="dxa"/>
              <w:right w:w="85" w:type="dxa"/>
            </w:tcMar>
            <w:vAlign w:val="center"/>
          </w:tcPr>
          <w:p w14:paraId="12467866">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7045940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shd w:val="clear" w:color="auto" w:fill="F2F4F7"/>
            <w:tcMar>
              <w:top w:w="68" w:type="dxa"/>
              <w:left w:w="85" w:type="dxa"/>
              <w:bottom w:w="68" w:type="dxa"/>
              <w:right w:w="85" w:type="dxa"/>
            </w:tcMar>
            <w:vAlign w:val="center"/>
          </w:tcPr>
          <w:p w14:paraId="08B8B962">
            <w:pPr>
              <w:spacing w:after="0" w:line="240" w:lineRule="auto"/>
              <w:jc w:val="center"/>
            </w:pPr>
            <w:r>
              <w:rPr>
                <w:rFonts w:ascii="Times New Roman" w:hAnsi="Times New Roman" w:eastAsia="Times New Roman" w:cs="Times New Roman"/>
                <w:b w:val="0"/>
                <w:i w:val="0"/>
                <w:color w:val="20262B"/>
                <w:sz w:val="17"/>
                <w:lang w:val="en-GB" w:eastAsia="en-GB" w:bidi="en-GB"/>
              </w:rPr>
              <w:t>6</w:t>
            </w:r>
          </w:p>
        </w:tc>
        <w:tc>
          <w:tcPr>
            <w:tcW w:w="3311" w:type="dxa"/>
            <w:shd w:val="clear" w:color="auto" w:fill="F2F4F7"/>
            <w:tcMar>
              <w:top w:w="68" w:type="dxa"/>
              <w:left w:w="85" w:type="dxa"/>
              <w:bottom w:w="68" w:type="dxa"/>
              <w:right w:w="85" w:type="dxa"/>
            </w:tcMar>
            <w:vAlign w:val="center"/>
          </w:tcPr>
          <w:p w14:paraId="1C98A2D8">
            <w:pPr>
              <w:spacing w:after="0" w:line="240" w:lineRule="auto"/>
              <w:jc w:val="left"/>
            </w:pPr>
            <w:r>
              <w:rPr>
                <w:rFonts w:ascii="Times New Roman" w:hAnsi="Times New Roman" w:eastAsia="Times New Roman" w:cs="Times New Roman"/>
                <w:b w:val="0"/>
                <w:i w:val="0"/>
                <w:color w:val="20262B"/>
                <w:sz w:val="17"/>
                <w:lang w:val="en-GB" w:eastAsia="en-GB" w:bidi="en-GB"/>
              </w:rPr>
              <w:t>Use clear naming and directory structure</w:t>
            </w:r>
          </w:p>
        </w:tc>
        <w:tc>
          <w:tcPr>
            <w:tcW w:w="5011" w:type="dxa"/>
            <w:shd w:val="clear" w:color="auto" w:fill="F2F4F7"/>
            <w:tcMar>
              <w:top w:w="68" w:type="dxa"/>
              <w:left w:w="85" w:type="dxa"/>
              <w:bottom w:w="68" w:type="dxa"/>
              <w:right w:w="85" w:type="dxa"/>
            </w:tcMar>
            <w:vAlign w:val="center"/>
          </w:tcPr>
          <w:p>
            <w:r>
              <w:t>Actual directory tree, configuration file, current snapshot, failed-run path, and filename convention in Section 6</w:t>
            </w:r>
          </w:p>
        </w:tc>
        <w:tc>
          <w:tcPr>
            <w:tcW w:w="964" w:type="dxa"/>
            <w:shd w:val="clear" w:color="auto" w:fill="F2F4F7"/>
            <w:tcMar>
              <w:top w:w="68" w:type="dxa"/>
              <w:left w:w="85" w:type="dxa"/>
              <w:bottom w:w="68" w:type="dxa"/>
              <w:right w:w="85" w:type="dxa"/>
            </w:tcMar>
            <w:vAlign w:val="center"/>
          </w:tcPr>
          <w:p w14:paraId="27581840">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1C9935B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tcMar>
              <w:top w:w="68" w:type="dxa"/>
              <w:left w:w="85" w:type="dxa"/>
              <w:bottom w:w="68" w:type="dxa"/>
              <w:right w:w="85" w:type="dxa"/>
            </w:tcMar>
            <w:vAlign w:val="center"/>
          </w:tcPr>
          <w:p w14:paraId="7B0BC360">
            <w:pPr>
              <w:spacing w:after="0" w:line="240" w:lineRule="auto"/>
              <w:jc w:val="center"/>
            </w:pPr>
            <w:r>
              <w:rPr>
                <w:rFonts w:ascii="Times New Roman" w:hAnsi="Times New Roman" w:eastAsia="Times New Roman" w:cs="Times New Roman"/>
                <w:b w:val="0"/>
                <w:i w:val="0"/>
                <w:color w:val="20262B"/>
                <w:sz w:val="17"/>
                <w:lang w:val="en-GB" w:eastAsia="en-GB" w:bidi="en-GB"/>
              </w:rPr>
              <w:t>7</w:t>
            </w:r>
          </w:p>
        </w:tc>
        <w:tc>
          <w:tcPr>
            <w:tcW w:w="3311" w:type="dxa"/>
            <w:tcMar>
              <w:top w:w="68" w:type="dxa"/>
              <w:left w:w="85" w:type="dxa"/>
              <w:bottom w:w="68" w:type="dxa"/>
              <w:right w:w="85" w:type="dxa"/>
            </w:tcMar>
            <w:vAlign w:val="center"/>
          </w:tcPr>
          <w:p w14:paraId="0CEA17B9">
            <w:pPr>
              <w:spacing w:after="0" w:line="240" w:lineRule="auto"/>
              <w:jc w:val="left"/>
            </w:pPr>
            <w:r>
              <w:rPr>
                <w:rFonts w:ascii="Times New Roman" w:hAnsi="Times New Roman" w:eastAsia="Times New Roman" w:cs="Times New Roman"/>
                <w:b w:val="0"/>
                <w:i w:val="0"/>
                <w:color w:val="20262B"/>
                <w:sz w:val="17"/>
                <w:lang w:val="en-GB" w:eastAsia="en-GB" w:bidi="en-GB"/>
              </w:rPr>
              <w:t>Verify completeness and accuracy</w:t>
            </w:r>
          </w:p>
        </w:tc>
        <w:tc>
          <w:tcPr>
            <w:tcW w:w="5011" w:type="dxa"/>
            <w:tcMar>
              <w:top w:w="68" w:type="dxa"/>
              <w:left w:w="85" w:type="dxa"/>
              <w:bottom w:w="68" w:type="dxa"/>
              <w:right w:w="85" w:type="dxa"/>
            </w:tcMar>
            <w:vAlign w:val="center"/>
          </w:tcPr>
          <w:p>
            <w:r>
              <w:t>1,255 scheduled sessions per security; requested NASDAQ/implemented NYSE alias and independent XNAS/XNYS date sets matched exactly; schema, values, OHLC, volume, row counts, hashes, and a five-ticker Nasdaq close sample reproduced within USD 0.01</w:t>
            </w:r>
          </w:p>
        </w:tc>
        <w:tc>
          <w:tcPr>
            <w:tcW w:w="964" w:type="dxa"/>
            <w:tcMar>
              <w:top w:w="68" w:type="dxa"/>
              <w:left w:w="85" w:type="dxa"/>
              <w:bottom w:w="68" w:type="dxa"/>
              <w:right w:w="85" w:type="dxa"/>
            </w:tcMar>
            <w:vAlign w:val="center"/>
          </w:tcPr>
          <w:p w14:paraId="18954057">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r w14:paraId="079F504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604" w:type="dxa"/>
            <w:shd w:val="clear" w:color="auto" w:fill="F2F4F7"/>
            <w:tcMar>
              <w:top w:w="68" w:type="dxa"/>
              <w:left w:w="85" w:type="dxa"/>
              <w:bottom w:w="68" w:type="dxa"/>
              <w:right w:w="85" w:type="dxa"/>
            </w:tcMar>
            <w:vAlign w:val="center"/>
          </w:tcPr>
          <w:p w14:paraId="06429EF2">
            <w:pPr>
              <w:spacing w:after="0" w:line="240" w:lineRule="auto"/>
              <w:jc w:val="center"/>
            </w:pPr>
            <w:r>
              <w:rPr>
                <w:rFonts w:ascii="Times New Roman" w:hAnsi="Times New Roman" w:eastAsia="Times New Roman" w:cs="Times New Roman"/>
                <w:b w:val="0"/>
                <w:i w:val="0"/>
                <w:color w:val="20262B"/>
                <w:sz w:val="17"/>
                <w:lang w:val="en-GB" w:eastAsia="en-GB" w:bidi="en-GB"/>
              </w:rPr>
              <w:t>8</w:t>
            </w:r>
          </w:p>
        </w:tc>
        <w:tc>
          <w:tcPr>
            <w:tcW w:w="3311" w:type="dxa"/>
            <w:shd w:val="clear" w:color="auto" w:fill="F2F4F7"/>
            <w:tcMar>
              <w:top w:w="68" w:type="dxa"/>
              <w:left w:w="85" w:type="dxa"/>
              <w:bottom w:w="68" w:type="dxa"/>
              <w:right w:w="85" w:type="dxa"/>
            </w:tcMar>
            <w:vAlign w:val="center"/>
          </w:tcPr>
          <w:p w14:paraId="362A9F9C">
            <w:pPr>
              <w:spacing w:after="0" w:line="240" w:lineRule="auto"/>
              <w:jc w:val="left"/>
            </w:pPr>
            <w:r>
              <w:rPr>
                <w:rFonts w:ascii="Times New Roman" w:hAnsi="Times New Roman" w:eastAsia="Times New Roman" w:cs="Times New Roman"/>
                <w:b w:val="0"/>
                <w:i w:val="0"/>
                <w:color w:val="20262B"/>
                <w:sz w:val="17"/>
                <w:lang w:val="en-GB" w:eastAsia="en-GB" w:bidi="en-GB"/>
              </w:rPr>
              <w:t>Handle missing or erroneous data</w:t>
            </w:r>
          </w:p>
        </w:tc>
        <w:tc>
          <w:tcPr>
            <w:tcW w:w="5011" w:type="dxa"/>
            <w:shd w:val="clear" w:color="auto" w:fill="F2F4F7"/>
            <w:tcMar>
              <w:top w:w="68" w:type="dxa"/>
              <w:left w:w="85" w:type="dxa"/>
              <w:bottom w:w="68" w:type="dxa"/>
              <w:right w:w="85" w:type="dxa"/>
            </w:tcMar>
            <w:vAlign w:val="center"/>
          </w:tcPr>
          <w:p>
            <w:r>
              <w:t>No imputation; bounded retry; fail-closed and optional partial modes; isolated sanitized diagnostics; staged publication and rollback; non-zero exit on strict failure</w:t>
            </w:r>
          </w:p>
        </w:tc>
        <w:tc>
          <w:tcPr>
            <w:tcW w:w="964" w:type="dxa"/>
            <w:shd w:val="clear" w:color="auto" w:fill="F2F4F7"/>
            <w:tcMar>
              <w:top w:w="68" w:type="dxa"/>
              <w:left w:w="85" w:type="dxa"/>
              <w:bottom w:w="68" w:type="dxa"/>
              <w:right w:w="85" w:type="dxa"/>
            </w:tcMar>
            <w:vAlign w:val="center"/>
          </w:tcPr>
          <w:p w14:paraId="049777FB">
            <w:pPr>
              <w:spacing w:after="0" w:line="240" w:lineRule="auto"/>
              <w:jc w:val="center"/>
            </w:pPr>
            <w:r>
              <w:rPr>
                <w:rFonts w:ascii="Times New Roman" w:hAnsi="Times New Roman" w:eastAsia="Times New Roman" w:cs="Times New Roman"/>
                <w:b w:val="0"/>
                <w:i w:val="0"/>
                <w:color w:val="20262B"/>
                <w:sz w:val="17"/>
                <w:lang w:val="en-GB" w:eastAsia="en-GB" w:bidi="en-GB"/>
              </w:rPr>
              <w:t>PASS</w:t>
            </w:r>
          </w:p>
        </w:tc>
      </w:tr>
    </w:tbl>
    <w:p w14:paraId="158EDD92">
      <w:pPr>
        <w:pStyle w:val="15"/>
        <w:keepNext/>
        <w:widowControl/>
        <w:spacing w:before="60" w:after="60"/>
      </w:pPr>
      <w:r>
        <w:rPr>
          <w:rFonts w:ascii="Arial" w:hAnsi="Arial" w:eastAsia="Arial" w:cs="Arial"/>
          <w:b/>
          <w:i w:val="0"/>
          <w:color w:val="12324B"/>
          <w:sz w:val="18"/>
          <w:lang w:val="en-GB" w:eastAsia="en-GB" w:bidi="en-GB"/>
        </w:rPr>
        <w:t>Table 10. Deliverable verification</w:t>
      </w:r>
    </w:p>
    <w:tbl>
      <w:tblPr>
        <w:tblStyle w:val="32"/>
        <w:tblW w:w="9892"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2880"/>
        <w:gridCol w:w="7012"/>
      </w:tblGrid>
      <w:tr w14:paraId="2E073E3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2880" w:type="dxa"/>
            <w:shd w:val="clear" w:color="auto" w:fill="12324B"/>
            <w:tcMar>
              <w:top w:w="75" w:type="dxa"/>
              <w:left w:w="85" w:type="dxa"/>
              <w:bottom w:w="75" w:type="dxa"/>
              <w:right w:w="85" w:type="dxa"/>
            </w:tcMar>
            <w:vAlign w:val="center"/>
          </w:tcPr>
          <w:p w14:paraId="516A75C7">
            <w:pPr>
              <w:spacing w:after="0" w:line="240" w:lineRule="auto"/>
              <w:jc w:val="center"/>
            </w:pPr>
            <w:r>
              <w:rPr>
                <w:rFonts w:ascii="Arial" w:hAnsi="Arial" w:eastAsia="Arial" w:cs="Arial"/>
                <w:b/>
                <w:i w:val="0"/>
                <w:color w:val="FFFFFF"/>
                <w:sz w:val="16"/>
                <w:lang w:val="en-GB" w:eastAsia="en-GB" w:bidi="en-GB"/>
              </w:rPr>
              <w:t>Deliverable</w:t>
            </w:r>
          </w:p>
        </w:tc>
        <w:tc>
          <w:tcPr>
            <w:tcW w:w="7012" w:type="dxa"/>
            <w:shd w:val="clear" w:color="auto" w:fill="12324B"/>
            <w:tcMar>
              <w:top w:w="75" w:type="dxa"/>
              <w:left w:w="85" w:type="dxa"/>
              <w:bottom w:w="75" w:type="dxa"/>
              <w:right w:w="85" w:type="dxa"/>
            </w:tcMar>
            <w:vAlign w:val="center"/>
          </w:tcPr>
          <w:p w14:paraId="21B30357">
            <w:pPr>
              <w:spacing w:after="0" w:line="240" w:lineRule="auto"/>
              <w:jc w:val="center"/>
            </w:pPr>
            <w:r>
              <w:rPr>
                <w:rFonts w:ascii="Arial" w:hAnsi="Arial" w:eastAsia="Arial" w:cs="Arial"/>
                <w:b/>
                <w:i w:val="0"/>
                <w:color w:val="FFFFFF"/>
                <w:sz w:val="16"/>
                <w:lang w:val="en-GB" w:eastAsia="en-GB" w:bidi="en-GB"/>
              </w:rPr>
              <w:t>Verification evidence</w:t>
            </w:r>
          </w:p>
        </w:tc>
      </w:tr>
      <w:tr w14:paraId="3B8030CA">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tcMar>
              <w:top w:w="68" w:type="dxa"/>
              <w:left w:w="85" w:type="dxa"/>
              <w:bottom w:w="68" w:type="dxa"/>
              <w:right w:w="85" w:type="dxa"/>
            </w:tcMar>
            <w:vAlign w:val="center"/>
          </w:tcPr>
          <w:p w14:paraId="19D7820A">
            <w:pPr>
              <w:spacing w:after="0" w:line="240" w:lineRule="auto"/>
              <w:jc w:val="left"/>
            </w:pPr>
            <w:r>
              <w:rPr>
                <w:rFonts w:ascii="Times New Roman" w:hAnsi="Times New Roman" w:eastAsia="Times New Roman" w:cs="Times New Roman"/>
                <w:b w:val="0"/>
                <w:i w:val="0"/>
                <w:color w:val="20262B"/>
                <w:sz w:val="17"/>
                <w:lang w:val="en-GB" w:eastAsia="en-GB" w:bidi="en-GB"/>
              </w:rPr>
              <w:t>Python script</w:t>
            </w:r>
          </w:p>
        </w:tc>
        <w:tc>
          <w:tcPr>
            <w:tcW w:w="7012" w:type="dxa"/>
            <w:tcMar>
              <w:top w:w="68" w:type="dxa"/>
              <w:left w:w="85" w:type="dxa"/>
              <w:bottom w:w="68" w:type="dxa"/>
              <w:right w:w="85" w:type="dxa"/>
            </w:tcMar>
            <w:vAlign w:val="center"/>
          </w:tcPr>
          <w:p>
            <w:r>
              <w:t>Present, readable, configuration-driven, covered by 24 unit tests, and supported by a configured GitHub Actions workflow; 24/24 tests passed locally (no hosted CI run claimed).</w:t>
            </w:r>
          </w:p>
        </w:tc>
      </w:tr>
      <w:tr w14:paraId="2867B68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shd w:val="clear" w:color="auto" w:fill="F2F4F7"/>
            <w:tcMar>
              <w:top w:w="68" w:type="dxa"/>
              <w:left w:w="85" w:type="dxa"/>
              <w:bottom w:w="68" w:type="dxa"/>
              <w:right w:w="85" w:type="dxa"/>
            </w:tcMar>
            <w:vAlign w:val="center"/>
          </w:tcPr>
          <w:p w14:paraId="72569883">
            <w:pPr>
              <w:spacing w:after="0" w:line="240" w:lineRule="auto"/>
              <w:jc w:val="left"/>
            </w:pPr>
            <w:r>
              <w:rPr>
                <w:rFonts w:ascii="Times New Roman" w:hAnsi="Times New Roman" w:eastAsia="Times New Roman" w:cs="Times New Roman"/>
                <w:b w:val="0"/>
                <w:i w:val="0"/>
                <w:color w:val="20262B"/>
                <w:sz w:val="17"/>
                <w:lang w:val="en-GB" w:eastAsia="en-GB" w:bidi="en-GB"/>
              </w:rPr>
              <w:t>CSV dataset</w:t>
            </w:r>
          </w:p>
        </w:tc>
        <w:tc>
          <w:tcPr>
            <w:tcW w:w="7012" w:type="dxa"/>
            <w:shd w:val="clear" w:color="auto" w:fill="F2F4F7"/>
            <w:tcMar>
              <w:top w:w="68" w:type="dxa"/>
              <w:left w:w="85" w:type="dxa"/>
              <w:bottom w:w="68" w:type="dxa"/>
              <w:right w:w="85" w:type="dxa"/>
            </w:tcMar>
            <w:vAlign w:val="center"/>
          </w:tcPr>
          <w:p w14:paraId="0DCBC07E">
            <w:pPr>
              <w:spacing w:after="0" w:line="240" w:lineRule="auto"/>
              <w:jc w:val="left"/>
            </w:pPr>
            <w:r>
              <w:rPr>
                <w:b w:val="0"/>
                <w:i w:val="0"/>
              </w:rPr>
              <w:t>Five files; 6,275 total rows; seven ordered fields; zero internal violations; all hashes reproduced; 5/5 external close samples within USD 0.01.</w:t>
            </w:r>
          </w:p>
        </w:tc>
      </w:tr>
      <w:tr w14:paraId="2556B052">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880" w:type="dxa"/>
            <w:tcMar>
              <w:top w:w="68" w:type="dxa"/>
              <w:left w:w="85" w:type="dxa"/>
              <w:bottom w:w="68" w:type="dxa"/>
              <w:right w:w="85" w:type="dxa"/>
            </w:tcMar>
            <w:vAlign w:val="center"/>
          </w:tcPr>
          <w:p w14:paraId="0A58E760">
            <w:pPr>
              <w:spacing w:after="0" w:line="240" w:lineRule="auto"/>
              <w:jc w:val="left"/>
            </w:pPr>
            <w:r>
              <w:rPr>
                <w:rFonts w:ascii="Times New Roman" w:hAnsi="Times New Roman" w:eastAsia="Times New Roman" w:cs="Times New Roman"/>
                <w:b w:val="0"/>
                <w:i w:val="0"/>
                <w:color w:val="20262B"/>
                <w:sz w:val="17"/>
                <w:lang w:val="en-GB" w:eastAsia="en-GB" w:bidi="en-GB"/>
              </w:rPr>
              <w:t>Report / documentation</w:t>
            </w:r>
          </w:p>
        </w:tc>
        <w:tc>
          <w:tcPr>
            <w:tcW w:w="7012" w:type="dxa"/>
            <w:tcMar>
              <w:top w:w="68" w:type="dxa"/>
              <w:left w:w="85" w:type="dxa"/>
              <w:bottom w:w="68" w:type="dxa"/>
              <w:right w:w="85" w:type="dxa"/>
            </w:tcMar>
            <w:vAlign w:val="center"/>
          </w:tcPr>
          <w:p>
            <w:r>
              <w:t>This report and README.md document setup, configured CI, schema, validation, external sample evidence, transaction-safe publication, diagnostic privacy, limitations, and package contents.</w:t>
            </w:r>
          </w:p>
        </w:tc>
      </w:tr>
    </w:tbl>
    <w:p w14:paraId="528C6DBB">
      <w:pPr>
        <w:pStyle w:val="19"/>
        <w:widowControl/>
        <w:spacing w:before="0" w:after="100"/>
        <w:ind w:left="0" w:firstLine="0"/>
        <w:jc w:val="left"/>
      </w:pPr>
      <w:r>
        <w:t>The required skills are demonstrated through Python scripting, programmatic market-data access, pandas processing, configuration-driven selection, exchange-calendar and external-sample validation, transaction-safe publication, sanitized error diagnostics, selectable failure policies, automated tests, configured continuous integration, and reproducible documentation.</w:t>
      </w:r>
    </w:p>
    <w:p w14:paraId="6B8B7195">
      <w:pPr>
        <w:widowControl/>
      </w:pPr>
    </w:p>
    <w:p w14:paraId="1F5845CA">
      <w:pPr>
        <w:pStyle w:val="3"/>
        <w:widowControl/>
      </w:pPr>
      <w:r>
        <w:rPr>
          <w:rFonts w:ascii="Arial" w:hAnsi="Arial" w:eastAsia="Arial" w:cs="Arial"/>
          <w:b/>
          <w:sz w:val="28"/>
          <w:lang w:val="en-GB" w:eastAsia="en-GB" w:bidi="en-GB"/>
        </w:rPr>
        <w:t>References</w:t>
      </w:r>
    </w:p>
    <w:p w14:paraId="0E5F32D4">
      <w:pPr>
        <w:pStyle w:val="164"/>
        <w:widowControl/>
        <w:spacing w:after="100" w:line="245" w:lineRule="auto"/>
        <w:ind w:left="720" w:hanging="720"/>
      </w:pPr>
      <w:r>
        <w:rPr>
          <w:b w:val="0"/>
          <w:i w:val="0"/>
        </w:rPr>
        <w:t xml:space="preserve">Aroussi, R. (2026). </w:t>
      </w:r>
      <w:r>
        <w:rPr>
          <w:b w:val="0"/>
          <w:i/>
        </w:rPr>
        <w:t>yfinance (Version 1.5.2)</w:t>
      </w:r>
      <w:r>
        <w:rPr>
          <w:b w:val="0"/>
          <w:i w:val="0"/>
        </w:rPr>
        <w:t xml:space="preserve"> [Computer software]. Python Package Index. https://pypi.org/project/yfinance/1.5.2/</w:t>
      </w:r>
    </w:p>
    <w:p w14:paraId="66838DBE">
      <w:pPr>
        <w:pStyle w:val="164"/>
        <w:widowControl/>
        <w:spacing w:after="100" w:line="245" w:lineRule="auto"/>
        <w:ind w:left="720" w:hanging="720"/>
      </w:pPr>
      <w:r>
        <w:rPr>
          <w:b w:val="0"/>
          <w:i w:val="0"/>
        </w:rPr>
        <w:t xml:space="preserve">Aroussi, R. (n.d.). </w:t>
      </w:r>
      <w:r>
        <w:rPr>
          <w:b w:val="0"/>
          <w:i/>
        </w:rPr>
        <w:t>yfinance.download</w:t>
      </w:r>
      <w:r>
        <w:rPr>
          <w:b w:val="0"/>
          <w:i w:val="0"/>
        </w:rPr>
        <w:t>. yfinance documentation. Retrieved July 30, 2026, from https://ranaroussi.github.io/yfinance/reference/api/yfinance.download.html</w:t>
      </w:r>
    </w:p>
    <w:p w14:paraId="0180B0B3">
      <w:pPr>
        <w:pStyle w:val="164"/>
        <w:widowControl/>
        <w:spacing w:after="100" w:line="245" w:lineRule="auto"/>
        <w:ind w:left="720" w:hanging="720"/>
      </w:pPr>
      <w:r>
        <w:t>Manoim, G. (2026). exchange_calendars (Version 4.13.2) [Computer software]. Python Package Index. https://pypi.org/project/exchange-calendars/4.13.2/</w:t>
      </w:r>
    </w:p>
    <w:p w14:paraId="0180B0B3">
      <w:pPr>
        <w:pStyle w:val="164"/>
        <w:widowControl/>
        <w:spacing w:after="100" w:line="245" w:lineRule="auto"/>
        <w:ind w:left="720" w:hanging="720"/>
      </w:pPr>
      <w:r>
        <w:rPr>
          <w:b w:val="0"/>
          <w:i w:val="0"/>
        </w:rPr>
        <w:t>Nasdaq. (n.d.). Historical stock chart data [Data set]. Retrieved August 4, 2026, from https://www.nasdaq.com/market-activity/quotes/historical</w:t>
      </w:r>
      <w:r>
        <w:rPr>
          <w:b w:val="0"/>
          <w:i/>
        </w:rPr>
      </w:r>
      <w:r>
        <w:rPr>
          <w:b w:val="0"/>
          <w:i w:val="0"/>
        </w:rPr>
      </w:r>
    </w:p>
    <w:p w14:paraId="2F93577F">
      <w:pPr>
        <w:pStyle w:val="164"/>
        <w:widowControl/>
        <w:spacing w:after="100" w:line="245" w:lineRule="auto"/>
        <w:ind w:left="720" w:hanging="720"/>
      </w:pPr>
      <w:r>
        <w:rPr>
          <w:b w:val="0"/>
          <w:i w:val="0"/>
        </w:rPr>
        <w:t xml:space="preserve">The pandas Development Team. (2026). </w:t>
      </w:r>
      <w:r>
        <w:rPr>
          <w:b w:val="0"/>
          <w:i/>
        </w:rPr>
        <w:t>pandas (Version 3.0.5)</w:t>
      </w:r>
      <w:r>
        <w:rPr>
          <w:b w:val="0"/>
          <w:i w:val="0"/>
        </w:rPr>
        <w:t xml:space="preserve"> [Computer software]. Python Package Index. https://pypi.org/project/pandas/3.0.5/</w:t>
      </w:r>
    </w:p>
    <w:p w14:paraId="52ABC344">
      <w:pPr>
        <w:pStyle w:val="164"/>
        <w:widowControl/>
        <w:spacing w:after="100" w:line="245" w:lineRule="auto"/>
        <w:ind w:left="720" w:hanging="720"/>
      </w:pPr>
      <w:r>
        <w:rPr>
          <w:b w:val="0"/>
          <w:i w:val="0"/>
        </w:rPr>
        <w:t xml:space="preserve">The pytest Development Team. (2026). </w:t>
      </w:r>
      <w:r>
        <w:rPr>
          <w:b w:val="0"/>
          <w:i/>
        </w:rPr>
        <w:t>pytest (Version 9.1.1)</w:t>
      </w:r>
      <w:r>
        <w:rPr>
          <w:b w:val="0"/>
          <w:i w:val="0"/>
        </w:rPr>
        <w:t xml:space="preserve"> [Computer software]. Python Package Index. https://pypi.org/project/pytest/9.1.1/</w:t>
      </w:r>
    </w:p>
    <w:p w14:paraId="5718A25C">
      <w:pPr>
        <w:pStyle w:val="164"/>
        <w:widowControl/>
        <w:spacing w:after="100" w:line="245" w:lineRule="auto"/>
        <w:ind w:left="720" w:hanging="720"/>
      </w:pPr>
      <w:r>
        <w:rPr>
          <w:b w:val="0"/>
          <w:i w:val="0"/>
        </w:rPr>
        <w:t xml:space="preserve">Sheftel, R. (2026). </w:t>
      </w:r>
      <w:r>
        <w:rPr>
          <w:b w:val="0"/>
          <w:i/>
        </w:rPr>
        <w:t>pandas-market-calendars (Version 5.4.0)</w:t>
      </w:r>
      <w:r>
        <w:rPr>
          <w:b w:val="0"/>
          <w:i w:val="0"/>
        </w:rPr>
        <w:t xml:space="preserve"> [Computer software]. Python Package Index. https://pypi.org/project/pandas_market_calendars/5.4.0/</w:t>
      </w:r>
    </w:p>
    <w:p w14:paraId="1F527C46">
      <w:pPr>
        <w:pStyle w:val="164"/>
        <w:widowControl/>
        <w:spacing w:after="100" w:line="245" w:lineRule="auto"/>
        <w:ind w:left="720" w:hanging="720"/>
      </w:pPr>
      <w:r>
        <w:rPr>
          <w:b w:val="0"/>
          <w:i w:val="0"/>
        </w:rPr>
        <w:t xml:space="preserve">Yahoo Finance. (n.d.-a). </w:t>
      </w:r>
      <w:r>
        <w:rPr>
          <w:b w:val="0"/>
          <w:i/>
        </w:rPr>
        <w:t>Alphabet Inc. (GOOGL) stock historical prices and data</w:t>
      </w:r>
      <w:r>
        <w:rPr>
          <w:b w:val="0"/>
          <w:i w:val="0"/>
        </w:rPr>
        <w:t xml:space="preserve"> [Data set]. Retrieved July 30, 2026, from https://finance.yahoo.com/quote/GOOGL/history/</w:t>
      </w:r>
    </w:p>
    <w:p w14:paraId="3B9A50A7">
      <w:pPr>
        <w:pStyle w:val="164"/>
        <w:widowControl/>
        <w:spacing w:after="100" w:line="245" w:lineRule="auto"/>
        <w:ind w:left="720" w:hanging="720"/>
      </w:pPr>
      <w:r>
        <w:rPr>
          <w:b w:val="0"/>
          <w:i w:val="0"/>
        </w:rPr>
        <w:t xml:space="preserve">Yahoo Finance. (n.d.-b). </w:t>
      </w:r>
      <w:r>
        <w:rPr>
          <w:b w:val="0"/>
          <w:i/>
        </w:rPr>
        <w:t>Amazon.com, Inc. (AMZN) stock historical prices and data</w:t>
      </w:r>
      <w:r>
        <w:rPr>
          <w:b w:val="0"/>
          <w:i w:val="0"/>
        </w:rPr>
        <w:t xml:space="preserve"> [Data set]. Retrieved July 30, 2026, from https://finance.yahoo.com/quote/AMZN/history/</w:t>
      </w:r>
    </w:p>
    <w:p w14:paraId="00F15FC0">
      <w:pPr>
        <w:pStyle w:val="164"/>
        <w:widowControl/>
        <w:spacing w:after="100" w:line="245" w:lineRule="auto"/>
        <w:ind w:left="720" w:hanging="720"/>
      </w:pPr>
      <w:r>
        <w:rPr>
          <w:b w:val="0"/>
          <w:i w:val="0"/>
        </w:rPr>
        <w:t xml:space="preserve">Yahoo Finance. (n.d.-c). </w:t>
      </w:r>
      <w:r>
        <w:rPr>
          <w:b w:val="0"/>
          <w:i/>
        </w:rPr>
        <w:t>Apple Inc. (AAPL) stock historical prices and data</w:t>
      </w:r>
      <w:r>
        <w:rPr>
          <w:b w:val="0"/>
          <w:i w:val="0"/>
        </w:rPr>
        <w:t xml:space="preserve"> [Data set]. Retrieved July 30, 2026, from https://finance.yahoo.com/quote/AAPL/history/</w:t>
      </w:r>
    </w:p>
    <w:p w14:paraId="3F577730">
      <w:pPr>
        <w:pStyle w:val="164"/>
        <w:widowControl/>
        <w:spacing w:after="100" w:line="245" w:lineRule="auto"/>
        <w:ind w:left="720" w:hanging="720"/>
      </w:pPr>
      <w:r>
        <w:rPr>
          <w:b w:val="0"/>
          <w:i w:val="0"/>
        </w:rPr>
        <w:t xml:space="preserve">Yahoo Finance. (n.d.-d). </w:t>
      </w:r>
      <w:r>
        <w:rPr>
          <w:b w:val="0"/>
          <w:i/>
        </w:rPr>
        <w:t>Microsoft Corporation (MSFT) stock historical prices and data</w:t>
      </w:r>
      <w:r>
        <w:rPr>
          <w:b w:val="0"/>
          <w:i w:val="0"/>
        </w:rPr>
        <w:t xml:space="preserve"> [Data set]. Retrieved July 30, 2026, from https://finance.yahoo.com/quote/MSFT/history/</w:t>
      </w:r>
    </w:p>
    <w:p w14:paraId="5BDCA2DD">
      <w:pPr>
        <w:pStyle w:val="164"/>
        <w:widowControl/>
        <w:spacing w:before="60" w:after="40"/>
        <w:ind w:left="0" w:firstLine="0"/>
        <w:jc w:val="left"/>
      </w:pPr>
      <w:r>
        <w:rPr>
          <w:b w:val="0"/>
          <w:i w:val="0"/>
        </w:rPr>
        <w:t xml:space="preserve">Yahoo Finance. (n.d.-e). </w:t>
      </w:r>
      <w:r>
        <w:rPr>
          <w:b w:val="0"/>
          <w:i/>
        </w:rPr>
        <w:t>NVIDIA Corporation (NVDA) stock historical prices and data</w:t>
      </w:r>
      <w:r>
        <w:rPr>
          <w:b w:val="0"/>
          <w:i w:val="0"/>
        </w:rPr>
        <w:t xml:space="preserve"> [Data set]. Retrieved July 30, 2026, from https://finance.yahoo.com/quote/NVDA/history/</w:t>
      </w:r>
    </w:p>
    <w:p w14:paraId="0F87A82F">
      <w:pPr>
        <w:widowControl/>
      </w:pPr>
      <w:r>
        <w:rPr>
          <w:rFonts w:ascii="Times New Roman" w:hAnsi="Times New Roman" w:eastAsia="Times New Roman" w:cs="Times New Roman"/>
          <w:sz w:val="21"/>
          <w:lang w:val="en-GB" w:eastAsia="en-GB" w:bidi="en-GB"/>
        </w:rPr>
        <w:br w:type="page"/>
      </w:r>
    </w:p>
    <w:p w14:paraId="5FB61EC3">
      <w:pPr>
        <w:pStyle w:val="3"/>
        <w:widowControl/>
      </w:pPr>
      <w:r>
        <w:rPr>
          <w:rFonts w:ascii="Arial" w:hAnsi="Arial" w:eastAsia="Arial" w:cs="Arial"/>
          <w:b/>
          <w:sz w:val="28"/>
          <w:lang w:val="en-GB" w:eastAsia="en-GB" w:bidi="en-GB"/>
        </w:rPr>
        <w:t>Appendix A. Integrity and Verification Evidence</w:t>
      </w:r>
    </w:p>
    <w:p w14:paraId="4C8C0C6B">
      <w:pPr>
        <w:pStyle w:val="19"/>
        <w:widowControl/>
        <w:spacing w:before="0" w:after="100"/>
        <w:ind w:left="0" w:firstLine="0"/>
        <w:jc w:val="left"/>
      </w:pPr>
      <w:r>
        <w:rPr>
          <w:rFonts w:ascii="Times New Roman" w:hAnsi="Times New Roman" w:eastAsia="Times New Roman" w:cs="Times New Roman"/>
          <w:b w:val="0"/>
          <w:i w:val="0"/>
          <w:color w:val="20262B"/>
          <w:sz w:val="21"/>
          <w:lang w:val="en-GB" w:eastAsia="en-GB" w:bidi="en-GB"/>
        </w:rPr>
        <w:t>The complete SHA-256 digests are stored in data/metadata/manifest.csv. The first 16 hexadecimal characters below provide a compact visual cross-check and distinguish the five files within this package.</w:t>
      </w:r>
    </w:p>
    <w:p w14:paraId="2A53835D">
      <w:pPr>
        <w:pStyle w:val="15"/>
        <w:keepNext/>
        <w:widowControl/>
        <w:spacing w:before="60" w:after="60"/>
      </w:pPr>
      <w:r>
        <w:rPr>
          <w:rFonts w:ascii="Arial" w:hAnsi="Arial" w:eastAsia="Arial" w:cs="Arial"/>
          <w:b/>
          <w:i w:val="0"/>
          <w:color w:val="12324B"/>
          <w:sz w:val="18"/>
          <w:lang w:val="en-GB" w:eastAsia="en-GB" w:bidi="en-GB"/>
        </w:rPr>
        <w:t>Table A1. File-integrity identifiers</w:t>
      </w:r>
    </w:p>
    <w:tbl>
      <w:tblPr>
        <w:tblStyle w:val="32"/>
        <w:tblW w:w="9070"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979"/>
        <w:gridCol w:w="5011"/>
        <w:gridCol w:w="2044"/>
        <w:gridCol w:w="1036"/>
      </w:tblGrid>
      <w:tr w14:paraId="08EA9AA9">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PrEx>
        <w:trPr>
          <w:cantSplit/>
          <w:tblHeader/>
          <w:jc w:val="center"/>
        </w:trPr>
        <w:tc>
          <w:tcPr>
            <w:tcW w:w="979" w:type="dxa"/>
            <w:shd w:val="clear" w:color="auto" w:fill="12324B"/>
            <w:tcMar>
              <w:top w:w="75" w:type="dxa"/>
              <w:left w:w="85" w:type="dxa"/>
              <w:bottom w:w="75" w:type="dxa"/>
              <w:right w:w="85" w:type="dxa"/>
            </w:tcMar>
            <w:vAlign w:val="center"/>
          </w:tcPr>
          <w:p w14:paraId="231810FC">
            <w:pPr>
              <w:spacing w:after="0" w:line="240" w:lineRule="auto"/>
              <w:jc w:val="center"/>
            </w:pPr>
            <w:r>
              <w:rPr>
                <w:rFonts w:ascii="Arial" w:hAnsi="Arial" w:eastAsia="Arial" w:cs="Arial"/>
                <w:b/>
                <w:i w:val="0"/>
                <w:color w:val="FFFFFF"/>
                <w:sz w:val="16"/>
                <w:lang w:val="en-GB" w:eastAsia="en-GB" w:bidi="en-GB"/>
              </w:rPr>
              <w:t>Ticker</w:t>
            </w:r>
          </w:p>
        </w:tc>
        <w:tc>
          <w:tcPr>
            <w:tcW w:w="5011" w:type="dxa"/>
            <w:shd w:val="clear" w:color="auto" w:fill="12324B"/>
            <w:tcMar>
              <w:top w:w="75" w:type="dxa"/>
              <w:left w:w="85" w:type="dxa"/>
              <w:bottom w:w="75" w:type="dxa"/>
              <w:right w:w="85" w:type="dxa"/>
            </w:tcMar>
            <w:vAlign w:val="center"/>
          </w:tcPr>
          <w:p w14:paraId="58B31623">
            <w:pPr>
              <w:spacing w:after="0" w:line="240" w:lineRule="auto"/>
              <w:jc w:val="left"/>
            </w:pPr>
            <w:r>
              <w:rPr>
                <w:rFonts w:ascii="Arial" w:hAnsi="Arial" w:eastAsia="Arial" w:cs="Arial"/>
                <w:b/>
                <w:i w:val="0"/>
                <w:color w:val="FFFFFF"/>
                <w:sz w:val="16"/>
                <w:lang w:val="en-GB" w:eastAsia="en-GB" w:bidi="en-GB"/>
              </w:rPr>
              <w:t>Relative file path</w:t>
            </w:r>
          </w:p>
        </w:tc>
        <w:tc>
          <w:tcPr>
            <w:tcW w:w="2044" w:type="dxa"/>
            <w:shd w:val="clear" w:color="auto" w:fill="12324B"/>
            <w:tcMar>
              <w:top w:w="75" w:type="dxa"/>
              <w:left w:w="85" w:type="dxa"/>
              <w:bottom w:w="75" w:type="dxa"/>
              <w:right w:w="85" w:type="dxa"/>
            </w:tcMar>
            <w:vAlign w:val="center"/>
          </w:tcPr>
          <w:p w14:paraId="3C491568">
            <w:pPr>
              <w:spacing w:after="0" w:line="240" w:lineRule="auto"/>
              <w:jc w:val="center"/>
            </w:pPr>
            <w:r>
              <w:rPr>
                <w:rFonts w:ascii="Arial" w:hAnsi="Arial" w:eastAsia="Arial" w:cs="Arial"/>
                <w:b/>
                <w:i w:val="0"/>
                <w:color w:val="FFFFFF"/>
                <w:sz w:val="16"/>
                <w:lang w:val="en-GB" w:eastAsia="en-GB" w:bidi="en-GB"/>
              </w:rPr>
              <w:t>SHA-256 prefix</w:t>
            </w:r>
          </w:p>
        </w:tc>
        <w:tc>
          <w:tcPr>
            <w:tcW w:w="1036" w:type="dxa"/>
            <w:shd w:val="clear" w:color="auto" w:fill="12324B"/>
            <w:tcMar>
              <w:top w:w="75" w:type="dxa"/>
              <w:left w:w="85" w:type="dxa"/>
              <w:bottom w:w="75" w:type="dxa"/>
              <w:right w:w="85" w:type="dxa"/>
            </w:tcMar>
            <w:vAlign w:val="center"/>
          </w:tcPr>
          <w:p w14:paraId="568F8B42">
            <w:pPr>
              <w:spacing w:after="0" w:line="240" w:lineRule="auto"/>
              <w:jc w:val="center"/>
            </w:pPr>
            <w:r>
              <w:rPr>
                <w:rFonts w:ascii="Arial" w:hAnsi="Arial" w:eastAsia="Arial" w:cs="Arial"/>
                <w:b/>
                <w:i w:val="0"/>
                <w:color w:val="FFFFFF"/>
                <w:sz w:val="16"/>
                <w:lang w:val="en-GB" w:eastAsia="en-GB" w:bidi="en-GB"/>
              </w:rPr>
              <w:t>Rows</w:t>
            </w:r>
          </w:p>
        </w:tc>
      </w:tr>
      <w:tr w14:paraId="1B4A5C0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979" w:type="dxa"/>
            <w:tcMar>
              <w:top w:w="68" w:type="dxa"/>
              <w:left w:w="85" w:type="dxa"/>
              <w:bottom w:w="68" w:type="dxa"/>
              <w:right w:w="85" w:type="dxa"/>
            </w:tcMar>
            <w:vAlign w:val="center"/>
          </w:tcPr>
          <w:p w14:paraId="12AB35E1">
            <w:pPr>
              <w:spacing w:after="0" w:line="240" w:lineRule="auto"/>
              <w:jc w:val="center"/>
            </w:pPr>
            <w:r>
              <w:rPr>
                <w:rFonts w:ascii="Times New Roman" w:hAnsi="Times New Roman" w:eastAsia="Times New Roman" w:cs="Times New Roman"/>
                <w:b w:val="0"/>
                <w:i w:val="0"/>
                <w:color w:val="20262B"/>
                <w:sz w:val="17"/>
                <w:lang w:val="en-GB" w:eastAsia="en-GB" w:bidi="en-GB"/>
              </w:rPr>
              <w:t>AAPL</w:t>
            </w:r>
          </w:p>
        </w:tc>
        <w:tc>
          <w:tcPr>
            <w:tcW w:w="5011" w:type="dxa"/>
            <w:tcMar>
              <w:top w:w="68" w:type="dxa"/>
              <w:left w:w="85" w:type="dxa"/>
              <w:bottom w:w="68" w:type="dxa"/>
              <w:right w:w="85" w:type="dxa"/>
            </w:tcMar>
            <w:vAlign w:val="center"/>
          </w:tcPr>
          <w:p w14:paraId="4388B558">
            <w:pPr>
              <w:spacing w:after="0" w:line="240" w:lineRule="auto"/>
              <w:jc w:val="left"/>
            </w:pPr>
            <w:r>
              <w:rPr>
                <w:rFonts w:ascii="Times New Roman" w:hAnsi="Times New Roman" w:eastAsia="Times New Roman" w:cs="Times New Roman"/>
                <w:b w:val="0"/>
                <w:i w:val="0"/>
                <w:color w:val="20262B"/>
                <w:sz w:val="17"/>
                <w:lang w:val="en-GB" w:eastAsia="en-GB" w:bidi="en-GB"/>
              </w:rPr>
              <w:t>raw/AAPL_daily_2021-01-01_2025-12-31.csv</w:t>
            </w:r>
          </w:p>
        </w:tc>
        <w:tc>
          <w:tcPr>
            <w:tcW w:w="2044" w:type="dxa"/>
            <w:tcMar>
              <w:top w:w="68" w:type="dxa"/>
              <w:left w:w="85" w:type="dxa"/>
              <w:bottom w:w="68" w:type="dxa"/>
              <w:right w:w="85" w:type="dxa"/>
            </w:tcMar>
            <w:vAlign w:val="center"/>
          </w:tcPr>
          <w:p w14:paraId="1AD7B01E">
            <w:pPr>
              <w:spacing w:after="0" w:line="240" w:lineRule="auto"/>
              <w:jc w:val="center"/>
            </w:pPr>
            <w:r>
              <w:rPr>
                <w:rFonts w:ascii="Times New Roman" w:hAnsi="Times New Roman" w:eastAsia="Times New Roman" w:cs="Times New Roman"/>
                <w:b w:val="0"/>
                <w:i w:val="0"/>
                <w:color w:val="20262B"/>
                <w:sz w:val="17"/>
                <w:lang w:val="en-GB" w:eastAsia="en-GB" w:bidi="en-GB"/>
              </w:rPr>
              <w:t>797a747de8ce31f7</w:t>
            </w:r>
          </w:p>
        </w:tc>
        <w:tc>
          <w:tcPr>
            <w:tcW w:w="1036" w:type="dxa"/>
            <w:tcMar>
              <w:top w:w="68" w:type="dxa"/>
              <w:left w:w="85" w:type="dxa"/>
              <w:bottom w:w="68" w:type="dxa"/>
              <w:right w:w="85" w:type="dxa"/>
            </w:tcMar>
            <w:vAlign w:val="center"/>
          </w:tcPr>
          <w:p w14:paraId="0BC08FE3">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r>
      <w:tr w14:paraId="491A0375">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979" w:type="dxa"/>
            <w:shd w:val="clear" w:color="auto" w:fill="F2F4F7"/>
            <w:tcMar>
              <w:top w:w="68" w:type="dxa"/>
              <w:left w:w="85" w:type="dxa"/>
              <w:bottom w:w="68" w:type="dxa"/>
              <w:right w:w="85" w:type="dxa"/>
            </w:tcMar>
            <w:vAlign w:val="center"/>
          </w:tcPr>
          <w:p w14:paraId="434830E8">
            <w:pPr>
              <w:spacing w:after="0" w:line="240" w:lineRule="auto"/>
              <w:jc w:val="center"/>
            </w:pPr>
            <w:r>
              <w:rPr>
                <w:rFonts w:ascii="Times New Roman" w:hAnsi="Times New Roman" w:eastAsia="Times New Roman" w:cs="Times New Roman"/>
                <w:b w:val="0"/>
                <w:i w:val="0"/>
                <w:color w:val="20262B"/>
                <w:sz w:val="17"/>
                <w:lang w:val="en-GB" w:eastAsia="en-GB" w:bidi="en-GB"/>
              </w:rPr>
              <w:t>MSFT</w:t>
            </w:r>
          </w:p>
        </w:tc>
        <w:tc>
          <w:tcPr>
            <w:tcW w:w="5011" w:type="dxa"/>
            <w:shd w:val="clear" w:color="auto" w:fill="F2F4F7"/>
            <w:tcMar>
              <w:top w:w="68" w:type="dxa"/>
              <w:left w:w="85" w:type="dxa"/>
              <w:bottom w:w="68" w:type="dxa"/>
              <w:right w:w="85" w:type="dxa"/>
            </w:tcMar>
            <w:vAlign w:val="center"/>
          </w:tcPr>
          <w:p w14:paraId="6A7F5973">
            <w:pPr>
              <w:spacing w:after="0" w:line="240" w:lineRule="auto"/>
              <w:jc w:val="left"/>
            </w:pPr>
            <w:r>
              <w:rPr>
                <w:rFonts w:ascii="Times New Roman" w:hAnsi="Times New Roman" w:eastAsia="Times New Roman" w:cs="Times New Roman"/>
                <w:b w:val="0"/>
                <w:i w:val="0"/>
                <w:color w:val="20262B"/>
                <w:sz w:val="17"/>
                <w:lang w:val="en-GB" w:eastAsia="en-GB" w:bidi="en-GB"/>
              </w:rPr>
              <w:t>raw/MSFT_daily_2021-01-01_2025-12-31.csv</w:t>
            </w:r>
          </w:p>
        </w:tc>
        <w:tc>
          <w:tcPr>
            <w:tcW w:w="2044" w:type="dxa"/>
            <w:shd w:val="clear" w:color="auto" w:fill="F2F4F7"/>
            <w:tcMar>
              <w:top w:w="68" w:type="dxa"/>
              <w:left w:w="85" w:type="dxa"/>
              <w:bottom w:w="68" w:type="dxa"/>
              <w:right w:w="85" w:type="dxa"/>
            </w:tcMar>
            <w:vAlign w:val="center"/>
          </w:tcPr>
          <w:p w14:paraId="0528B155">
            <w:pPr>
              <w:spacing w:after="0" w:line="240" w:lineRule="auto"/>
              <w:jc w:val="center"/>
            </w:pPr>
            <w:r>
              <w:rPr>
                <w:rFonts w:ascii="Times New Roman" w:hAnsi="Times New Roman" w:eastAsia="Times New Roman" w:cs="Times New Roman"/>
                <w:b w:val="0"/>
                <w:i w:val="0"/>
                <w:color w:val="20262B"/>
                <w:sz w:val="17"/>
                <w:lang w:val="en-GB" w:eastAsia="en-GB" w:bidi="en-GB"/>
              </w:rPr>
              <w:t>eab890ca5effc5ff</w:t>
            </w:r>
          </w:p>
        </w:tc>
        <w:tc>
          <w:tcPr>
            <w:tcW w:w="1036" w:type="dxa"/>
            <w:shd w:val="clear" w:color="auto" w:fill="F2F4F7"/>
            <w:tcMar>
              <w:top w:w="68" w:type="dxa"/>
              <w:left w:w="85" w:type="dxa"/>
              <w:bottom w:w="68" w:type="dxa"/>
              <w:right w:w="85" w:type="dxa"/>
            </w:tcMar>
            <w:vAlign w:val="center"/>
          </w:tcPr>
          <w:p w14:paraId="2C113BE4">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r>
      <w:tr w14:paraId="152F8D7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979" w:type="dxa"/>
            <w:tcMar>
              <w:top w:w="68" w:type="dxa"/>
              <w:left w:w="85" w:type="dxa"/>
              <w:bottom w:w="68" w:type="dxa"/>
              <w:right w:w="85" w:type="dxa"/>
            </w:tcMar>
            <w:vAlign w:val="center"/>
          </w:tcPr>
          <w:p w14:paraId="358E548A">
            <w:pPr>
              <w:spacing w:after="0" w:line="240" w:lineRule="auto"/>
              <w:jc w:val="center"/>
            </w:pPr>
            <w:r>
              <w:rPr>
                <w:rFonts w:ascii="Times New Roman" w:hAnsi="Times New Roman" w:eastAsia="Times New Roman" w:cs="Times New Roman"/>
                <w:b w:val="0"/>
                <w:i w:val="0"/>
                <w:color w:val="20262B"/>
                <w:sz w:val="17"/>
                <w:lang w:val="en-GB" w:eastAsia="en-GB" w:bidi="en-GB"/>
              </w:rPr>
              <w:t>GOOGL</w:t>
            </w:r>
          </w:p>
        </w:tc>
        <w:tc>
          <w:tcPr>
            <w:tcW w:w="5011" w:type="dxa"/>
            <w:tcMar>
              <w:top w:w="68" w:type="dxa"/>
              <w:left w:w="85" w:type="dxa"/>
              <w:bottom w:w="68" w:type="dxa"/>
              <w:right w:w="85" w:type="dxa"/>
            </w:tcMar>
            <w:vAlign w:val="center"/>
          </w:tcPr>
          <w:p w14:paraId="40D47E7C">
            <w:pPr>
              <w:spacing w:after="0" w:line="240" w:lineRule="auto"/>
              <w:jc w:val="left"/>
            </w:pPr>
            <w:r>
              <w:rPr>
                <w:rFonts w:ascii="Times New Roman" w:hAnsi="Times New Roman" w:eastAsia="Times New Roman" w:cs="Times New Roman"/>
                <w:b w:val="0"/>
                <w:i w:val="0"/>
                <w:color w:val="20262B"/>
                <w:sz w:val="17"/>
                <w:lang w:val="en-GB" w:eastAsia="en-GB" w:bidi="en-GB"/>
              </w:rPr>
              <w:t>raw/GOOGL_daily_2021-01-01_2025-12-31.csv</w:t>
            </w:r>
          </w:p>
        </w:tc>
        <w:tc>
          <w:tcPr>
            <w:tcW w:w="2044" w:type="dxa"/>
            <w:tcMar>
              <w:top w:w="68" w:type="dxa"/>
              <w:left w:w="85" w:type="dxa"/>
              <w:bottom w:w="68" w:type="dxa"/>
              <w:right w:w="85" w:type="dxa"/>
            </w:tcMar>
            <w:vAlign w:val="center"/>
          </w:tcPr>
          <w:p w14:paraId="5375AD64">
            <w:pPr>
              <w:spacing w:after="0" w:line="240" w:lineRule="auto"/>
              <w:jc w:val="center"/>
            </w:pPr>
            <w:r>
              <w:rPr>
                <w:rFonts w:ascii="Times New Roman" w:hAnsi="Times New Roman" w:eastAsia="Times New Roman" w:cs="Times New Roman"/>
                <w:b w:val="0"/>
                <w:i w:val="0"/>
                <w:color w:val="20262B"/>
                <w:sz w:val="17"/>
                <w:lang w:val="en-GB" w:eastAsia="en-GB" w:bidi="en-GB"/>
              </w:rPr>
              <w:t>485bd8806aab93be</w:t>
            </w:r>
          </w:p>
        </w:tc>
        <w:tc>
          <w:tcPr>
            <w:tcW w:w="1036" w:type="dxa"/>
            <w:tcMar>
              <w:top w:w="68" w:type="dxa"/>
              <w:left w:w="85" w:type="dxa"/>
              <w:bottom w:w="68" w:type="dxa"/>
              <w:right w:w="85" w:type="dxa"/>
            </w:tcMar>
            <w:vAlign w:val="center"/>
          </w:tcPr>
          <w:p w14:paraId="4F252D31">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r>
      <w:tr w14:paraId="3F94F423">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979" w:type="dxa"/>
            <w:shd w:val="clear" w:color="auto" w:fill="F2F4F7"/>
            <w:tcMar>
              <w:top w:w="68" w:type="dxa"/>
              <w:left w:w="85" w:type="dxa"/>
              <w:bottom w:w="68" w:type="dxa"/>
              <w:right w:w="85" w:type="dxa"/>
            </w:tcMar>
            <w:vAlign w:val="center"/>
          </w:tcPr>
          <w:p w14:paraId="4F987DF2">
            <w:pPr>
              <w:spacing w:after="0" w:line="240" w:lineRule="auto"/>
              <w:jc w:val="center"/>
            </w:pPr>
            <w:r>
              <w:rPr>
                <w:rFonts w:ascii="Times New Roman" w:hAnsi="Times New Roman" w:eastAsia="Times New Roman" w:cs="Times New Roman"/>
                <w:b w:val="0"/>
                <w:i w:val="0"/>
                <w:color w:val="20262B"/>
                <w:sz w:val="17"/>
                <w:lang w:val="en-GB" w:eastAsia="en-GB" w:bidi="en-GB"/>
              </w:rPr>
              <w:t>AMZN</w:t>
            </w:r>
          </w:p>
        </w:tc>
        <w:tc>
          <w:tcPr>
            <w:tcW w:w="5011" w:type="dxa"/>
            <w:shd w:val="clear" w:color="auto" w:fill="F2F4F7"/>
            <w:tcMar>
              <w:top w:w="68" w:type="dxa"/>
              <w:left w:w="85" w:type="dxa"/>
              <w:bottom w:w="68" w:type="dxa"/>
              <w:right w:w="85" w:type="dxa"/>
            </w:tcMar>
            <w:vAlign w:val="center"/>
          </w:tcPr>
          <w:p w14:paraId="5212FCAF">
            <w:pPr>
              <w:spacing w:after="0" w:line="240" w:lineRule="auto"/>
              <w:jc w:val="left"/>
            </w:pPr>
            <w:r>
              <w:rPr>
                <w:rFonts w:ascii="Times New Roman" w:hAnsi="Times New Roman" w:eastAsia="Times New Roman" w:cs="Times New Roman"/>
                <w:b w:val="0"/>
                <w:i w:val="0"/>
                <w:color w:val="20262B"/>
                <w:sz w:val="17"/>
                <w:lang w:val="en-GB" w:eastAsia="en-GB" w:bidi="en-GB"/>
              </w:rPr>
              <w:t>raw/AMZN_daily_2021-01-01_2025-12-31.csv</w:t>
            </w:r>
          </w:p>
        </w:tc>
        <w:tc>
          <w:tcPr>
            <w:tcW w:w="2044" w:type="dxa"/>
            <w:shd w:val="clear" w:color="auto" w:fill="F2F4F7"/>
            <w:tcMar>
              <w:top w:w="68" w:type="dxa"/>
              <w:left w:w="85" w:type="dxa"/>
              <w:bottom w:w="68" w:type="dxa"/>
              <w:right w:w="85" w:type="dxa"/>
            </w:tcMar>
            <w:vAlign w:val="center"/>
          </w:tcPr>
          <w:p w14:paraId="6B6E7D3B">
            <w:pPr>
              <w:spacing w:after="0" w:line="240" w:lineRule="auto"/>
              <w:jc w:val="center"/>
            </w:pPr>
            <w:r>
              <w:rPr>
                <w:rFonts w:ascii="Times New Roman" w:hAnsi="Times New Roman" w:eastAsia="Times New Roman" w:cs="Times New Roman"/>
                <w:b w:val="0"/>
                <w:i w:val="0"/>
                <w:color w:val="20262B"/>
                <w:sz w:val="17"/>
                <w:lang w:val="en-GB" w:eastAsia="en-GB" w:bidi="en-GB"/>
              </w:rPr>
              <w:t>1c8399520183a94b</w:t>
            </w:r>
          </w:p>
        </w:tc>
        <w:tc>
          <w:tcPr>
            <w:tcW w:w="1036" w:type="dxa"/>
            <w:shd w:val="clear" w:color="auto" w:fill="F2F4F7"/>
            <w:tcMar>
              <w:top w:w="68" w:type="dxa"/>
              <w:left w:w="85" w:type="dxa"/>
              <w:bottom w:w="68" w:type="dxa"/>
              <w:right w:w="85" w:type="dxa"/>
            </w:tcMar>
            <w:vAlign w:val="center"/>
          </w:tcPr>
          <w:p w14:paraId="4E3E3E78">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r>
      <w:tr w14:paraId="7194A1D3">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979" w:type="dxa"/>
            <w:tcMar>
              <w:top w:w="68" w:type="dxa"/>
              <w:left w:w="85" w:type="dxa"/>
              <w:bottom w:w="68" w:type="dxa"/>
              <w:right w:w="85" w:type="dxa"/>
            </w:tcMar>
            <w:vAlign w:val="center"/>
          </w:tcPr>
          <w:p w14:paraId="5DB022C1">
            <w:pPr>
              <w:spacing w:after="0" w:line="240" w:lineRule="auto"/>
              <w:jc w:val="center"/>
            </w:pPr>
            <w:r>
              <w:rPr>
                <w:rFonts w:ascii="Times New Roman" w:hAnsi="Times New Roman" w:eastAsia="Times New Roman" w:cs="Times New Roman"/>
                <w:b w:val="0"/>
                <w:i w:val="0"/>
                <w:color w:val="20262B"/>
                <w:sz w:val="17"/>
                <w:lang w:val="en-GB" w:eastAsia="en-GB" w:bidi="en-GB"/>
              </w:rPr>
              <w:t>NVDA</w:t>
            </w:r>
          </w:p>
        </w:tc>
        <w:tc>
          <w:tcPr>
            <w:tcW w:w="5011" w:type="dxa"/>
            <w:tcMar>
              <w:top w:w="68" w:type="dxa"/>
              <w:left w:w="85" w:type="dxa"/>
              <w:bottom w:w="68" w:type="dxa"/>
              <w:right w:w="85" w:type="dxa"/>
            </w:tcMar>
            <w:vAlign w:val="center"/>
          </w:tcPr>
          <w:p w14:paraId="3560FFB4">
            <w:pPr>
              <w:spacing w:after="0" w:line="240" w:lineRule="auto"/>
              <w:jc w:val="left"/>
            </w:pPr>
            <w:r>
              <w:rPr>
                <w:rFonts w:ascii="Times New Roman" w:hAnsi="Times New Roman" w:eastAsia="Times New Roman" w:cs="Times New Roman"/>
                <w:b w:val="0"/>
                <w:i w:val="0"/>
                <w:color w:val="20262B"/>
                <w:sz w:val="17"/>
                <w:lang w:val="en-GB" w:eastAsia="en-GB" w:bidi="en-GB"/>
              </w:rPr>
              <w:t>raw/NVDA_daily_2021-01-01_2025-12-31.csv</w:t>
            </w:r>
          </w:p>
        </w:tc>
        <w:tc>
          <w:tcPr>
            <w:tcW w:w="2044" w:type="dxa"/>
            <w:tcMar>
              <w:top w:w="68" w:type="dxa"/>
              <w:left w:w="85" w:type="dxa"/>
              <w:bottom w:w="68" w:type="dxa"/>
              <w:right w:w="85" w:type="dxa"/>
            </w:tcMar>
            <w:vAlign w:val="center"/>
          </w:tcPr>
          <w:p w14:paraId="29CE04C4">
            <w:pPr>
              <w:spacing w:after="0" w:line="240" w:lineRule="auto"/>
              <w:jc w:val="center"/>
            </w:pPr>
            <w:r>
              <w:rPr>
                <w:rFonts w:ascii="Times New Roman" w:hAnsi="Times New Roman" w:eastAsia="Times New Roman" w:cs="Times New Roman"/>
                <w:b w:val="0"/>
                <w:i w:val="0"/>
                <w:color w:val="20262B"/>
                <w:sz w:val="17"/>
                <w:lang w:val="en-GB" w:eastAsia="en-GB" w:bidi="en-GB"/>
              </w:rPr>
              <w:t>496b08c5a8c637d1</w:t>
            </w:r>
          </w:p>
        </w:tc>
        <w:tc>
          <w:tcPr>
            <w:tcW w:w="1036" w:type="dxa"/>
            <w:tcMar>
              <w:top w:w="68" w:type="dxa"/>
              <w:left w:w="85" w:type="dxa"/>
              <w:bottom w:w="68" w:type="dxa"/>
              <w:right w:w="85" w:type="dxa"/>
            </w:tcMar>
            <w:vAlign w:val="center"/>
          </w:tcPr>
          <w:p w14:paraId="2AC4B9E8">
            <w:pPr>
              <w:spacing w:after="0" w:line="240" w:lineRule="auto"/>
              <w:jc w:val="center"/>
            </w:pPr>
            <w:r>
              <w:rPr>
                <w:rFonts w:ascii="Times New Roman" w:hAnsi="Times New Roman" w:eastAsia="Times New Roman" w:cs="Times New Roman"/>
                <w:b w:val="0"/>
                <w:i w:val="0"/>
                <w:color w:val="20262B"/>
                <w:sz w:val="17"/>
                <w:lang w:val="en-GB" w:eastAsia="en-GB" w:bidi="en-GB"/>
              </w:rPr>
              <w:t>1,255</w:t>
            </w:r>
          </w:p>
        </w:tc>
      </w:tr>
    </w:tbl>
    <w:p w14:paraId="75C0D883">
      <w:pPr>
        <w:pStyle w:val="15"/>
        <w:keepNext/>
        <w:widowControl/>
        <w:spacing w:before="60" w:after="60"/>
      </w:pPr>
      <w:r>
        <w:rPr>
          <w:rFonts w:ascii="Arial" w:hAnsi="Arial" w:eastAsia="Arial" w:cs="Arial"/>
          <w:b/>
          <w:i w:val="0"/>
          <w:color w:val="12324B"/>
          <w:sz w:val="18"/>
          <w:lang w:val="en-GB" w:eastAsia="en-GB" w:bidi="en-GB"/>
        </w:rPr>
        <w:t>Table A2. Independent package checks</w:t>
      </w:r>
    </w:p>
    <w:tbl>
      <w:tblPr>
        <w:tblStyle w:val="32"/>
        <w:tblW w:w="9891" w:type="dxa"/>
        <w:jc w:val="center"/>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Layout w:type="fixed"/>
        <w:tblCellMar>
          <w:top w:w="0" w:type="dxa"/>
          <w:left w:w="108" w:type="dxa"/>
          <w:bottom w:w="0" w:type="dxa"/>
          <w:right w:w="108" w:type="dxa"/>
        </w:tblCellMar>
        <w:tblInd w:type="dxa" w:w="120"/>
      </w:tblPr>
      <w:tblGrid>
        <w:gridCol w:w="2951"/>
        <w:gridCol w:w="6940"/>
      </w:tblGrid>
      <w:tr w14:paraId="194FB6BC">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tblHeader/>
          <w:jc w:val="center"/>
        </w:trPr>
        <w:tc>
          <w:tcPr>
            <w:tcW w:w="2951" w:type="dxa"/>
            <w:shd w:val="clear" w:color="auto" w:fill="12324B"/>
            <w:tcMar>
              <w:top w:w="75" w:type="dxa"/>
              <w:left w:w="85" w:type="dxa"/>
              <w:bottom w:w="75" w:type="dxa"/>
              <w:right w:w="85" w:type="dxa"/>
            </w:tcMar>
            <w:vAlign w:val="center"/>
          </w:tcPr>
          <w:p w14:paraId="1B1FA796">
            <w:pPr>
              <w:spacing w:after="0" w:line="240" w:lineRule="auto"/>
              <w:jc w:val="center"/>
            </w:pPr>
            <w:r>
              <w:rPr>
                <w:rFonts w:ascii="Arial" w:hAnsi="Arial" w:eastAsia="Arial" w:cs="Arial"/>
                <w:b/>
                <w:i w:val="0"/>
                <w:color w:val="FFFFFF"/>
                <w:sz w:val="16"/>
                <w:lang w:val="en-GB" w:eastAsia="en-GB" w:bidi="en-GB"/>
              </w:rPr>
              <w:t>Check</w:t>
            </w:r>
          </w:p>
        </w:tc>
        <w:tc>
          <w:tcPr>
            <w:tcW w:w="6940" w:type="dxa"/>
            <w:shd w:val="clear" w:color="auto" w:fill="12324B"/>
            <w:tcMar>
              <w:top w:w="75" w:type="dxa"/>
              <w:left w:w="85" w:type="dxa"/>
              <w:bottom w:w="75" w:type="dxa"/>
              <w:right w:w="85" w:type="dxa"/>
            </w:tcMar>
            <w:vAlign w:val="center"/>
          </w:tcPr>
          <w:p>
            <w:r>
              <w:t>Result</w:t>
            </w:r>
          </w:p>
        </w:tc>
      </w:tr>
      <w:tr w14:paraId="67921F48">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tcMar>
              <w:top w:w="68" w:type="dxa"/>
              <w:left w:w="85" w:type="dxa"/>
              <w:bottom w:w="68" w:type="dxa"/>
              <w:right w:w="85" w:type="dxa"/>
            </w:tcMar>
            <w:vAlign w:val="center"/>
          </w:tcPr>
          <w:p w14:paraId="243B36F5">
            <w:pPr>
              <w:spacing w:after="0" w:line="240" w:lineRule="auto"/>
              <w:jc w:val="left"/>
            </w:pPr>
            <w:r>
              <w:rPr>
                <w:rFonts w:ascii="Times New Roman" w:hAnsi="Times New Roman" w:eastAsia="Times New Roman" w:cs="Times New Roman"/>
                <w:b w:val="0"/>
                <w:i w:val="0"/>
                <w:color w:val="20262B"/>
                <w:sz w:val="17"/>
                <w:lang w:val="en-GB" w:eastAsia="en-GB" w:bidi="en-GB"/>
              </w:rPr>
              <w:t>Archive contents</w:t>
            </w:r>
          </w:p>
        </w:tc>
        <w:tc>
          <w:tcPr>
            <w:tcW w:w="6940" w:type="dxa"/>
            <w:tcMar>
              <w:top w:w="68" w:type="dxa"/>
              <w:left w:w="85" w:type="dxa"/>
              <w:bottom w:w="68" w:type="dxa"/>
              <w:right w:w="85" w:type="dxa"/>
            </w:tcMar>
            <w:vAlign w:val="center"/>
          </w:tcPr>
          <w:p w14:paraId="4044E86B">
            <w:pPr>
              <w:spacing w:after="0" w:line="240" w:lineRule="auto"/>
              <w:jc w:val="left"/>
            </w:pPr>
            <w:r>
              <w:rPr>
                <w:b w:val="0"/>
                <w:i w:val="0"/>
              </w:rPr>
              <w:t>All expected source, data, metadata, failure-report, external-reference, CI, test, documentation, and configuration files present</w:t>
            </w:r>
          </w:p>
        </w:tc>
      </w:tr>
      <w:tr w14:paraId="0B38D5F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shd w:val="clear" w:color="auto" w:fill="F2F4F7"/>
            <w:tcMar>
              <w:top w:w="68" w:type="dxa"/>
              <w:left w:w="85" w:type="dxa"/>
              <w:bottom w:w="68" w:type="dxa"/>
              <w:right w:w="85" w:type="dxa"/>
            </w:tcMar>
            <w:vAlign w:val="center"/>
          </w:tcPr>
          <w:p w14:paraId="1EB64F54">
            <w:pPr>
              <w:spacing w:after="0" w:line="240" w:lineRule="auto"/>
              <w:jc w:val="left"/>
            </w:pPr>
            <w:r>
              <w:rPr>
                <w:rFonts w:ascii="Times New Roman" w:hAnsi="Times New Roman" w:eastAsia="Times New Roman" w:cs="Times New Roman"/>
                <w:b w:val="0"/>
                <w:i w:val="0"/>
                <w:color w:val="20262B"/>
                <w:sz w:val="17"/>
                <w:lang w:val="en-GB" w:eastAsia="en-GB" w:bidi="en-GB"/>
              </w:rPr>
              <w:t>CSV structure</w:t>
            </w:r>
          </w:p>
        </w:tc>
        <w:tc>
          <w:tcPr>
            <w:tcW w:w="6940" w:type="dxa"/>
            <w:shd w:val="clear" w:color="auto" w:fill="F2F4F7"/>
            <w:tcMar>
              <w:top w:w="68" w:type="dxa"/>
              <w:left w:w="85" w:type="dxa"/>
              <w:bottom w:w="68" w:type="dxa"/>
              <w:right w:w="85" w:type="dxa"/>
            </w:tcMar>
            <w:vAlign w:val="center"/>
          </w:tcPr>
          <w:p w14:paraId="6CCADCBE">
            <w:pPr>
              <w:spacing w:after="0" w:line="240" w:lineRule="auto"/>
              <w:jc w:val="left"/>
            </w:pPr>
            <w:r>
              <w:rPr>
                <w:b w:val="0"/>
                <w:i w:val="0"/>
              </w:rPr>
              <w:t>All five CSV files reopened successfully with exactly 1,255 rows and seven ordered columns</w:t>
            </w:r>
          </w:p>
        </w:tc>
      </w:tr>
      <w:tr w14:paraId="4A8BA856">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tcMar>
              <w:top w:w="68" w:type="dxa"/>
              <w:left w:w="85" w:type="dxa"/>
              <w:bottom w:w="68" w:type="dxa"/>
              <w:right w:w="85" w:type="dxa"/>
            </w:tcMar>
            <w:vAlign w:val="center"/>
          </w:tcPr>
          <w:p w14:paraId="20E24B42">
            <w:pPr>
              <w:spacing w:after="0" w:line="240" w:lineRule="auto"/>
              <w:jc w:val="left"/>
            </w:pPr>
            <w:r>
              <w:rPr>
                <w:rFonts w:ascii="Times New Roman" w:hAnsi="Times New Roman" w:eastAsia="Times New Roman" w:cs="Times New Roman"/>
                <w:b w:val="0"/>
                <w:i w:val="0"/>
                <w:color w:val="20262B"/>
                <w:sz w:val="17"/>
                <w:lang w:val="en-GB" w:eastAsia="en-GB" w:bidi="en-GB"/>
              </w:rPr>
              <w:t>File hashes</w:t>
            </w:r>
          </w:p>
        </w:tc>
        <w:tc>
          <w:tcPr>
            <w:tcW w:w="6940" w:type="dxa"/>
            <w:tcMar>
              <w:top w:w="68" w:type="dxa"/>
              <w:left w:w="85" w:type="dxa"/>
              <w:bottom w:w="68" w:type="dxa"/>
              <w:right w:w="85" w:type="dxa"/>
            </w:tcMar>
            <w:vAlign w:val="center"/>
          </w:tcPr>
          <w:p w14:paraId="7DF5C4FA">
            <w:pPr>
              <w:spacing w:after="0" w:line="240" w:lineRule="auto"/>
              <w:jc w:val="left"/>
            </w:pPr>
            <w:r>
              <w:rPr>
                <w:b w:val="0"/>
                <w:i w:val="0"/>
              </w:rPr>
              <w:t>All five recalculated SHA-256 digests match manifest.csv exactly</w:t>
            </w:r>
          </w:p>
        </w:tc>
      </w:tr>
      <w:tr w14:paraId="5F0FE2C7">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shd w:val="clear" w:color="auto" w:fill="F2F4F7"/>
            <w:tcMar>
              <w:top w:w="68" w:type="dxa"/>
              <w:left w:w="85" w:type="dxa"/>
              <w:bottom w:w="68" w:type="dxa"/>
              <w:right w:w="85" w:type="dxa"/>
            </w:tcMar>
            <w:vAlign w:val="center"/>
          </w:tcPr>
          <w:p w14:paraId="77D20270">
            <w:pPr>
              <w:spacing w:after="0" w:line="240" w:lineRule="auto"/>
              <w:jc w:val="left"/>
            </w:pPr>
            <w:r>
              <w:rPr>
                <w:rFonts w:ascii="Times New Roman" w:hAnsi="Times New Roman" w:eastAsia="Times New Roman" w:cs="Times New Roman"/>
                <w:b w:val="0"/>
                <w:i w:val="0"/>
                <w:color w:val="20262B"/>
                <w:sz w:val="17"/>
                <w:lang w:val="en-GB" w:eastAsia="en-GB" w:bidi="en-GB"/>
              </w:rPr>
              <w:t>Data values</w:t>
            </w:r>
          </w:p>
        </w:tc>
        <w:tc>
          <w:tcPr>
            <w:tcW w:w="6940" w:type="dxa"/>
            <w:shd w:val="clear" w:color="auto" w:fill="F2F4F7"/>
            <w:tcMar>
              <w:top w:w="68" w:type="dxa"/>
              <w:left w:w="85" w:type="dxa"/>
              <w:bottom w:w="68" w:type="dxa"/>
              <w:right w:w="85" w:type="dxa"/>
            </w:tcMar>
            <w:vAlign w:val="center"/>
          </w:tcPr>
          <w:p w14:paraId="6D33707D">
            <w:pPr>
              <w:spacing w:after="0" w:line="240" w:lineRule="auto"/>
              <w:jc w:val="left"/>
            </w:pPr>
            <w:r>
              <w:rPr>
                <w:b w:val="0"/>
                <w:i w:val="0"/>
              </w:rPr>
              <w:t>Zero missing values, duplicate dates, non-positive prices, negative/fractional volumes, or OHLC violations</w:t>
            </w:r>
          </w:p>
        </w:tc>
      </w:tr>
      <w:tr w14:paraId="60F1798F">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tcMar>
              <w:top w:w="68" w:type="dxa"/>
              <w:left w:w="85" w:type="dxa"/>
              <w:bottom w:w="68" w:type="dxa"/>
              <w:right w:w="85" w:type="dxa"/>
            </w:tcMar>
            <w:vAlign w:val="center"/>
          </w:tcPr>
          <w:p w14:paraId="292BC65F">
            <w:pPr>
              <w:spacing w:after="0" w:line="240" w:lineRule="auto"/>
              <w:jc w:val="left"/>
            </w:pPr>
            <w:r>
              <w:rPr>
                <w:rFonts w:ascii="Times New Roman" w:hAnsi="Times New Roman" w:eastAsia="Times New Roman" w:cs="Times New Roman"/>
                <w:b w:val="0"/>
                <w:i w:val="0"/>
                <w:color w:val="20262B"/>
                <w:sz w:val="17"/>
                <w:lang w:val="en-GB" w:eastAsia="en-GB" w:bidi="en-GB"/>
              </w:rPr>
              <w:t>Calendar cross-check</w:t>
            </w:r>
          </w:p>
        </w:tc>
        <w:tc>
          <w:tcPr>
            <w:tcW w:w="6940" w:type="dxa"/>
            <w:tcMar>
              <w:top w:w="68" w:type="dxa"/>
              <w:left w:w="85" w:type="dxa"/>
              <w:bottom w:w="68" w:type="dxa"/>
              <w:right w:w="85" w:type="dxa"/>
            </w:tcMar>
            <w:vAlign w:val="center"/>
          </w:tcPr>
          <w:p>
            <w:r>
              <w:t>Independent exchange_calendars 4.13.2 check reproduced 1,255 sessions from 2021-01-04 through 2025-12-31</w:t>
            </w:r>
          </w:p>
        </w:tc>
      </w:tr>
      <w:tr w14:paraId="1AAE116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shd w:val="clear" w:color="auto" w:fill="F2F4F7"/>
            <w:tcMar>
              <w:top w:w="68" w:type="dxa"/>
              <w:left w:w="85" w:type="dxa"/>
              <w:bottom w:w="68" w:type="dxa"/>
              <w:right w:w="85" w:type="dxa"/>
            </w:tcMar>
            <w:vAlign w:val="center"/>
          </w:tcPr>
          <w:p w14:paraId="087DA9F1">
            <w:pPr>
              <w:spacing w:after="0" w:line="240" w:lineRule="auto"/>
              <w:jc w:val="left"/>
            </w:pPr>
            <w:r>
              <w:rPr>
                <w:rFonts w:ascii="Times New Roman" w:hAnsi="Times New Roman" w:eastAsia="Times New Roman" w:cs="Times New Roman"/>
                <w:b w:val="0"/>
                <w:i w:val="0"/>
                <w:color w:val="20262B"/>
                <w:sz w:val="17"/>
                <w:lang w:val="en-GB" w:eastAsia="en-GB" w:bidi="en-GB"/>
              </w:rPr>
              <w:t>Unit tests</w:t>
            </w:r>
          </w:p>
        </w:tc>
        <w:tc>
          <w:tcPr>
            <w:tcW w:w="6940" w:type="dxa"/>
            <w:shd w:val="clear" w:color="auto" w:fill="F2F4F7"/>
            <w:tcMar>
              <w:top w:w="68" w:type="dxa"/>
              <w:left w:w="85" w:type="dxa"/>
              <w:bottom w:w="68" w:type="dxa"/>
              <w:right w:w="85" w:type="dxa"/>
            </w:tcMar>
            <w:vAlign w:val="center"/>
          </w:tcPr>
          <w:p>
            <w:r>
              <w:t>24/24 deterministic tests, including external-source provenance and publication rollback, passed locally; CI workflow is configured but no GitHub-hosted run is claimed</w:t>
            </w:r>
          </w:p>
        </w:tc>
      </w:tr>
      <w:tr w14:paraId="1AAE116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shd w:val="clear" w:color="auto" w:fill="F2F4F7"/>
            <w:tcMar>
              <w:top w:w="68" w:type="dxa"/>
              <w:left w:w="85" w:type="dxa"/>
              <w:bottom w:w="68" w:type="dxa"/>
              <w:right w:w="85" w:type="dxa"/>
            </w:tcMar>
            <w:vAlign w:val="center"/>
          </w:tcPr>
          <w:p w14:paraId="087DA9F1">
            <w:pPr>
              <w:spacing w:after="0" w:line="240" w:lineRule="auto"/>
              <w:jc w:val="left"/>
            </w:pPr>
            <w:r>
              <w:rPr>
                <w:rFonts w:ascii="Times New Roman" w:hAnsi="Times New Roman" w:eastAsia="Times New Roman" w:cs="Times New Roman"/>
                <w:b w:val="0"/>
                <w:i w:val="0"/>
                <w:color w:val="20262B"/>
                <w:sz w:val="17"/>
                <w:lang w:val="en-GB" w:eastAsia="en-GB" w:bidi="en-GB"/>
              </w:rPr>
              <w:t>External close sample</w:t>
            </w:r>
          </w:p>
        </w:tc>
        <w:tc>
          <w:tcPr>
            <w:tcW w:w="6940" w:type="dxa"/>
            <w:shd w:val="clear" w:color="auto" w:fill="F2F4F7"/>
            <w:tcMar>
              <w:top w:w="68" w:type="dxa"/>
              <w:left w:w="85" w:type="dxa"/>
              <w:bottom w:w="68" w:type="dxa"/>
              <w:right w:w="85" w:type="dxa"/>
            </w:tcMar>
            <w:vAlign w:val="center"/>
          </w:tcPr>
          <w:p w14:paraId="4DB2FA5C">
            <w:pPr>
              <w:spacing w:after="0" w:line="240" w:lineRule="auto"/>
              <w:jc w:val="left"/>
            </w:pPr>
            <w:r>
              <w:rPr>
                <w:rFonts w:ascii="Times New Roman" w:hAnsi="Times New Roman" w:eastAsia="Times New Roman"/>
                <w:sz w:val="17"/>
              </w:rPr>
              <w:t>Five 2025-12-31 Yahoo closes compared with Nasdaq.com; 5/5 within USD 0.01 and maximum absolute difference USD 0.00001465</w:t>
            </w:r>
          </w:p>
        </w:tc>
      </w:tr>
      <w:tr w14:paraId="1AAE1161">
        <w:tblPrEx>
          <w:tblBorders>
            <w:top w:val="single" w:color="C7D0D9" w:sz="4" w:space="0"/>
            <w:left w:val="single" w:color="C7D0D9" w:sz="4" w:space="0"/>
            <w:bottom w:val="single" w:color="C7D0D9" w:sz="4" w:space="0"/>
            <w:right w:val="single" w:color="C7D0D9" w:sz="4" w:space="0"/>
            <w:insideH w:val="single" w:color="C7D0D9" w:sz="4" w:space="0"/>
            <w:insideV w:val="single" w:color="C7D0D9" w:sz="4" w:space="0"/>
          </w:tblBorders>
          <w:tblCellMar>
            <w:top w:w="0" w:type="dxa"/>
            <w:left w:w="108" w:type="dxa"/>
            <w:bottom w:w="0" w:type="dxa"/>
            <w:right w:w="108" w:type="dxa"/>
          </w:tblCellMar>
        </w:tblPrEx>
        <w:trPr>
          <w:cantSplit/>
          <w:jc w:val="center"/>
        </w:trPr>
        <w:tc>
          <w:tcPr>
            <w:tcW w:w="2951" w:type="dxa"/>
            <w:shd w:val="clear" w:color="auto" w:fill="F2F4F7"/>
            <w:tcMar>
              <w:top w:w="68" w:type="dxa"/>
              <w:left w:w="85" w:type="dxa"/>
              <w:bottom w:w="68" w:type="dxa"/>
              <w:right w:w="85" w:type="dxa"/>
            </w:tcMar>
            <w:vAlign w:val="center"/>
          </w:tcPr>
          <w:p w14:paraId="087DA9F1">
            <w:pPr>
              <w:spacing w:after="0" w:line="240" w:lineRule="auto"/>
              <w:jc w:val="left"/>
            </w:pPr>
            <w:r>
              <w:rPr>
                <w:rFonts w:ascii="Times New Roman" w:hAnsi="Times New Roman" w:eastAsia="Times New Roman" w:cs="Times New Roman"/>
                <w:b w:val="0"/>
                <w:i w:val="0"/>
                <w:color w:val="20262B"/>
                <w:sz w:val="17"/>
                <w:lang w:val="en-GB" w:eastAsia="en-GB" w:bidi="en-GB"/>
              </w:rPr>
              <w:t>Failure diagnostics</w:t>
            </w:r>
          </w:p>
        </w:tc>
        <w:tc>
          <w:tcPr>
            <w:tcW w:w="6940" w:type="dxa"/>
            <w:shd w:val="clear" w:color="auto" w:fill="F2F4F7"/>
            <w:tcMar>
              <w:top w:w="68" w:type="dxa"/>
              <w:left w:w="85" w:type="dxa"/>
              <w:bottom w:w="68" w:type="dxa"/>
              <w:right w:w="85" w:type="dxa"/>
            </w:tcMar>
            <w:vAlign w:val="center"/>
          </w:tcPr>
          <w:p w14:paraId="4DB2FA5C">
            <w:pPr>
              <w:spacing w:after="0" w:line="240" w:lineRule="auto"/>
              <w:jc w:val="left"/>
            </w:pPr>
            <w:r>
              <w:rPr>
                <w:rFonts w:ascii="Times New Roman" w:hAnsi="Times New Roman" w:eastAsia="Times New Roman"/>
                <w:sz w:val="17"/>
              </w:rPr>
              <w:t>The first NVDA empty-response attempt is preserved with ticker, attempt, stage, error type, message, and UTC timestamp; no proxy value is stored</w:t>
            </w:r>
          </w:p>
        </w:tc>
      </w:tr>
    </w:tbl>
    <w:p w14:paraId="71202B4E">
      <w:pPr>
        <w:pStyle w:val="19"/>
        <w:widowControl/>
        <w:spacing w:before="0" w:after="100"/>
        <w:ind w:left="0" w:firstLine="0"/>
        <w:jc w:val="left"/>
      </w:pPr>
      <w:r>
        <w:t>On 30 July 2026, post-run verification reopened every CSV, recalculated all five SHA-256 digests, reran schema/date/value/OHLC/volume checks, and independently generated the expected sessions with exchange_calendars 4.13.2. Its XNAS/XNYS calculation exactly matched the pinned pandas-market-calendars NASDAQ/NYSE alias set: 1,255 sessions per security and 6,275 rows overall. On 4 August 2026, the feedback extension compared one close per ticker with Nasdaq.com, preserved the documented NVDA empty-response attempt as a sanitized record, and ran all 24 unit tests successfully. The Yahoo collection and later feedback evidence have separate UTC timestamps; these checks evaluate the submitted artifacts rather than claiming a later successful Yahoo re-download.</w:t>
      </w:r>
    </w:p>
    <w:sectPr>
      <w:headerReference r:id="rId5" w:type="default"/>
      <w:footerReference r:id="rId6" w:type="default"/>
      <w:pgSz w:w="11906" w:h="16838"/>
      <w:pgMar w:top="893" w:right="936" w:bottom="893" w:left="936" w:header="403"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8E704">
    <w:pPr>
      <w:pStyle w:val="24"/>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11"/>
      <w:gridCol w:w="3311"/>
      <w:gridCol w:w="3311"/>
    </w:tblGrid>
    <w:tr w14:paraId="6DC4E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11" w:type="dxa"/>
          <w:tcMar>
            <w:top w:w="0" w:type="dxa"/>
            <w:left w:w="0" w:type="dxa"/>
            <w:bottom w:w="0" w:type="dxa"/>
            <w:right w:w="0" w:type="dxa"/>
          </w:tcMar>
        </w:tcPr>
        <w:p w14:paraId="00EE0DF4">
          <w:pPr>
            <w:spacing w:after="0"/>
            <w:jc w:val="left"/>
          </w:pPr>
          <w:r>
            <w:rPr>
              <w:rFonts w:ascii="Arial" w:hAnsi="Arial" w:eastAsia="Arial" w:cs="Arial"/>
              <w:b w:val="0"/>
              <w:i w:val="0"/>
              <w:color w:val="4E5B66"/>
              <w:sz w:val="16"/>
              <w:lang w:val="en-GB" w:eastAsia="en-GB" w:bidi="en-GB"/>
            </w:rPr>
            <w:t>Yingtan Ji</w:t>
          </w:r>
        </w:p>
      </w:tc>
      <w:tc>
        <w:tcPr>
          <w:tcW w:w="3311" w:type="dxa"/>
          <w:tcMar>
            <w:top w:w="0" w:type="dxa"/>
            <w:left w:w="0" w:type="dxa"/>
            <w:bottom w:w="0" w:type="dxa"/>
            <w:right w:w="0" w:type="dxa"/>
          </w:tcMar>
        </w:tcPr>
        <w:p w14:paraId="7FA24349">
          <w:pPr>
            <w:spacing w:after="0"/>
            <w:jc w:val="center"/>
          </w:pPr>
          <w:r>
            <w:rPr>
              <w:rFonts w:ascii="Arial" w:hAnsi="Arial" w:eastAsia="Arial" w:cs="Arial"/>
              <w:b w:val="0"/>
              <w:i w:val="0"/>
              <w:color w:val="4E5B66"/>
              <w:sz w:val="16"/>
              <w:lang w:val="en-GB" w:eastAsia="en-GB" w:bidi="en-GB"/>
            </w:rPr>
            <w:t>Task 5</w:t>
          </w:r>
        </w:p>
      </w:tc>
      <w:tc>
        <w:tcPr>
          <w:tcW w:w="3311" w:type="dxa"/>
          <w:tcMar>
            <w:top w:w="0" w:type="dxa"/>
            <w:left w:w="0" w:type="dxa"/>
            <w:bottom w:w="0" w:type="dxa"/>
            <w:right w:w="0" w:type="dxa"/>
          </w:tcMar>
        </w:tcPr>
        <w:p w14:paraId="59D55070">
          <w:pPr>
            <w:spacing w:after="0"/>
            <w:jc w:val="right"/>
          </w:pPr>
          <w:r>
            <w:rPr>
              <w:rFonts w:ascii="Arial" w:hAnsi="Arial" w:eastAsia="Arial" w:cs="Arial"/>
              <w:b w:val="0"/>
              <w:i w:val="0"/>
              <w:color w:val="4E5B66"/>
              <w:sz w:val="16"/>
              <w:lang w:val="en-GB" w:eastAsia="en-GB" w:bidi="en-GB"/>
            </w:rPr>
            <w:t xml:space="preserve">Page </w:t>
          </w:r>
          <w:r>
            <w:rPr>
              <w:rFonts w:ascii="Arial" w:hAnsi="Arial" w:eastAsia="Arial" w:cs="Arial"/>
              <w:b w:val="0"/>
              <w:i w:val="0"/>
              <w:color w:val="4E5B66"/>
              <w:sz w:val="16"/>
              <w:lang w:val="en-GB" w:eastAsia="en-GB" w:bidi="en-GB"/>
            </w:rPr>
            <w:fldChar w:fldCharType="begin"/>
          </w:r>
          <w:r>
            <w:rPr>
              <w:rFonts w:ascii="Arial" w:hAnsi="Arial" w:eastAsia="Arial" w:cs="Arial"/>
              <w:b w:val="0"/>
              <w:i w:val="0"/>
              <w:color w:val="4E5B66"/>
              <w:sz w:val="16"/>
              <w:lang w:val="en-GB" w:eastAsia="en-GB" w:bidi="en-GB"/>
            </w:rPr>
            <w:instrText xml:space="preserve">PAGE</w:instrText>
          </w:r>
          <w:r>
            <w:rPr>
              <w:rFonts w:ascii="Arial" w:hAnsi="Arial" w:eastAsia="Arial" w:cs="Arial"/>
              <w:b w:val="0"/>
              <w:i w:val="0"/>
              <w:color w:val="4E5B66"/>
              <w:sz w:val="16"/>
              <w:lang w:val="en-GB" w:eastAsia="en-GB" w:bidi="en-GB"/>
            </w:rPr>
            <w:fldChar w:fldCharType="end"/>
          </w:r>
        </w:p>
      </w:tc>
    </w:tr>
  </w:tbl>
  <w:p w14:paraId="174BE4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8A9E">
    <w:pPr>
      <w:pStyle w:val="25"/>
      <w:pBdr>
        <w:bottom w:val="single" w:color="EF4D52" w:sz="10" w:space="3"/>
      </w:pBdr>
      <w:spacing w:after="0"/>
    </w:pPr>
    <w:r>
      <w:rPr>
        <w:rFonts w:ascii="Arial" w:hAnsi="Arial" w:eastAsia="Arial" w:cs="Arial"/>
        <w:b/>
        <w:i w:val="0"/>
        <w:color w:val="12324B"/>
        <w:sz w:val="16"/>
        <w:lang w:val="en-GB" w:eastAsia="en-GB" w:bidi="en-GB"/>
      </w:rPr>
      <w:t>TASK 5  |  STOCK PRICE DATA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9C652B"/>
    <w:rsid w:val="340A7B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60" w:line="259" w:lineRule="auto"/>
    </w:pPr>
    <w:rPr>
      <w:rFonts w:ascii="Times New Roman" w:hAnsi="Times New Roman" w:eastAsia="Times New Roman" w:cs="Times New Roman"/>
      <w:color w:val="20262B"/>
      <w:sz w:val="21"/>
      <w:szCs w:val="22"/>
      <w:lang w:val="en-GB" w:eastAsia="en-GB" w:bidi="en-GB"/>
    </w:rPr>
  </w:style>
  <w:style w:type="paragraph" w:styleId="3">
    <w:name w:val="heading 1"/>
    <w:basedOn w:val="1"/>
    <w:next w:val="1"/>
    <w:link w:val="138"/>
    <w:qFormat/>
    <w:uiPriority w:val="9"/>
    <w:pPr>
      <w:keepNext/>
      <w:keepLines/>
      <w:spacing w:before="120" w:after="60"/>
      <w:outlineLvl w:val="0"/>
    </w:pPr>
    <w:rPr>
      <w:rFonts w:asciiTheme="majorHAnsi" w:hAnsiTheme="majorHAnsi" w:eastAsiaTheme="majorEastAsia" w:cstheme="majorBidi"/>
      <w:b/>
      <w:bCs/>
      <w:color w:val="2E75B6"/>
      <w:sz w:val="28"/>
      <w:szCs w:val="28"/>
      <w:lang w:val="en-GB" w:eastAsia="en-GB" w:bidi="en-GB"/>
    </w:rPr>
  </w:style>
  <w:style w:type="paragraph" w:styleId="4">
    <w:name w:val="heading 2"/>
    <w:basedOn w:val="1"/>
    <w:next w:val="1"/>
    <w:link w:val="139"/>
    <w:unhideWhenUsed/>
    <w:qFormat/>
    <w:uiPriority w:val="9"/>
    <w:pPr>
      <w:keepNext/>
      <w:keepLines/>
      <w:spacing w:before="80" w:after="60"/>
      <w:outlineLvl w:val="1"/>
    </w:pPr>
    <w:rPr>
      <w:rFonts w:asciiTheme="majorHAnsi" w:hAnsiTheme="majorHAnsi" w:eastAsiaTheme="majorEastAsia" w:cstheme="majorBidi"/>
      <w:b/>
      <w:bCs/>
      <w:color w:val="2E75B6"/>
      <w:sz w:val="23"/>
      <w:szCs w:val="26"/>
      <w:lang w:val="en-GB" w:eastAsia="en-GB" w:bidi="en-GB"/>
    </w:rPr>
  </w:style>
  <w:style w:type="paragraph" w:styleId="5">
    <w:name w:val="heading 3"/>
    <w:basedOn w:val="1"/>
    <w:next w:val="1"/>
    <w:link w:val="140"/>
    <w:unhideWhenUsed/>
    <w:qFormat/>
    <w:uiPriority w:val="9"/>
    <w:pPr>
      <w:keepNext/>
      <w:keepLines/>
      <w:spacing w:before="80" w:after="60"/>
      <w:outlineLvl w:val="2"/>
    </w:pPr>
    <w:rPr>
      <w:rFonts w:asciiTheme="majorHAnsi" w:hAnsiTheme="majorHAnsi" w:eastAsiaTheme="majorEastAsia" w:cstheme="majorBidi"/>
      <w:b/>
      <w:bCs/>
      <w:color w:val="12324B"/>
      <w:sz w:val="21"/>
      <w:lang w:val="en-GB" w:eastAsia="en-GB" w:bidi="en-GB"/>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spacing w:before="40" w:after="40" w:line="240" w:lineRule="auto"/>
    </w:pPr>
    <w:rPr>
      <w:rFonts w:ascii="Arial" w:hAnsi="Arial" w:eastAsia="Arial" w:cs="Arial"/>
      <w:b/>
      <w:bCs/>
      <w:color w:val="12324B"/>
      <w:sz w:val="18"/>
      <w:szCs w:val="18"/>
      <w:lang w:val="en-GB" w:eastAsia="en-GB" w:bidi="en-GB"/>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widowControl/>
      <w:spacing w:after="60" w:line="259" w:lineRule="auto"/>
    </w:pPr>
    <w:rPr>
      <w:rFonts w:ascii="Times New Roman" w:hAnsi="Times New Roman" w:eastAsia="Times New Roman" w:cs="Times New Roman"/>
      <w:color w:val="20262B"/>
      <w:sz w:val="21"/>
      <w:lang w:val="en-GB" w:eastAsia="en-GB" w:bidi="en-GB"/>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qFormat/>
    <w:uiPriority w:val="0"/>
    <w:pPr>
      <w:spacing w:after="50" w:line="240" w:lineRule="auto"/>
      <w:ind w:left="284" w:hanging="284"/>
    </w:pPr>
    <w:rPr>
      <w:rFonts w:ascii="Times New Roman" w:hAnsi="Times New Roman" w:eastAsia="Times New Roman" w:cs="Times New Roman"/>
      <w:color w:val="20262B"/>
      <w:sz w:val="19"/>
      <w:szCs w:val="22"/>
      <w:lang w:val="en-GB" w:eastAsia="en-GB" w:bidi="en-G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2803</Words>
  <Characters>18873</Characters>
  <Lines>0</Lines>
  <Paragraphs>0</Paragraphs>
  <TotalTime>3</TotalTime>
  <ScaleCrop>false</ScaleCrop>
  <LinksUpToDate>false</LinksUpToDate>
  <CharactersWithSpaces>21352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Coursework report</cp:category>
  <dcterms:created xsi:type="dcterms:W3CDTF">2026-07-30T00:00:00Z</dcterms:created>
  <dc:creator>Yingtan Ji</dc:creator>
  <cp:keywords>stock prices, Yahoo Finance, yfinance, Python, CSV, validation</cp:keywords>
  <cp:lastModifiedBy>꧁꫞꯭0꯭0꯭7꯭꫞꧂</cp:lastModifiedBy>
  <dcterms:modified xsi:type="dcterms:W3CDTF">2026-08-04T08:15:54Z</dcterms:modified>
  <dc:subject>Historical stock price data collection, validation, and documentation</dc:subject>
  <dc:title>Task 5 — Stock Price Data Collection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eyJoZGlkIjoiNDA0ODcyYmRkM2QzM2MzNTE4YTM3MmQ1ZTE4N2MxYTkiLCJ1c2VySWQiOiIxMjQxODU1OTc4In0=</vt:lpwstr>
  </property>
  <property fmtid="{D5CDD505-2E9C-101B-9397-08002B2CF9AE}" pid="3" name="KSOProductBuildVer">
    <vt:lpwstr>2052-12.1.0.26895</vt:lpwstr>
  </property>
  <property fmtid="{D5CDD505-2E9C-101B-9397-08002B2CF9AE}" pid="4" name="ICV">
    <vt:lpwstr>1ED591AA74CC4DB888FFD005B809E796_12</vt:lpwstr>
  </property>
</Properties>
</file>