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 Structure Lab (OSLab) CDK2 Benchmark: Detailed Methods, System Architecture, and FEP Validation Report</w:t>
      </w:r>
    </w:p>
    <w:p>
      <w:pPr>
        <w:jc w:val="center"/>
      </w:pPr>
      <w:r>
        <w:rPr>
          <w:i/>
        </w:rPr>
        <w:t>Prepared for AI-enabled drug-discovery workflow reporting and structural chemistry methods documentation</w:t>
      </w:r>
    </w:p>
    <w:p>
      <w:pPr>
        <w:jc w:val="center"/>
      </w:pPr>
      <w:r>
        <w:t>Generated: May 15, 2026 at 16:17 UTC</w:t>
      </w:r>
    </w:p>
    <w:tbl>
      <w:tblPr>
        <w:tblStyle w:val="LightList-Accent1"/>
        <w:tblW w:type="auto" w:w="0"/>
        <w:jc w:val="center"/>
        <w:tblLook w:firstColumn="1" w:firstRow="1" w:lastColumn="0" w:lastRow="0" w:noHBand="0" w:noVBand="1" w:val="04A0"/>
      </w:tblPr>
      <w:tblGrid>
        <w:gridCol w:w="5040"/>
        <w:gridCol w:w="5040"/>
      </w:tblGrid>
      <w:tr>
        <w:trPr>
          <w:tblHeader w:val="true"/>
        </w:trPr>
        <w:tc>
          <w:tcPr>
            <w:tcW w:type="dxa" w:w="3240"/>
            <w:shd w:fill="1F4E79"/>
          </w:tcPr>
          <w:p>
            <w:r/>
            <w:r>
              <w:rPr>
                <w:b/>
                <w:color w:val="FFFFFF"/>
              </w:rPr>
              <w:t>Field</w:t>
            </w:r>
          </w:p>
        </w:tc>
        <w:tc>
          <w:tcPr>
            <w:tcW w:type="dxa" w:w="6840"/>
            <w:shd w:fill="1F4E79"/>
          </w:tcPr>
          <w:p>
            <w:r/>
            <w:r>
              <w:rPr>
                <w:b/>
                <w:color w:val="FFFFFF"/>
              </w:rPr>
              <w:t>Value</w:t>
            </w:r>
          </w:p>
        </w:tc>
      </w:tr>
      <w:tr>
        <w:tc>
          <w:tcPr>
            <w:tcW w:type="dxa" w:w="3240"/>
            <w:vAlign w:val="top"/>
          </w:tcPr>
          <w:p>
            <w:pPr>
              <w:spacing w:after="0"/>
            </w:pPr>
            <w:r>
              <w:t>Primary OSLab run label</w:t>
            </w:r>
          </w:p>
        </w:tc>
        <w:tc>
          <w:tcPr>
            <w:tcW w:type="dxa" w:w="6840"/>
            <w:vAlign w:val="top"/>
          </w:tcPr>
          <w:p>
            <w:pPr>
              <w:spacing w:after="0"/>
            </w:pPr>
            <w:r>
              <w:t>kimlab-cdk2-enrichment-v2</w:t>
            </w:r>
          </w:p>
        </w:tc>
      </w:tr>
      <w:tr>
        <w:tc>
          <w:tcPr>
            <w:tcW w:type="dxa" w:w="3240"/>
            <w:vAlign w:val="top"/>
          </w:tcPr>
          <w:p>
            <w:pPr>
              <w:spacing w:after="0"/>
            </w:pPr>
            <w:r>
              <w:t>Target</w:t>
            </w:r>
          </w:p>
        </w:tc>
        <w:tc>
          <w:tcPr>
            <w:tcW w:type="dxa" w:w="6840"/>
            <w:vAlign w:val="top"/>
          </w:tcPr>
          <w:p>
            <w:pPr>
              <w:spacing w:after="0"/>
            </w:pPr>
            <w:r>
              <w:t>Cyclin-dependent kinase 2 (CDK2)</w:t>
            </w:r>
          </w:p>
        </w:tc>
      </w:tr>
      <w:tr>
        <w:tc>
          <w:tcPr>
            <w:tcW w:type="dxa" w:w="3240"/>
            <w:vAlign w:val="top"/>
          </w:tcPr>
          <w:p>
            <w:pPr>
              <w:spacing w:after="0"/>
            </w:pPr>
            <w:r>
              <w:t>Benchmark library</w:t>
            </w:r>
          </w:p>
        </w:tc>
        <w:tc>
          <w:tcPr>
            <w:tcW w:type="dxa" w:w="6840"/>
            <w:vAlign w:val="top"/>
          </w:tcPr>
          <w:p>
            <w:pPr>
              <w:spacing w:after="0"/>
            </w:pPr>
            <w:r>
              <w:t>DUD-E CDK2 active/decoy benchmark library transferred into OSLab</w:t>
            </w:r>
          </w:p>
        </w:tc>
      </w:tr>
      <w:tr>
        <w:tc>
          <w:tcPr>
            <w:tcW w:type="dxa" w:w="3240"/>
            <w:vAlign w:val="top"/>
          </w:tcPr>
          <w:p>
            <w:pPr>
              <w:spacing w:after="0"/>
            </w:pPr>
            <w:r>
              <w:t>Primary OSLab root during server execution</w:t>
            </w:r>
          </w:p>
        </w:tc>
        <w:tc>
          <w:tcPr>
            <w:tcW w:type="dxa" w:w="6840"/>
            <w:vAlign w:val="top"/>
          </w:tcPr>
          <w:p>
            <w:pPr>
              <w:spacing w:after="0"/>
            </w:pPr>
            <w:r>
              <w:t>/data/oslab</w:t>
            </w:r>
          </w:p>
        </w:tc>
      </w:tr>
      <w:tr>
        <w:tc>
          <w:tcPr>
            <w:tcW w:type="dxa" w:w="3240"/>
            <w:vAlign w:val="top"/>
          </w:tcPr>
          <w:p>
            <w:pPr>
              <w:spacing w:after="0"/>
            </w:pPr>
            <w:r>
              <w:t>Packaged local bundle</w:t>
            </w:r>
          </w:p>
        </w:tc>
        <w:tc>
          <w:tcPr>
            <w:tcW w:type="dxa" w:w="6840"/>
            <w:vAlign w:val="top"/>
          </w:tcPr>
          <w:p>
            <w:pPr>
              <w:spacing w:after="0"/>
            </w:pPr>
            <w:r>
              <w:t>/Users/hlk/Desktop/kimlab-cdk2-enrichment-v2-completed-results-20260514-032817 2</w:t>
            </w:r>
          </w:p>
        </w:tc>
      </w:tr>
      <w:tr>
        <w:tc>
          <w:tcPr>
            <w:tcW w:type="dxa" w:w="3240"/>
            <w:vAlign w:val="top"/>
          </w:tcPr>
          <w:p>
            <w:pPr>
              <w:spacing w:after="0"/>
            </w:pPr>
            <w:r>
              <w:t>Workflow FEP report</w:t>
            </w:r>
          </w:p>
        </w:tc>
        <w:tc>
          <w:tcPr>
            <w:tcW w:type="dxa" w:w="6840"/>
            <w:vAlign w:val="top"/>
          </w:tcPr>
          <w:p>
            <w:pPr>
              <w:spacing w:after="0"/>
            </w:pPr>
            <w:r>
              <w:t>/data/oslab/reports/kimlab-cdk2-enrichment-v2-fep/fep_report.md</w:t>
            </w:r>
          </w:p>
        </w:tc>
      </w:tr>
      <w:tr>
        <w:tc>
          <w:tcPr>
            <w:tcW w:type="dxa" w:w="3240"/>
            <w:vAlign w:val="top"/>
          </w:tcPr>
          <w:p>
            <w:pPr>
              <w:spacing w:after="0"/>
            </w:pPr>
            <w:r>
              <w:t>Second FEP benchmark</w:t>
            </w:r>
          </w:p>
        </w:tc>
        <w:tc>
          <w:tcPr>
            <w:tcW w:type="dxa" w:w="6840"/>
            <w:vAlign w:val="top"/>
          </w:tcPr>
          <w:p>
            <w:pPr>
              <w:spacing w:after="0"/>
            </w:pPr>
            <w:r>
              <w:t>Wang CDK2 Track B OpenFE RBFE benchmark, 16 ligands, 15 perturbation edges</w:t>
            </w:r>
          </w:p>
        </w:tc>
      </w:tr>
    </w:tbl>
    <w:p>
      <w:r>
        <w:rPr>
          <w:b/>
        </w:rPr>
        <w:t xml:space="preserve">Purpose. </w:t>
      </w:r>
      <w:r>
        <w:t>This document replaces the previous short result summary with a submission-oriented methods and figure-legend document. It describes how OSLab was created and operated, how user input is converted into deterministic computational workflows, how AI assistance was used, and the detailed chemistry settings used for the CDK2 benchmark and the two FEP analyses.</w:t>
      </w:r>
    </w:p>
    <w:p>
      <w:r>
        <w:br w:type="page"/>
      </w:r>
    </w:p>
    <w:p>
      <w:pPr>
        <w:pStyle w:val="Heading1"/>
      </w:pPr>
      <w:r>
        <w:t>1. Executive Summary of the CDK2 Benchmark</w:t>
      </w:r>
    </w:p>
    <w:p>
      <w:r>
        <w:rPr>
          <w:b/>
        </w:rPr>
        <w:t xml:space="preserve">OSLab is an Apache-2.0 open-source orchestration layer created by Hyung L. Kim using open-source structural chemistry software and AI-assisted coding. </w:t>
      </w:r>
      <w:r>
        <w:t>The system wraps target preparation, docking, hit refinement, MD/MM-GBSA optimization, and OpenFE relative binding free-energy calculations in a reproducible command-line and dashboard workflow. The CDK2 benchmark described here was run on a Lambda GPU server and used a public DUD-E CDK2 active/decoy library for Blocks 1-3, followed by an OpenFE FEP demonstration on a chemically coherent active cluster and a second Wang CDK2 FEP benchmark with experimental affinity values.</w:t>
      </w:r>
    </w:p>
    <w:tbl>
      <w:tblPr>
        <w:tblStyle w:val="LightList-Accent1"/>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2376"/>
            <w:shd w:fill="1F4E79"/>
          </w:tcPr>
          <w:p>
            <w:r/>
            <w:r>
              <w:rPr>
                <w:b/>
                <w:color w:val="FFFFFF"/>
              </w:rPr>
              <w:t>Stage</w:t>
            </w:r>
          </w:p>
        </w:tc>
        <w:tc>
          <w:tcPr>
            <w:tcW w:type="dxa" w:w="792"/>
            <w:shd w:fill="1F4E79"/>
          </w:tcPr>
          <w:p>
            <w:r/>
            <w:r>
              <w:rPr>
                <w:b/>
                <w:color w:val="FFFFFF"/>
              </w:rPr>
              <w:t>N</w:t>
            </w:r>
          </w:p>
        </w:tc>
        <w:tc>
          <w:tcPr>
            <w:tcW w:type="dxa" w:w="936"/>
            <w:shd w:fill="1F4E79"/>
          </w:tcPr>
          <w:p>
            <w:r/>
            <w:r>
              <w:rPr>
                <w:b/>
                <w:color w:val="FFFFFF"/>
              </w:rPr>
              <w:t>Actives</w:t>
            </w:r>
          </w:p>
        </w:tc>
        <w:tc>
          <w:tcPr>
            <w:tcW w:type="dxa" w:w="936"/>
            <w:shd w:fill="1F4E79"/>
          </w:tcPr>
          <w:p>
            <w:r/>
            <w:r>
              <w:rPr>
                <w:b/>
                <w:color w:val="FFFFFF"/>
              </w:rPr>
              <w:t>Decoys</w:t>
            </w:r>
          </w:p>
        </w:tc>
        <w:tc>
          <w:tcPr>
            <w:tcW w:type="dxa" w:w="1224"/>
            <w:shd w:fill="1F4E79"/>
          </w:tcPr>
          <w:p>
            <w:r/>
            <w:r>
              <w:rPr>
                <w:b/>
                <w:color w:val="FFFFFF"/>
              </w:rPr>
              <w:t>Active fraction</w:t>
            </w:r>
          </w:p>
        </w:tc>
        <w:tc>
          <w:tcPr>
            <w:tcW w:type="dxa" w:w="1080"/>
            <w:shd w:fill="1F4E79"/>
          </w:tcPr>
          <w:p>
            <w:r/>
            <w:r>
              <w:rPr>
                <w:b/>
                <w:color w:val="FFFFFF"/>
              </w:rPr>
              <w:t>ROC-AUC</w:t>
            </w:r>
          </w:p>
        </w:tc>
        <w:tc>
          <w:tcPr>
            <w:tcW w:type="dxa" w:w="936"/>
            <w:shd w:fill="1F4E79"/>
          </w:tcPr>
          <w:p>
            <w:r/>
            <w:r>
              <w:rPr>
                <w:b/>
                <w:color w:val="FFFFFF"/>
              </w:rPr>
              <w:t>AP</w:t>
            </w:r>
          </w:p>
        </w:tc>
        <w:tc>
          <w:tcPr>
            <w:tcW w:type="dxa" w:w="2880"/>
            <w:shd w:fill="1F4E79"/>
          </w:tcPr>
          <w:p>
            <w:r/>
            <w:r>
              <w:rPr>
                <w:b/>
                <w:color w:val="FFFFFF"/>
              </w:rPr>
              <w:t>Enrichment factors</w:t>
            </w:r>
          </w:p>
        </w:tc>
      </w:tr>
      <w:tr>
        <w:tc>
          <w:tcPr>
            <w:tcW w:type="dxa" w:w="2376"/>
            <w:vAlign w:val="top"/>
          </w:tcPr>
          <w:p>
            <w:pPr>
              <w:spacing w:after="0"/>
            </w:pPr>
            <w:r>
              <w:t>Block 1 docking</w:t>
            </w:r>
          </w:p>
        </w:tc>
        <w:tc>
          <w:tcPr>
            <w:tcW w:type="dxa" w:w="792"/>
            <w:vAlign w:val="top"/>
          </w:tcPr>
          <w:p>
            <w:pPr>
              <w:spacing w:after="0"/>
            </w:pPr>
            <w:r>
              <w:t>24549</w:t>
            </w:r>
          </w:p>
        </w:tc>
        <w:tc>
          <w:tcPr>
            <w:tcW w:type="dxa" w:w="936"/>
            <w:vAlign w:val="top"/>
          </w:tcPr>
          <w:p>
            <w:pPr>
              <w:spacing w:after="0"/>
            </w:pPr>
            <w:r>
              <w:t>631</w:t>
            </w:r>
          </w:p>
        </w:tc>
        <w:tc>
          <w:tcPr>
            <w:tcW w:type="dxa" w:w="936"/>
            <w:vAlign w:val="top"/>
          </w:tcPr>
          <w:p>
            <w:pPr>
              <w:spacing w:after="0"/>
            </w:pPr>
            <w:r>
              <w:t>23918</w:t>
            </w:r>
          </w:p>
        </w:tc>
        <w:tc>
          <w:tcPr>
            <w:tcW w:type="dxa" w:w="1224"/>
            <w:vAlign w:val="top"/>
          </w:tcPr>
          <w:p>
            <w:pPr>
              <w:spacing w:after="0"/>
            </w:pPr>
            <w:r>
              <w:t>0.0257</w:t>
            </w:r>
          </w:p>
        </w:tc>
        <w:tc>
          <w:tcPr>
            <w:tcW w:type="dxa" w:w="1080"/>
            <w:vAlign w:val="top"/>
          </w:tcPr>
          <w:p>
            <w:pPr>
              <w:spacing w:after="0"/>
            </w:pPr>
            <w:r>
              <w:t>0.728</w:t>
            </w:r>
          </w:p>
        </w:tc>
        <w:tc>
          <w:tcPr>
            <w:tcW w:type="dxa" w:w="936"/>
            <w:vAlign w:val="top"/>
          </w:tcPr>
          <w:p>
            <w:pPr>
              <w:spacing w:after="0"/>
            </w:pPr>
            <w:r>
              <w:t>0.138</w:t>
            </w:r>
          </w:p>
        </w:tc>
        <w:tc>
          <w:tcPr>
            <w:tcW w:type="dxa" w:w="2880"/>
            <w:vAlign w:val="top"/>
          </w:tcPr>
          <w:p>
            <w:pPr>
              <w:spacing w:after="0"/>
            </w:pPr>
            <w:r>
              <w:t>1%: 11.54, 5%: 4.97, 10%: 3.53, 20%: 2.51, 50%: 1.59</w:t>
            </w:r>
          </w:p>
        </w:tc>
      </w:tr>
      <w:tr>
        <w:tc>
          <w:tcPr>
            <w:tcW w:type="dxa" w:w="2376"/>
            <w:vAlign w:val="top"/>
          </w:tcPr>
          <w:p>
            <w:pPr>
              <w:spacing w:after="0"/>
            </w:pPr>
            <w:r>
              <w:t>Block 2 hit refinement composite</w:t>
            </w:r>
          </w:p>
        </w:tc>
        <w:tc>
          <w:tcPr>
            <w:tcW w:type="dxa" w:w="792"/>
            <w:vAlign w:val="top"/>
          </w:tcPr>
          <w:p>
            <w:pPr>
              <w:spacing w:after="0"/>
            </w:pPr>
            <w:r>
              <w:t>400</w:t>
            </w:r>
          </w:p>
        </w:tc>
        <w:tc>
          <w:tcPr>
            <w:tcW w:type="dxa" w:w="936"/>
            <w:vAlign w:val="top"/>
          </w:tcPr>
          <w:p>
            <w:pPr>
              <w:spacing w:after="0"/>
            </w:pPr>
            <w:r>
              <w:t>45</w:t>
            </w:r>
          </w:p>
        </w:tc>
        <w:tc>
          <w:tcPr>
            <w:tcW w:type="dxa" w:w="936"/>
            <w:vAlign w:val="top"/>
          </w:tcPr>
          <w:p>
            <w:pPr>
              <w:spacing w:after="0"/>
            </w:pPr>
            <w:r>
              <w:t>355</w:t>
            </w:r>
          </w:p>
        </w:tc>
        <w:tc>
          <w:tcPr>
            <w:tcW w:type="dxa" w:w="1224"/>
            <w:vAlign w:val="top"/>
          </w:tcPr>
          <w:p>
            <w:pPr>
              <w:spacing w:after="0"/>
            </w:pPr>
            <w:r>
              <w:t>0.1125</w:t>
            </w:r>
          </w:p>
        </w:tc>
        <w:tc>
          <w:tcPr>
            <w:tcW w:type="dxa" w:w="1080"/>
            <w:vAlign w:val="top"/>
          </w:tcPr>
          <w:p>
            <w:pPr>
              <w:spacing w:after="0"/>
            </w:pPr>
            <w:r>
              <w:t>0.707</w:t>
            </w:r>
          </w:p>
        </w:tc>
        <w:tc>
          <w:tcPr>
            <w:tcW w:type="dxa" w:w="936"/>
            <w:vAlign w:val="top"/>
          </w:tcPr>
          <w:p>
            <w:pPr>
              <w:spacing w:after="0"/>
            </w:pPr>
            <w:r>
              <w:t>0.433</w:t>
            </w:r>
          </w:p>
        </w:tc>
        <w:tc>
          <w:tcPr>
            <w:tcW w:type="dxa" w:w="2880"/>
            <w:vAlign w:val="top"/>
          </w:tcPr>
          <w:p>
            <w:pPr>
              <w:spacing w:after="0"/>
            </w:pPr>
            <w:r>
              <w:t>1%: 8.89, 5%: 5.33, 10%: 4.22, 20%: 2.56, 50%: 1.38</w:t>
            </w:r>
          </w:p>
        </w:tc>
      </w:tr>
      <w:tr>
        <w:tc>
          <w:tcPr>
            <w:tcW w:type="dxa" w:w="2376"/>
            <w:vAlign w:val="top"/>
          </w:tcPr>
          <w:p>
            <w:pPr>
              <w:spacing w:after="0"/>
            </w:pPr>
            <w:r>
              <w:t>Block 3 MD/MM-GBSA</w:t>
            </w:r>
          </w:p>
        </w:tc>
        <w:tc>
          <w:tcPr>
            <w:tcW w:type="dxa" w:w="792"/>
            <w:vAlign w:val="top"/>
          </w:tcPr>
          <w:p>
            <w:pPr>
              <w:spacing w:after="0"/>
            </w:pPr>
            <w:r>
              <w:t>20</w:t>
            </w:r>
          </w:p>
        </w:tc>
        <w:tc>
          <w:tcPr>
            <w:tcW w:type="dxa" w:w="936"/>
            <w:vAlign w:val="top"/>
          </w:tcPr>
          <w:p>
            <w:pPr>
              <w:spacing w:after="0"/>
            </w:pPr>
            <w:r>
              <w:t>12</w:t>
            </w:r>
          </w:p>
        </w:tc>
        <w:tc>
          <w:tcPr>
            <w:tcW w:type="dxa" w:w="936"/>
            <w:vAlign w:val="top"/>
          </w:tcPr>
          <w:p>
            <w:pPr>
              <w:spacing w:after="0"/>
            </w:pPr>
            <w:r>
              <w:t>8</w:t>
            </w:r>
          </w:p>
        </w:tc>
        <w:tc>
          <w:tcPr>
            <w:tcW w:type="dxa" w:w="1224"/>
            <w:vAlign w:val="top"/>
          </w:tcPr>
          <w:p>
            <w:pPr>
              <w:spacing w:after="0"/>
            </w:pPr>
            <w:r>
              <w:t>0.6000</w:t>
            </w:r>
          </w:p>
        </w:tc>
        <w:tc>
          <w:tcPr>
            <w:tcW w:type="dxa" w:w="1080"/>
            <w:vAlign w:val="top"/>
          </w:tcPr>
          <w:p>
            <w:pPr>
              <w:spacing w:after="0"/>
            </w:pPr>
            <w:r>
              <w:t>0.844</w:t>
            </w:r>
          </w:p>
        </w:tc>
        <w:tc>
          <w:tcPr>
            <w:tcW w:type="dxa" w:w="936"/>
            <w:vAlign w:val="top"/>
          </w:tcPr>
          <w:p>
            <w:pPr>
              <w:spacing w:after="0"/>
            </w:pPr>
            <w:r>
              <w:t>0.866</w:t>
            </w:r>
          </w:p>
        </w:tc>
        <w:tc>
          <w:tcPr>
            <w:tcW w:type="dxa" w:w="2880"/>
            <w:vAlign w:val="top"/>
          </w:tcPr>
          <w:p>
            <w:pPr>
              <w:spacing w:after="0"/>
            </w:pPr>
            <w:r>
              <w:t>1%: 1.67, 5%: 1.67, 10%: 1.67, 20%: 1.25, 50%: 1.50</w:t>
            </w:r>
          </w:p>
        </w:tc>
      </w:tr>
      <w:tr>
        <w:tc>
          <w:tcPr>
            <w:tcW w:type="dxa" w:w="2376"/>
            <w:vAlign w:val="top"/>
          </w:tcPr>
          <w:p>
            <w:pPr>
              <w:spacing w:after="0"/>
            </w:pPr>
            <w:r>
              <w:t>Block 4 workflow FEP active cluster</w:t>
            </w:r>
          </w:p>
        </w:tc>
        <w:tc>
          <w:tcPr>
            <w:tcW w:type="dxa" w:w="792"/>
            <w:vAlign w:val="top"/>
          </w:tcPr>
          <w:p>
            <w:pPr>
              <w:spacing w:after="0"/>
            </w:pPr>
            <w:r>
              <w:t>5</w:t>
            </w:r>
          </w:p>
        </w:tc>
        <w:tc>
          <w:tcPr>
            <w:tcW w:type="dxa" w:w="936"/>
            <w:vAlign w:val="top"/>
          </w:tcPr>
          <w:p>
            <w:pPr>
              <w:spacing w:after="0"/>
            </w:pPr>
            <w:r>
              <w:t>5</w:t>
            </w:r>
          </w:p>
        </w:tc>
        <w:tc>
          <w:tcPr>
            <w:tcW w:type="dxa" w:w="936"/>
            <w:vAlign w:val="top"/>
          </w:tcPr>
          <w:p>
            <w:pPr>
              <w:spacing w:after="0"/>
            </w:pPr>
            <w:r>
              <w:t>0</w:t>
            </w:r>
          </w:p>
        </w:tc>
        <w:tc>
          <w:tcPr>
            <w:tcW w:type="dxa" w:w="1224"/>
            <w:vAlign w:val="top"/>
          </w:tcPr>
          <w:p>
            <w:pPr>
              <w:spacing w:after="0"/>
            </w:pPr>
            <w:r>
              <w:t>1.0000</w:t>
            </w:r>
          </w:p>
        </w:tc>
        <w:tc>
          <w:tcPr>
            <w:tcW w:type="dxa" w:w="1080"/>
            <w:vAlign w:val="top"/>
          </w:tcPr>
          <w:p>
            <w:pPr>
              <w:spacing w:after="0"/>
            </w:pPr>
            <w:r>
              <w:t>n/a</w:t>
            </w:r>
          </w:p>
        </w:tc>
        <w:tc>
          <w:tcPr>
            <w:tcW w:type="dxa" w:w="936"/>
            <w:vAlign w:val="top"/>
          </w:tcPr>
          <w:p>
            <w:pPr>
              <w:spacing w:after="0"/>
            </w:pPr>
            <w:r>
              <w:t>1.000</w:t>
            </w:r>
          </w:p>
        </w:tc>
        <w:tc>
          <w:tcPr>
            <w:tcW w:type="dxa" w:w="2880"/>
            <w:vAlign w:val="top"/>
          </w:tcPr>
          <w:p>
            <w:pPr>
              <w:spacing w:after="0"/>
            </w:pPr>
            <w:r>
              <w:t>33%: 1.00, 67%: 1.00, 100%: 1.00</w:t>
            </w:r>
          </w:p>
        </w:tc>
      </w:tr>
    </w:tbl>
    <w:p>
      <w:r>
        <w:rPr>
          <w:b/>
        </w:rPr>
        <w:t xml:space="preserve">Interpretation. </w:t>
      </w:r>
      <w:r>
        <w:t>Docking enriched CDK2 actives above the 2.57% library base rate, hit refinement preserved enrichment among the top 400 candidates, and MD/MM-GBSA ranking increased active fraction among the 20 simulated ligands. The workflow FEP run should be interpreted as a Block 4 pipeline demonstration because it used an active-only congeneric cluster and produced zero reported edge uncertainties. The separate Wang CDK2 FEP benchmark provides the more direct FEP validation against experimental binding free energies.</w:t>
      </w:r>
    </w:p>
    <w:tbl>
      <w:tblPr>
        <w:tblStyle w:val="LightList-Accent1"/>
        <w:tblW w:type="auto" w:w="0"/>
        <w:jc w:val="center"/>
        <w:tblLook w:firstColumn="1" w:firstRow="1" w:lastColumn="0" w:lastRow="0" w:noHBand="0" w:noVBand="1" w:val="04A0"/>
      </w:tblPr>
      <w:tblGrid>
        <w:gridCol w:w="5040"/>
        <w:gridCol w:w="5040"/>
      </w:tblGrid>
      <w:tr>
        <w:trPr>
          <w:tblHeader w:val="true"/>
        </w:trPr>
        <w:tc>
          <w:tcPr>
            <w:tcW w:type="dxa" w:w="3240"/>
            <w:shd w:fill="1F4E79"/>
          </w:tcPr>
          <w:p>
            <w:r/>
            <w:r>
              <w:rPr>
                <w:b/>
                <w:color w:val="FFFFFF"/>
              </w:rPr>
              <w:t>Field</w:t>
            </w:r>
          </w:p>
        </w:tc>
        <w:tc>
          <w:tcPr>
            <w:tcW w:type="dxa" w:w="6840"/>
            <w:shd w:fill="1F4E79"/>
          </w:tcPr>
          <w:p>
            <w:r/>
            <w:r>
              <w:rPr>
                <w:b/>
                <w:color w:val="FFFFFF"/>
              </w:rPr>
              <w:t>Value</w:t>
            </w:r>
          </w:p>
        </w:tc>
      </w:tr>
      <w:tr>
        <w:tc>
          <w:tcPr>
            <w:tcW w:type="dxa" w:w="3240"/>
            <w:vAlign w:val="top"/>
          </w:tcPr>
          <w:p>
            <w:pPr>
              <w:spacing w:after="0"/>
            </w:pPr>
            <w:r>
              <w:t>Track B reference ligand</w:t>
            </w:r>
          </w:p>
        </w:tc>
        <w:tc>
          <w:tcPr>
            <w:tcW w:type="dxa" w:w="6840"/>
            <w:vAlign w:val="top"/>
          </w:tcPr>
          <w:p>
            <w:pPr>
              <w:spacing w:after="0"/>
            </w:pPr>
            <w:r>
              <w:t>1h1q (experimental ΔG -8.179 kcal/mol)</w:t>
            </w:r>
          </w:p>
        </w:tc>
      </w:tr>
      <w:tr>
        <w:tc>
          <w:tcPr>
            <w:tcW w:type="dxa" w:w="3240"/>
            <w:vAlign w:val="top"/>
          </w:tcPr>
          <w:p>
            <w:pPr>
              <w:spacing w:after="0"/>
            </w:pPr>
            <w:r>
              <w:t>Ligands with predictions</w:t>
            </w:r>
          </w:p>
        </w:tc>
        <w:tc>
          <w:tcPr>
            <w:tcW w:type="dxa" w:w="6840"/>
            <w:vAlign w:val="top"/>
          </w:tcPr>
          <w:p>
            <w:pPr>
              <w:spacing w:after="0"/>
            </w:pPr>
            <w:r>
              <w:t>16</w:t>
            </w:r>
          </w:p>
        </w:tc>
      </w:tr>
      <w:tr>
        <w:tc>
          <w:tcPr>
            <w:tcW w:type="dxa" w:w="3240"/>
            <w:vAlign w:val="top"/>
          </w:tcPr>
          <w:p>
            <w:pPr>
              <w:spacing w:after="0"/>
            </w:pPr>
            <w:r>
              <w:t>RMSE</w:t>
            </w:r>
          </w:p>
        </w:tc>
        <w:tc>
          <w:tcPr>
            <w:tcW w:type="dxa" w:w="6840"/>
            <w:vAlign w:val="top"/>
          </w:tcPr>
          <w:p>
            <w:pPr>
              <w:spacing w:after="0"/>
            </w:pPr>
            <w:r>
              <w:t>0.660 kcal/mol</w:t>
            </w:r>
          </w:p>
        </w:tc>
      </w:tr>
      <w:tr>
        <w:tc>
          <w:tcPr>
            <w:tcW w:type="dxa" w:w="3240"/>
            <w:vAlign w:val="top"/>
          </w:tcPr>
          <w:p>
            <w:pPr>
              <w:spacing w:after="0"/>
            </w:pPr>
            <w:r>
              <w:t>MAE</w:t>
            </w:r>
          </w:p>
        </w:tc>
        <w:tc>
          <w:tcPr>
            <w:tcW w:type="dxa" w:w="6840"/>
            <w:vAlign w:val="top"/>
          </w:tcPr>
          <w:p>
            <w:pPr>
              <w:spacing w:after="0"/>
            </w:pPr>
            <w:r>
              <w:t>0.518 kcal/mol</w:t>
            </w:r>
          </w:p>
        </w:tc>
      </w:tr>
      <w:tr>
        <w:tc>
          <w:tcPr>
            <w:tcW w:type="dxa" w:w="3240"/>
            <w:vAlign w:val="top"/>
          </w:tcPr>
          <w:p>
            <w:pPr>
              <w:spacing w:after="0"/>
            </w:pPr>
            <w:r>
              <w:t>Mean signed error</w:t>
            </w:r>
          </w:p>
        </w:tc>
        <w:tc>
          <w:tcPr>
            <w:tcW w:type="dxa" w:w="6840"/>
            <w:vAlign w:val="top"/>
          </w:tcPr>
          <w:p>
            <w:pPr>
              <w:spacing w:after="0"/>
            </w:pPr>
            <w:r>
              <w:t>-0.243 kcal/mol</w:t>
            </w:r>
          </w:p>
        </w:tc>
      </w:tr>
      <w:tr>
        <w:tc>
          <w:tcPr>
            <w:tcW w:type="dxa" w:w="3240"/>
            <w:vAlign w:val="top"/>
          </w:tcPr>
          <w:p>
            <w:pPr>
              <w:spacing w:after="0"/>
            </w:pPr>
            <w:r>
              <w:t>Pearson r / R²</w:t>
            </w:r>
          </w:p>
        </w:tc>
        <w:tc>
          <w:tcPr>
            <w:tcW w:type="dxa" w:w="6840"/>
            <w:vAlign w:val="top"/>
          </w:tcPr>
          <w:p>
            <w:pPr>
              <w:spacing w:after="0"/>
            </w:pPr>
            <w:r>
              <w:t>0.898 / 0.807</w:t>
            </w:r>
          </w:p>
        </w:tc>
      </w:tr>
      <w:tr>
        <w:tc>
          <w:tcPr>
            <w:tcW w:type="dxa" w:w="3240"/>
            <w:vAlign w:val="top"/>
          </w:tcPr>
          <w:p>
            <w:pPr>
              <w:spacing w:after="0"/>
            </w:pPr>
            <w:r>
              <w:t>Spearman ρ / Kendall τ</w:t>
            </w:r>
          </w:p>
        </w:tc>
        <w:tc>
          <w:tcPr>
            <w:tcW w:type="dxa" w:w="6840"/>
            <w:vAlign w:val="top"/>
          </w:tcPr>
          <w:p>
            <w:pPr>
              <w:spacing w:after="0"/>
            </w:pPr>
            <w:r>
              <w:t>0.869 / 0.712</w:t>
            </w:r>
          </w:p>
        </w:tc>
      </w:tr>
    </w:tbl>
    <w:p>
      <w:pPr>
        <w:pStyle w:val="Heading1"/>
      </w:pPr>
      <w:r>
        <w:t>2. OSLab Platform Creation and Operating Model</w:t>
      </w:r>
    </w:p>
    <w:p>
      <w:pPr>
        <w:pStyle w:val="Heading2"/>
      </w:pPr>
      <w:r>
        <w:t>2.1 Development model</w:t>
      </w:r>
    </w:p>
    <w:p>
      <w:r>
        <w:t>OSLab was developed as a prompt-driven, open-source replacement-style workflow for common Schrödinger-like early discovery tasks, while retaining transparent file outputs and reproducible command-line execution. The user supplied the scientific requirements, software preferences, validation targets, and interface feedback; an AI coding assistant iteratively implemented, debugged, and hardened the Python package, dashboard, scripts, installers, and report-generation utilities. The project metadata records Hyung L. Kim as creator and Apache-2.0 as the license.</w:t>
      </w:r>
    </w:p>
    <w:p>
      <w:r>
        <w:t>The AI system was used as a software engineering and workflow-assistance layer rather than as a scoring function. It helped write Python source, shell scripts, dashboard controls, progress monitors, and report generators. The molecular scores reported here come from deterministic scientific software such as AutoDock Vina, PLIP, OpenMM, ProLIF/MM-GBSA routines, and OpenFE/OpenMM RBFE calculations. Human decisions defined the benchmark target, input datasets, docking box, run scale, and interpretation boundaries.</w:t>
      </w:r>
    </w:p>
    <w:p>
      <w:r>
        <w:t>During long runs, the AI assistant inspected JSON progress files, terminal logs, and output tables, and could propose or apply repairs when a software failure was operational rather than scientific. User instructions required that changes affecting scientific integrity, ligand sets, target structures, binding-site definitions, or completed outputs be escalated for human decision rather than silently changed.</w:t>
      </w:r>
    </w:p>
    <w:tbl>
      <w:tblPr>
        <w:tblStyle w:val="LightList-Accent1"/>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tcPr>
          <w:p>
            <w:r/>
            <w:r>
              <w:rPr>
                <w:b/>
                <w:color w:val="FFFFFF"/>
              </w:rPr>
              <w:t>Layer</w:t>
            </w:r>
          </w:p>
        </w:tc>
        <w:tc>
          <w:tcPr>
            <w:tcW w:type="dxa" w:w="3360"/>
            <w:shd w:fill="1F4E79"/>
          </w:tcPr>
          <w:p>
            <w:r/>
            <w:r>
              <w:rPr>
                <w:b/>
                <w:color w:val="FFFFFF"/>
              </w:rPr>
              <w:t>Implementation</w:t>
            </w:r>
          </w:p>
        </w:tc>
        <w:tc>
          <w:tcPr>
            <w:tcW w:type="dxa" w:w="3360"/>
            <w:shd w:fill="1F4E79"/>
          </w:tcPr>
          <w:p>
            <w:r/>
            <w:r>
              <w:rPr>
                <w:b/>
                <w:color w:val="FFFFFF"/>
              </w:rPr>
              <w:t>Role in reproducibility</w:t>
            </w:r>
          </w:p>
        </w:tc>
      </w:tr>
      <w:tr>
        <w:tc>
          <w:tcPr>
            <w:tcW w:type="dxa" w:w="3360"/>
            <w:vAlign w:val="top"/>
          </w:tcPr>
          <w:p>
            <w:pPr>
              <w:spacing w:after="0"/>
            </w:pPr>
            <w:r>
              <w:t>Package and CLI</w:t>
            </w:r>
          </w:p>
        </w:tc>
        <w:tc>
          <w:tcPr>
            <w:tcW w:type="dxa" w:w="3360"/>
            <w:vAlign w:val="top"/>
          </w:tcPr>
          <w:p>
            <w:pPr>
              <w:spacing w:after="0"/>
            </w:pPr>
            <w:r>
              <w:t>`open-structure-lab` Python package, entry point `oslab`</w:t>
            </w:r>
          </w:p>
        </w:tc>
        <w:tc>
          <w:tcPr>
            <w:tcW w:type="dxa" w:w="3360"/>
            <w:vAlign w:val="top"/>
          </w:tcPr>
          <w:p>
            <w:pPr>
              <w:spacing w:after="0"/>
            </w:pPr>
            <w:r>
              <w:t>Defines deterministic subcommands for structures, protein prep, docking, hit refinement, MD/optimization, FEP, validation, dashboard, and HPC export.</w:t>
            </w:r>
          </w:p>
        </w:tc>
      </w:tr>
      <w:tr>
        <w:tc>
          <w:tcPr>
            <w:tcW w:type="dxa" w:w="3360"/>
            <w:vAlign w:val="top"/>
          </w:tcPr>
          <w:p>
            <w:pPr>
              <w:spacing w:after="0"/>
            </w:pPr>
            <w:r>
              <w:t>Dashboard</w:t>
            </w:r>
          </w:p>
        </w:tc>
        <w:tc>
          <w:tcPr>
            <w:tcW w:type="dxa" w:w="3360"/>
            <w:vAlign w:val="top"/>
          </w:tcPr>
          <w:p>
            <w:pPr>
              <w:spacing w:after="0"/>
            </w:pPr>
            <w:r>
              <w:t>Python HTTP server (`oslab dashboard`) serving HTML/JavaScript UI</w:t>
            </w:r>
          </w:p>
        </w:tc>
        <w:tc>
          <w:tcPr>
            <w:tcW w:type="dxa" w:w="3360"/>
            <w:vAlign w:val="top"/>
          </w:tcPr>
          <w:p>
            <w:pPr>
              <w:spacing w:after="0"/>
            </w:pPr>
            <w:r>
              <w:t>Collects inputs, launches terminal wizards, displays progress from JSON files, previews structures/reports, and packages results.</w:t>
            </w:r>
          </w:p>
        </w:tc>
      </w:tr>
      <w:tr>
        <w:tc>
          <w:tcPr>
            <w:tcW w:type="dxa" w:w="3360"/>
            <w:vAlign w:val="top"/>
          </w:tcPr>
          <w:p>
            <w:pPr>
              <w:spacing w:after="0"/>
            </w:pPr>
            <w:r>
              <w:t>Terminal scripts</w:t>
            </w:r>
          </w:p>
        </w:tc>
        <w:tc>
          <w:tcPr>
            <w:tcW w:type="dxa" w:w="3360"/>
            <w:vAlign w:val="top"/>
          </w:tcPr>
          <w:p>
            <w:pPr>
              <w:spacing w:after="0"/>
            </w:pPr>
            <w:r>
              <w:t>Generated Bash and Python scripts under OSLab root</w:t>
            </w:r>
          </w:p>
        </w:tc>
        <w:tc>
          <w:tcPr>
            <w:tcW w:type="dxa" w:w="3360"/>
            <w:vAlign w:val="top"/>
          </w:tcPr>
          <w:p>
            <w:pPr>
              <w:spacing w:after="0"/>
            </w:pPr>
            <w:r>
              <w:t>Run independently of the dashboard; create progress JSON, logs, report Markdown, CSV, JSON, SDF/PDB/PDBQT/DCD/NetCDF outputs.</w:t>
            </w:r>
          </w:p>
        </w:tc>
      </w:tr>
      <w:tr>
        <w:tc>
          <w:tcPr>
            <w:tcW w:type="dxa" w:w="3360"/>
            <w:vAlign w:val="top"/>
          </w:tcPr>
          <w:p>
            <w:pPr>
              <w:spacing w:after="0"/>
            </w:pPr>
            <w:r>
              <w:t>Script generator</w:t>
            </w:r>
          </w:p>
        </w:tc>
        <w:tc>
          <w:tcPr>
            <w:tcW w:type="dxa" w:w="3360"/>
            <w:vAlign w:val="top"/>
          </w:tcPr>
          <w:p>
            <w:pPr>
              <w:spacing w:after="0"/>
            </w:pPr>
            <w:r>
              <w:t>Dashboard form that emits executable scripts and AI handoff prompts</w:t>
            </w:r>
          </w:p>
        </w:tc>
        <w:tc>
          <w:tcPr>
            <w:tcW w:type="dxa" w:w="3360"/>
            <w:vAlign w:val="top"/>
          </w:tcPr>
          <w:p>
            <w:pPr>
              <w:spacing w:after="0"/>
            </w:pPr>
            <w:r>
              <w:t>Captures defaults, target selection, binding-site method, ligand source, worker counts, GPU settings, and output conventions.</w:t>
            </w:r>
          </w:p>
        </w:tc>
      </w:tr>
      <w:tr>
        <w:tc>
          <w:tcPr>
            <w:tcW w:type="dxa" w:w="3360"/>
            <w:vAlign w:val="top"/>
          </w:tcPr>
          <w:p>
            <w:pPr>
              <w:spacing w:after="0"/>
            </w:pPr>
            <w:r>
              <w:t>AI-in-the-middle</w:t>
            </w:r>
          </w:p>
        </w:tc>
        <w:tc>
          <w:tcPr>
            <w:tcW w:type="dxa" w:w="3360"/>
            <w:vAlign w:val="top"/>
          </w:tcPr>
          <w:p>
            <w:pPr>
              <w:spacing w:after="0"/>
            </w:pPr>
            <w:r>
              <w:t>Codex/OpenClaw chat plus terminal access when authorized</w:t>
            </w:r>
          </w:p>
        </w:tc>
        <w:tc>
          <w:tcPr>
            <w:tcW w:type="dxa" w:w="3360"/>
            <w:vAlign w:val="top"/>
          </w:tcPr>
          <w:p>
            <w:pPr>
              <w:spacing w:after="0"/>
            </w:pPr>
            <w:r>
              <w:t>Can run scripts, monitor progress, summarize results, and draft methods; it does not replace chemistry engines or alter scientific inputs without permission.</w:t>
            </w:r>
          </w:p>
        </w:tc>
      </w:tr>
      <w:tr>
        <w:tc>
          <w:tcPr>
            <w:tcW w:type="dxa" w:w="3360"/>
            <w:vAlign w:val="top"/>
          </w:tcPr>
          <w:p>
            <w:pPr>
              <w:spacing w:after="0"/>
            </w:pPr>
            <w:r>
              <w:t>Data layout</w:t>
            </w:r>
          </w:p>
        </w:tc>
        <w:tc>
          <w:tcPr>
            <w:tcW w:type="dxa" w:w="3360"/>
            <w:vAlign w:val="top"/>
          </w:tcPr>
          <w:p>
            <w:pPr>
              <w:spacing w:after="0"/>
            </w:pPr>
            <w:r>
              <w:t>`$OSLAB_ROOT/runs`, `$OSLAB_ROOT/reports`, `$OSLAB_ROOT/logs`, `$OSLAB_ROOT/data-cache`, and user-scoped directories where enabled</w:t>
            </w:r>
          </w:p>
        </w:tc>
        <w:tc>
          <w:tcPr>
            <w:tcW w:type="dxa" w:w="3360"/>
            <w:vAlign w:val="top"/>
          </w:tcPr>
          <w:p>
            <w:pPr>
              <w:spacing w:after="0"/>
            </w:pPr>
            <w:r>
              <w:t>Separates durable results from source code; dashboard discovers completed work by scanning standardized progress/report paths.</w:t>
            </w:r>
          </w:p>
        </w:tc>
      </w:tr>
    </w:tbl>
    <w:p>
      <w:pPr>
        <w:pStyle w:val="Heading2"/>
      </w:pPr>
      <w:r>
        <w:t>2.2 User input and output flow</w:t>
      </w:r>
    </w:p>
    <w:p>
      <w:r>
        <w:t>OSLab supports three input modes. First, a manual dashboard workflow lets the user select a target, structure source, binding-site method, ligand library, and block-specific settings through web forms. Second, terminal wizards ask concise numbered questions and write each answer to progress JSON files that are mirrored in the dashboard. Third, the script generator collects all four block settings and writes a reproducible Bash script that can be pasted into Codex or run directly on a workstation, Lambda server, AWS server, or HPC node.</w:t>
      </w:r>
    </w:p>
    <w:p>
      <w:r>
        <w:t>Outputs are intentionally redundant. Each block writes machine-readable JSON progress, tabular CSV/TSV summaries, human-readable Markdown reports, and the scientific files required to reproduce or inspect the run. Docking produces Vina run JSON, docked PDBQT poses, and summary tables. Hit refinement produces per-seed Vina outputs, per-ligand seed aggregation, composite rankings, and PLIP interaction summaries. MD/optimization produces prepared systems, trajectories, RMSD files, ProLIF interaction records, MM/GBSA frame records, and a ranked report. FEP produces OpenFE input SDF/PDB/YAML files, network files, transformation JSON files, quickrun logs, NetCDF/checkpoint work outputs, gathered ΔΔG tables, and a final FEP report.</w:t>
      </w:r>
    </w:p>
    <w:p>
      <w:r>
        <w:t>Progress reporting is file-based rather than browser-state-based. Long-running jobs can continue when the dashboard is restarted because the active process writes progress JSON and logs under the OSLab root. The dashboard polls these files and updates progress bars, current ligand/edge counters, live event logs, and report links.</w:t>
      </w:r>
    </w:p>
    <w:p>
      <w:pPr>
        <w:jc w:val="center"/>
      </w:pPr>
      <w:r>
        <w:drawing>
          <wp:inline xmlns:a="http://schemas.openxmlformats.org/drawingml/2006/main" xmlns:pic="http://schemas.openxmlformats.org/drawingml/2006/picture">
            <wp:extent cx="6217920" cy="2176272"/>
            <wp:docPr id="1" name="Picture 1"/>
            <wp:cNvGraphicFramePr>
              <a:graphicFrameLocks noChangeAspect="1"/>
            </wp:cNvGraphicFramePr>
            <a:graphic>
              <a:graphicData uri="http://schemas.openxmlformats.org/drawingml/2006/picture">
                <pic:pic>
                  <pic:nvPicPr>
                    <pic:cNvPr id="0" name="publication_workflow_diagram.png"/>
                    <pic:cNvPicPr/>
                  </pic:nvPicPr>
                  <pic:blipFill>
                    <a:blip r:embed="rId11"/>
                    <a:stretch>
                      <a:fillRect/>
                    </a:stretch>
                  </pic:blipFill>
                  <pic:spPr>
                    <a:xfrm>
                      <a:off x="0" y="0"/>
                      <a:ext cx="6217920" cy="2176272"/>
                    </a:xfrm>
                    <a:prstGeom prst="rect"/>
                  </pic:spPr>
                </pic:pic>
              </a:graphicData>
            </a:graphic>
          </wp:inline>
        </w:drawing>
      </w:r>
    </w:p>
    <w:p>
      <w:pPr>
        <w:pStyle w:val="Caption"/>
        <w:jc w:val="left"/>
      </w:pPr>
      <w:r>
        <w:rPr>
          <w:b/>
        </w:rPr>
        <w:t xml:space="preserve">Figure 1. </w:t>
      </w:r>
      <w:r>
        <w:t>OSLab computational workflow and information flow. The figure summarizes the four major OSLab blocks used in this benchmark: docking, hit refinement, MD/MM-GBSA optimization, and FEP. User choices are collected either in the dashboard, terminal wizard, or script generator, then converted into deterministic command-line calls. Each block writes machine-readable progress JSON and analysis artifacts under the OSLab root, allowing the dashboard and AI assistant to monitor the run without controlling the scientific calculations. The figure should be interpreted as a software architecture diagram rather than a performance result.</w:t>
      </w:r>
    </w:p>
    <w:p>
      <w:pPr>
        <w:pStyle w:val="Heading1"/>
      </w:pPr>
      <w:r>
        <w:t>3. Software Stack, Compute Environment, and Data Provenance</w:t>
      </w:r>
    </w:p>
    <w:tbl>
      <w:tblPr>
        <w:tblStyle w:val="LightList-Accent1"/>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tcPr>
          <w:p>
            <w:r/>
            <w:r>
              <w:rPr>
                <w:b/>
                <w:color w:val="FFFFFF"/>
              </w:rPr>
              <w:t>Workflow component</w:t>
            </w:r>
          </w:p>
        </w:tc>
        <w:tc>
          <w:tcPr>
            <w:tcW w:type="dxa" w:w="3360"/>
            <w:shd w:fill="1F4E79"/>
          </w:tcPr>
          <w:p>
            <w:r/>
            <w:r>
              <w:rPr>
                <w:b/>
                <w:color w:val="FFFFFF"/>
              </w:rPr>
              <w:t>Primary open-source software</w:t>
            </w:r>
          </w:p>
        </w:tc>
        <w:tc>
          <w:tcPr>
            <w:tcW w:type="dxa" w:w="3360"/>
            <w:shd w:fill="1F4E79"/>
          </w:tcPr>
          <w:p>
            <w:r/>
            <w:r>
              <w:rPr>
                <w:b/>
                <w:color w:val="FFFFFF"/>
              </w:rPr>
              <w:t>Function in OSLab</w:t>
            </w:r>
          </w:p>
        </w:tc>
      </w:tr>
      <w:tr>
        <w:tc>
          <w:tcPr>
            <w:tcW w:type="dxa" w:w="3360"/>
            <w:vAlign w:val="top"/>
          </w:tcPr>
          <w:p>
            <w:pPr>
              <w:spacing w:after="0"/>
            </w:pPr>
            <w:r>
              <w:t>Protein and receptor preparation</w:t>
            </w:r>
          </w:p>
        </w:tc>
        <w:tc>
          <w:tcPr>
            <w:tcW w:type="dxa" w:w="3360"/>
            <w:vAlign w:val="top"/>
          </w:tcPr>
          <w:p>
            <w:pPr>
              <w:spacing w:after="0"/>
            </w:pPr>
            <w:r>
              <w:t>PDBFixer, OpenMM, Meeko</w:t>
            </w:r>
          </w:p>
        </w:tc>
        <w:tc>
          <w:tcPr>
            <w:tcW w:type="dxa" w:w="3360"/>
            <w:vAlign w:val="top"/>
          </w:tcPr>
          <w:p>
            <w:pPr>
              <w:spacing w:after="0"/>
            </w:pPr>
            <w:r>
              <w:t>Standardize PDB structures, add missing atoms/hydrogens where requested, remove waters/heterogens as configured, and create Vina receptor PDBQT files.</w:t>
            </w:r>
          </w:p>
        </w:tc>
      </w:tr>
      <w:tr>
        <w:tc>
          <w:tcPr>
            <w:tcW w:type="dxa" w:w="3360"/>
            <w:vAlign w:val="top"/>
          </w:tcPr>
          <w:p>
            <w:pPr>
              <w:spacing w:after="0"/>
            </w:pPr>
            <w:r>
              <w:t>Binding-site definition</w:t>
            </w:r>
          </w:p>
        </w:tc>
        <w:tc>
          <w:tcPr>
            <w:tcW w:type="dxa" w:w="3360"/>
            <w:vAlign w:val="top"/>
          </w:tcPr>
          <w:p>
            <w:pPr>
              <w:spacing w:after="0"/>
            </w:pPr>
            <w:r>
              <w:t>OSLab binding-site utilities; fpocket available but not used for this CDK2 run</w:t>
            </w:r>
          </w:p>
        </w:tc>
        <w:tc>
          <w:tcPr>
            <w:tcW w:type="dxa" w:w="3360"/>
            <w:vAlign w:val="top"/>
          </w:tcPr>
          <w:p>
            <w:pPr>
              <w:spacing w:after="0"/>
            </w:pPr>
            <w:r>
              <w:t>Create fixed ligand-centered boxes, residue-centroid boxes, known-ligand boxes, or fpocket-derived pocket boxes.</w:t>
            </w:r>
          </w:p>
        </w:tc>
      </w:tr>
      <w:tr>
        <w:tc>
          <w:tcPr>
            <w:tcW w:type="dxa" w:w="3360"/>
            <w:vAlign w:val="top"/>
          </w:tcPr>
          <w:p>
            <w:pPr>
              <w:spacing w:after="0"/>
            </w:pPr>
            <w:r>
              <w:t>Ligand handling</w:t>
            </w:r>
          </w:p>
        </w:tc>
        <w:tc>
          <w:tcPr>
            <w:tcW w:type="dxa" w:w="3360"/>
            <w:vAlign w:val="top"/>
          </w:tcPr>
          <w:p>
            <w:pPr>
              <w:spacing w:after="0"/>
            </w:pPr>
            <w:r>
              <w:t>RDKit, Meeko, Open Babel as available; pre-prepared PDBQT supported</w:t>
            </w:r>
          </w:p>
        </w:tc>
        <w:tc>
          <w:tcPr>
            <w:tcW w:type="dxa" w:w="3360"/>
            <w:vAlign w:val="top"/>
          </w:tcPr>
          <w:p>
            <w:pPr>
              <w:spacing w:after="0"/>
            </w:pPr>
            <w:r>
              <w:t>Inspect, filter, prepare, and catalog ligand libraries. CDK2 run reused transferred prepared PDBQT ligands.</w:t>
            </w:r>
          </w:p>
        </w:tc>
      </w:tr>
      <w:tr>
        <w:tc>
          <w:tcPr>
            <w:tcW w:type="dxa" w:w="3360"/>
            <w:vAlign w:val="top"/>
          </w:tcPr>
          <w:p>
            <w:pPr>
              <w:spacing w:after="0"/>
            </w:pPr>
            <w:r>
              <w:t>Docking</w:t>
            </w:r>
          </w:p>
        </w:tc>
        <w:tc>
          <w:tcPr>
            <w:tcW w:type="dxa" w:w="3360"/>
            <w:vAlign w:val="top"/>
          </w:tcPr>
          <w:p>
            <w:pPr>
              <w:spacing w:after="0"/>
            </w:pPr>
            <w:r>
              <w:t>AutoDock Vina</w:t>
            </w:r>
          </w:p>
        </w:tc>
        <w:tc>
          <w:tcPr>
            <w:tcW w:type="dxa" w:w="3360"/>
            <w:vAlign w:val="top"/>
          </w:tcPr>
          <w:p>
            <w:pPr>
              <w:spacing w:after="0"/>
            </w:pPr>
            <w:r>
              <w:t>Score and pose each ligand in the selected binding box.</w:t>
            </w:r>
          </w:p>
        </w:tc>
      </w:tr>
      <w:tr>
        <w:tc>
          <w:tcPr>
            <w:tcW w:type="dxa" w:w="3360"/>
            <w:vAlign w:val="top"/>
          </w:tcPr>
          <w:p>
            <w:pPr>
              <w:spacing w:after="0"/>
            </w:pPr>
            <w:r>
              <w:t>Interaction analysis</w:t>
            </w:r>
          </w:p>
        </w:tc>
        <w:tc>
          <w:tcPr>
            <w:tcW w:type="dxa" w:w="3360"/>
            <w:vAlign w:val="top"/>
          </w:tcPr>
          <w:p>
            <w:pPr>
              <w:spacing w:after="0"/>
            </w:pPr>
            <w:r>
              <w:t>PLIP 2.2.2 for docked/refined poses; ProLIF for MD trajectories</w:t>
            </w:r>
          </w:p>
        </w:tc>
        <w:tc>
          <w:tcPr>
            <w:tcW w:type="dxa" w:w="3360"/>
            <w:vAlign w:val="top"/>
          </w:tcPr>
          <w:p>
            <w:pPr>
              <w:spacing w:after="0"/>
            </w:pPr>
            <w:r>
              <w:t>Identify protein-ligand contacts and summarize interaction patterns.</w:t>
            </w:r>
          </w:p>
        </w:tc>
      </w:tr>
      <w:tr>
        <w:tc>
          <w:tcPr>
            <w:tcW w:type="dxa" w:w="3360"/>
            <w:vAlign w:val="top"/>
          </w:tcPr>
          <w:p>
            <w:pPr>
              <w:spacing w:after="0"/>
            </w:pPr>
            <w:r>
              <w:t>MD and MM/GBSA</w:t>
            </w:r>
          </w:p>
        </w:tc>
        <w:tc>
          <w:tcPr>
            <w:tcW w:type="dxa" w:w="3360"/>
            <w:vAlign w:val="top"/>
          </w:tcPr>
          <w:p>
            <w:pPr>
              <w:spacing w:after="0"/>
            </w:pPr>
            <w:r>
              <w:t>OpenMM, OpenFF/SMIRNOFF, MDAnalysis/ProLIF, OSLab MM/GBSA routines</w:t>
            </w:r>
          </w:p>
        </w:tc>
        <w:tc>
          <w:tcPr>
            <w:tcW w:type="dxa" w:w="3360"/>
            <w:vAlign w:val="top"/>
          </w:tcPr>
          <w:p>
            <w:pPr>
              <w:spacing w:after="0"/>
            </w:pPr>
            <w:r>
              <w:t>Prepare solvated systems, run minimization/equilibration/production MD, analyze stability and estimate relative rank by MM/GBSA.</w:t>
            </w:r>
          </w:p>
        </w:tc>
      </w:tr>
      <w:tr>
        <w:tc>
          <w:tcPr>
            <w:tcW w:type="dxa" w:w="3360"/>
            <w:vAlign w:val="top"/>
          </w:tcPr>
          <w:p>
            <w:pPr>
              <w:spacing w:after="0"/>
            </w:pPr>
            <w:r>
              <w:t>Relative binding free energy</w:t>
            </w:r>
          </w:p>
        </w:tc>
        <w:tc>
          <w:tcPr>
            <w:tcW w:type="dxa" w:w="3360"/>
            <w:vAlign w:val="top"/>
          </w:tcPr>
          <w:p>
            <w:pPr>
              <w:spacing w:after="0"/>
            </w:pPr>
            <w:r>
              <w:t>OpenFE 1.11.0, OpenMM, OpenFF Toolkit, KartografAtomMapper</w:t>
            </w:r>
          </w:p>
        </w:tc>
        <w:tc>
          <w:tcPr>
            <w:tcW w:type="dxa" w:w="3360"/>
            <w:vAlign w:val="top"/>
          </w:tcPr>
          <w:p>
            <w:pPr>
              <w:spacing w:after="0"/>
            </w:pPr>
            <w:r>
              <w:t>Plan ligand perturbation networks, run complex and solvent alchemical transformations, gather ΔΔG estimates.</w:t>
            </w:r>
          </w:p>
        </w:tc>
      </w:tr>
      <w:tr>
        <w:tc>
          <w:tcPr>
            <w:tcW w:type="dxa" w:w="3360"/>
            <w:vAlign w:val="top"/>
          </w:tcPr>
          <w:p>
            <w:pPr>
              <w:spacing w:after="0"/>
            </w:pPr>
            <w:r>
              <w:t>User interface/reporting</w:t>
            </w:r>
          </w:p>
        </w:tc>
        <w:tc>
          <w:tcPr>
            <w:tcW w:type="dxa" w:w="3360"/>
            <w:vAlign w:val="top"/>
          </w:tcPr>
          <w:p>
            <w:pPr>
              <w:spacing w:after="0"/>
            </w:pPr>
            <w:r>
              <w:t>Python HTTP server, JavaScript dashboard, python-docx/report utilities</w:t>
            </w:r>
          </w:p>
        </w:tc>
        <w:tc>
          <w:tcPr>
            <w:tcW w:type="dxa" w:w="3360"/>
            <w:vAlign w:val="top"/>
          </w:tcPr>
          <w:p>
            <w:pPr>
              <w:spacing w:after="0"/>
            </w:pPr>
            <w:r>
              <w:t>Collect inputs, monitor JSON logs, render tables/figures, package final results.</w:t>
            </w:r>
          </w:p>
        </w:tc>
      </w:tr>
    </w:tbl>
    <w:tbl>
      <w:tblPr>
        <w:tblStyle w:val="LightList-Accent1"/>
        <w:tblW w:type="auto" w:w="0"/>
        <w:jc w:val="center"/>
        <w:tblLook w:firstColumn="1" w:firstRow="1" w:lastColumn="0" w:lastRow="0" w:noHBand="0" w:noVBand="1" w:val="04A0"/>
      </w:tblPr>
      <w:tblGrid>
        <w:gridCol w:w="5040"/>
        <w:gridCol w:w="5040"/>
      </w:tblGrid>
      <w:tr>
        <w:trPr>
          <w:tblHeader w:val="true"/>
        </w:trPr>
        <w:tc>
          <w:tcPr>
            <w:tcW w:type="dxa" w:w="3240"/>
            <w:shd w:fill="1F4E79"/>
          </w:tcPr>
          <w:p>
            <w:r/>
            <w:r>
              <w:rPr>
                <w:b/>
                <w:color w:val="FFFFFF"/>
              </w:rPr>
              <w:t>Field</w:t>
            </w:r>
          </w:p>
        </w:tc>
        <w:tc>
          <w:tcPr>
            <w:tcW w:type="dxa" w:w="6840"/>
            <w:shd w:fill="1F4E79"/>
          </w:tcPr>
          <w:p>
            <w:r/>
            <w:r>
              <w:rPr>
                <w:b/>
                <w:color w:val="FFFFFF"/>
              </w:rPr>
              <w:t>Value</w:t>
            </w:r>
          </w:p>
        </w:tc>
      </w:tr>
      <w:tr>
        <w:tc>
          <w:tcPr>
            <w:tcW w:type="dxa" w:w="3240"/>
            <w:vAlign w:val="top"/>
          </w:tcPr>
          <w:p>
            <w:pPr>
              <w:spacing w:after="0"/>
            </w:pPr>
            <w:r>
              <w:t>Execution system</w:t>
            </w:r>
          </w:p>
        </w:tc>
        <w:tc>
          <w:tcPr>
            <w:tcW w:type="dxa" w:w="6840"/>
            <w:vAlign w:val="top"/>
          </w:tcPr>
          <w:p>
            <w:pPr>
              <w:spacing w:after="0"/>
            </w:pPr>
            <w:r>
              <w:t>Lambda GPU server used for the KimLab CDK2 benchmark</w:t>
            </w:r>
          </w:p>
        </w:tc>
      </w:tr>
      <w:tr>
        <w:tc>
          <w:tcPr>
            <w:tcW w:type="dxa" w:w="3240"/>
            <w:vAlign w:val="top"/>
          </w:tcPr>
          <w:p>
            <w:pPr>
              <w:spacing w:after="0"/>
            </w:pPr>
            <w:r>
              <w:t>Advertised hardware</w:t>
            </w:r>
          </w:p>
        </w:tc>
        <w:tc>
          <w:tcPr>
            <w:tcW w:type="dxa" w:w="6840"/>
            <w:vAlign w:val="top"/>
          </w:tcPr>
          <w:p>
            <w:pPr>
              <w:spacing w:after="0"/>
            </w:pPr>
            <w:r>
              <w:t>8 NVIDIA A100 SXM 40 GB GPUs, 124 vCPUs, 1800 GiB RAM, 5.8 TiB SSD</w:t>
            </w:r>
          </w:p>
        </w:tc>
      </w:tr>
      <w:tr>
        <w:tc>
          <w:tcPr>
            <w:tcW w:type="dxa" w:w="3240"/>
            <w:vAlign w:val="top"/>
          </w:tcPr>
          <w:p>
            <w:pPr>
              <w:spacing w:after="0"/>
            </w:pPr>
            <w:r>
              <w:t>OSLab installation path</w:t>
            </w:r>
          </w:p>
        </w:tc>
        <w:tc>
          <w:tcPr>
            <w:tcW w:type="dxa" w:w="6840"/>
            <w:vAlign w:val="top"/>
          </w:tcPr>
          <w:p>
            <w:pPr>
              <w:spacing w:after="0"/>
            </w:pPr>
            <w:r>
              <w:t>/opt/oslab/current</w:t>
            </w:r>
          </w:p>
        </w:tc>
      </w:tr>
      <w:tr>
        <w:tc>
          <w:tcPr>
            <w:tcW w:type="dxa" w:w="3240"/>
            <w:vAlign w:val="top"/>
          </w:tcPr>
          <w:p>
            <w:pPr>
              <w:spacing w:after="0"/>
            </w:pPr>
            <w:r>
              <w:t>OSLab working root</w:t>
            </w:r>
          </w:p>
        </w:tc>
        <w:tc>
          <w:tcPr>
            <w:tcW w:type="dxa" w:w="6840"/>
            <w:vAlign w:val="top"/>
          </w:tcPr>
          <w:p>
            <w:pPr>
              <w:spacing w:after="0"/>
            </w:pPr>
            <w:r>
              <w:t>/data/oslab</w:t>
            </w:r>
          </w:p>
        </w:tc>
      </w:tr>
      <w:tr>
        <w:tc>
          <w:tcPr>
            <w:tcW w:type="dxa" w:w="3240"/>
            <w:vAlign w:val="top"/>
          </w:tcPr>
          <w:p>
            <w:pPr>
              <w:spacing w:after="0"/>
            </w:pPr>
            <w:r>
              <w:t>Dashboard tunnel used locally</w:t>
            </w:r>
          </w:p>
        </w:tc>
        <w:tc>
          <w:tcPr>
            <w:tcW w:type="dxa" w:w="6840"/>
            <w:vAlign w:val="top"/>
          </w:tcPr>
          <w:p>
            <w:pPr>
              <w:spacing w:after="0"/>
            </w:pPr>
            <w:r>
              <w:t>http://127.0.0.1:9878/</w:t>
            </w:r>
          </w:p>
        </w:tc>
      </w:tr>
      <w:tr>
        <w:tc>
          <w:tcPr>
            <w:tcW w:type="dxa" w:w="3240"/>
            <w:vAlign w:val="top"/>
          </w:tcPr>
          <w:p>
            <w:pPr>
              <w:spacing w:after="0"/>
            </w:pPr>
            <w:r>
              <w:t>Python package source in local development workspace</w:t>
            </w:r>
          </w:p>
        </w:tc>
        <w:tc>
          <w:tcPr>
            <w:tcW w:type="dxa" w:w="6840"/>
            <w:vAlign w:val="top"/>
          </w:tcPr>
          <w:p>
            <w:pPr>
              <w:spacing w:after="0"/>
            </w:pPr>
            <w:r>
              <w:t>/Users/hlk/.openclaw/workspace/open-structure-lab</w:t>
            </w:r>
          </w:p>
        </w:tc>
      </w:tr>
      <w:tr>
        <w:tc>
          <w:tcPr>
            <w:tcW w:type="dxa" w:w="3240"/>
            <w:vAlign w:val="top"/>
          </w:tcPr>
          <w:p>
            <w:pPr>
              <w:spacing w:after="0"/>
            </w:pPr>
            <w:r>
              <w:t>Primary CDK2 execution script in bundle</w:t>
            </w:r>
          </w:p>
        </w:tc>
        <w:tc>
          <w:tcPr>
            <w:tcW w:type="dxa" w:w="6840"/>
            <w:vAlign w:val="top"/>
          </w:tcPr>
          <w:p>
            <w:pPr>
              <w:spacing w:after="0"/>
            </w:pPr>
            <w:r>
              <w:t>installation_package/oslab-updated-scripts/cdk2_kimlab_prepped_pdbqt_all_ligands.sh</w:t>
            </w:r>
          </w:p>
        </w:tc>
      </w:tr>
      <w:tr>
        <w:tc>
          <w:tcPr>
            <w:tcW w:type="dxa" w:w="3240"/>
            <w:vAlign w:val="top"/>
          </w:tcPr>
          <w:p>
            <w:pPr>
              <w:spacing w:after="0"/>
            </w:pPr>
            <w:r>
              <w:t>FEP cluster script in bundle</w:t>
            </w:r>
          </w:p>
        </w:tc>
        <w:tc>
          <w:tcPr>
            <w:tcW w:type="dxa" w:w="6840"/>
            <w:vAlign w:val="top"/>
          </w:tcPr>
          <w:p>
            <w:pPr>
              <w:spacing w:after="0"/>
            </w:pPr>
            <w:r>
              <w:t>installation_package/oslab-updated-scripts/cdk2_canonical_fep_cluster_run.sh</w:t>
            </w:r>
          </w:p>
        </w:tc>
      </w:tr>
      <w:tr>
        <w:tc>
          <w:tcPr>
            <w:tcW w:type="dxa" w:w="3240"/>
            <w:vAlign w:val="top"/>
          </w:tcPr>
          <w:p>
            <w:pPr>
              <w:spacing w:after="0"/>
            </w:pPr>
            <w:r>
              <w:t>Second FEP benchmark script in bundle</w:t>
            </w:r>
          </w:p>
        </w:tc>
        <w:tc>
          <w:tcPr>
            <w:tcW w:type="dxa" w:w="6840"/>
            <w:vAlign w:val="top"/>
          </w:tcPr>
          <w:p>
            <w:pPr>
              <w:spacing w:after="0"/>
            </w:pPr>
            <w:r>
              <w:t>trackb_wang_cdk2_fep_interim_20260514/run_wang_cdk2_trackb_fep.py</w:t>
            </w:r>
          </w:p>
        </w:tc>
      </w:tr>
    </w:tbl>
    <w:p>
      <w:pPr>
        <w:pStyle w:val="Heading1"/>
      </w:pPr>
      <w:r>
        <w:t>4. Detailed CDK2 Benchmark Methods</w:t>
      </w:r>
    </w:p>
    <w:p>
      <w:pPr>
        <w:pStyle w:val="Heading2"/>
      </w:pPr>
      <w:r>
        <w:t>4.1 Dataset, labels, target, and binding-site definition</w:t>
      </w:r>
    </w:p>
    <w:p>
      <w:r>
        <w:t>The primary benchmark used the DUD-E CDK2 active/decoy dataset transferred into OSLab. The screened library contained 24,549 prepared PDBQT ligand files: 631 compounds labeled as actives and 23,918 compounds labeled as decoys in the packaged analysis. Active/decoy labels were inferred from ligand identifiers containing `_active_` or `_decoy_` and were also tied to the transferred label file recorded in the execution script (`/data/oslab/benchmarks/cdk2-transferred/workflow-run/inputs/cdk2_active747_decoy26770.labels.csv`).</w:t>
      </w:r>
    </w:p>
    <w:p>
      <w:r>
        <w:t>The CDK2 receptor input was `/data/oslab/benchmarks/cdk2-transferred/cdk2/receptor.pdb`. OSLab protein preparation used pH 7.4, removed waters and heterogens, added 72 missing atoms, and skipped OpenMM minimization by user option. The prepared protein was converted to a Vina receptor PDBQT with Meeko using `--allow_bad_res` and the fixed docking box described below.</w:t>
      </w:r>
    </w:p>
    <w:p>
      <w:r>
        <w:t>The binding site was not selected with fpocket in this benchmark. Instead, a fixed 14 x 14 x 14 Å docking box centered at (1.970, 27.560, 8.830) Å was used. The binding-site JSON records this as a ligand-centroid method with notes identifying it as a 1HCK crystallographic ligand-centered benchmark grid. This choice was used to avoid tuning the docking box against enrichment results and to align the benchmark with a known ligand-defined CDK2 site.</w:t>
      </w:r>
    </w:p>
    <w:tbl>
      <w:tblPr>
        <w:tblStyle w:val="LightList-Accent1"/>
        <w:tblW w:type="auto" w:w="0"/>
        <w:jc w:val="center"/>
        <w:tblLook w:firstColumn="1" w:firstRow="1" w:lastColumn="0" w:lastRow="0" w:noHBand="0" w:noVBand="1" w:val="04A0"/>
      </w:tblPr>
      <w:tblGrid>
        <w:gridCol w:w="5040"/>
        <w:gridCol w:w="5040"/>
      </w:tblGrid>
      <w:tr>
        <w:trPr>
          <w:tblHeader w:val="true"/>
        </w:trPr>
        <w:tc>
          <w:tcPr>
            <w:tcW w:type="dxa" w:w="3240"/>
            <w:shd w:fill="1F4E79"/>
          </w:tcPr>
          <w:p>
            <w:r/>
            <w:r>
              <w:rPr>
                <w:b/>
                <w:color w:val="FFFFFF"/>
              </w:rPr>
              <w:t>Field</w:t>
            </w:r>
          </w:p>
        </w:tc>
        <w:tc>
          <w:tcPr>
            <w:tcW w:type="dxa" w:w="6840"/>
            <w:shd w:fill="1F4E79"/>
          </w:tcPr>
          <w:p>
            <w:r/>
            <w:r>
              <w:rPr>
                <w:b/>
                <w:color w:val="FFFFFF"/>
              </w:rPr>
              <w:t>Value</w:t>
            </w:r>
          </w:p>
        </w:tc>
      </w:tr>
      <w:tr>
        <w:tc>
          <w:tcPr>
            <w:tcW w:type="dxa" w:w="3240"/>
            <w:vAlign w:val="top"/>
          </w:tcPr>
          <w:p>
            <w:pPr>
              <w:spacing w:after="0"/>
            </w:pPr>
            <w:r>
              <w:t>Input receptor PDB</w:t>
            </w:r>
          </w:p>
        </w:tc>
        <w:tc>
          <w:tcPr>
            <w:tcW w:type="dxa" w:w="6840"/>
            <w:vAlign w:val="top"/>
          </w:tcPr>
          <w:p>
            <w:pPr>
              <w:spacing w:after="0"/>
            </w:pPr>
            <w:r>
              <w:t>/data/oslab/benchmarks/cdk2-transferred/cdk2/receptor.pdb</w:t>
            </w:r>
          </w:p>
        </w:tc>
      </w:tr>
      <w:tr>
        <w:tc>
          <w:tcPr>
            <w:tcW w:type="dxa" w:w="3240"/>
            <w:vAlign w:val="top"/>
          </w:tcPr>
          <w:p>
            <w:pPr>
              <w:spacing w:after="0"/>
            </w:pPr>
            <w:r>
              <w:t>Prepared receptor PDB</w:t>
            </w:r>
          </w:p>
        </w:tc>
        <w:tc>
          <w:tcPr>
            <w:tcW w:type="dxa" w:w="6840"/>
            <w:vAlign w:val="top"/>
          </w:tcPr>
          <w:p>
            <w:pPr>
              <w:spacing w:after="0"/>
            </w:pPr>
            <w:r>
              <w:t>/data/oslab/runs/kimlab-cdk2-enrichment-v2-target-prep/protein_prepared.pdb</w:t>
            </w:r>
          </w:p>
        </w:tc>
      </w:tr>
      <w:tr>
        <w:tc>
          <w:tcPr>
            <w:tcW w:type="dxa" w:w="3240"/>
            <w:vAlign w:val="top"/>
          </w:tcPr>
          <w:p>
            <w:pPr>
              <w:spacing w:after="0"/>
            </w:pPr>
            <w:r>
              <w:t>Receptor PDBQT</w:t>
            </w:r>
          </w:p>
        </w:tc>
        <w:tc>
          <w:tcPr>
            <w:tcW w:type="dxa" w:w="6840"/>
            <w:vAlign w:val="top"/>
          </w:tcPr>
          <w:p>
            <w:pPr>
              <w:spacing w:after="0"/>
            </w:pPr>
            <w:r>
              <w:t>/data/oslab/runs/kimlab-cdk2-enrichment-v2-receptor-vina/receptor.pdbqt</w:t>
            </w:r>
          </w:p>
        </w:tc>
      </w:tr>
      <w:tr>
        <w:tc>
          <w:tcPr>
            <w:tcW w:type="dxa" w:w="3240"/>
            <w:vAlign w:val="top"/>
          </w:tcPr>
          <w:p>
            <w:pPr>
              <w:spacing w:after="0"/>
            </w:pPr>
            <w:r>
              <w:t>Protein pH</w:t>
            </w:r>
          </w:p>
        </w:tc>
        <w:tc>
          <w:tcPr>
            <w:tcW w:type="dxa" w:w="6840"/>
            <w:vAlign w:val="top"/>
          </w:tcPr>
          <w:p>
            <w:pPr>
              <w:spacing w:after="0"/>
            </w:pPr>
            <w:r>
              <w:t>7.4</w:t>
            </w:r>
          </w:p>
        </w:tc>
      </w:tr>
      <w:tr>
        <w:tc>
          <w:tcPr>
            <w:tcW w:type="dxa" w:w="3240"/>
            <w:vAlign w:val="top"/>
          </w:tcPr>
          <w:p>
            <w:pPr>
              <w:spacing w:after="0"/>
            </w:pPr>
            <w:r>
              <w:t>Waters/heterogens</w:t>
            </w:r>
          </w:p>
        </w:tc>
        <w:tc>
          <w:tcPr>
            <w:tcW w:type="dxa" w:w="6840"/>
            <w:vAlign w:val="top"/>
          </w:tcPr>
          <w:p>
            <w:pPr>
              <w:spacing w:after="0"/>
            </w:pPr>
            <w:r>
              <w:t>Removed during receptor preparation</w:t>
            </w:r>
          </w:p>
        </w:tc>
      </w:tr>
      <w:tr>
        <w:tc>
          <w:tcPr>
            <w:tcW w:type="dxa" w:w="3240"/>
            <w:vAlign w:val="top"/>
          </w:tcPr>
          <w:p>
            <w:pPr>
              <w:spacing w:after="0"/>
            </w:pPr>
            <w:r>
              <w:t>OpenMM minimization</w:t>
            </w:r>
          </w:p>
        </w:tc>
        <w:tc>
          <w:tcPr>
            <w:tcW w:type="dxa" w:w="6840"/>
            <w:vAlign w:val="top"/>
          </w:tcPr>
          <w:p>
            <w:pPr>
              <w:spacing w:after="0"/>
            </w:pPr>
            <w:r>
              <w:t>Skipped</w:t>
            </w:r>
          </w:p>
        </w:tc>
      </w:tr>
      <w:tr>
        <w:tc>
          <w:tcPr>
            <w:tcW w:type="dxa" w:w="3240"/>
            <w:vAlign w:val="top"/>
          </w:tcPr>
          <w:p>
            <w:pPr>
              <w:spacing w:after="0"/>
            </w:pPr>
            <w:r>
              <w:t>Docking box method</w:t>
            </w:r>
          </w:p>
        </w:tc>
        <w:tc>
          <w:tcPr>
            <w:tcW w:type="dxa" w:w="6840"/>
            <w:vAlign w:val="top"/>
          </w:tcPr>
          <w:p>
            <w:pPr>
              <w:spacing w:after="0"/>
            </w:pPr>
            <w:r>
              <w:t>ligand-centroid</w:t>
            </w:r>
          </w:p>
        </w:tc>
      </w:tr>
      <w:tr>
        <w:tc>
          <w:tcPr>
            <w:tcW w:type="dxa" w:w="3240"/>
            <w:vAlign w:val="top"/>
          </w:tcPr>
          <w:p>
            <w:pPr>
              <w:spacing w:after="0"/>
            </w:pPr>
            <w:r>
              <w:t>Docking box center (Å)</w:t>
            </w:r>
          </w:p>
        </w:tc>
        <w:tc>
          <w:tcPr>
            <w:tcW w:type="dxa" w:w="6840"/>
            <w:vAlign w:val="top"/>
          </w:tcPr>
          <w:p>
            <w:pPr>
              <w:spacing w:after="0"/>
            </w:pPr>
            <w:r>
              <w:t>1.970, 27.560, 8.830</w:t>
            </w:r>
          </w:p>
        </w:tc>
      </w:tr>
      <w:tr>
        <w:tc>
          <w:tcPr>
            <w:tcW w:type="dxa" w:w="3240"/>
            <w:vAlign w:val="top"/>
          </w:tcPr>
          <w:p>
            <w:pPr>
              <w:spacing w:after="0"/>
            </w:pPr>
            <w:r>
              <w:t>Docking box size (Å)</w:t>
            </w:r>
          </w:p>
        </w:tc>
        <w:tc>
          <w:tcPr>
            <w:tcW w:type="dxa" w:w="6840"/>
            <w:vAlign w:val="top"/>
          </w:tcPr>
          <w:p>
            <w:pPr>
              <w:spacing w:after="0"/>
            </w:pPr>
            <w:r>
              <w:t>14.000, 14.000, 14.000</w:t>
            </w:r>
          </w:p>
        </w:tc>
      </w:tr>
    </w:tbl>
    <w:p>
      <w:pPr>
        <w:pStyle w:val="Heading2"/>
      </w:pPr>
      <w:r>
        <w:t>4.2 Block 1: high-throughput docking</w:t>
      </w:r>
    </w:p>
    <w:p>
      <w:r>
        <w:t>Block 1 docked each pre-prepared ligand PDBQT file with AutoDock Vina. Because the CDK2 transferred library already contained ligand PDBQT files, no RDKit/Meeko ligand preparation was performed during this run. This distinction matters for reproducibility: the run evaluates OSLab docking and downstream orchestration using a prepared benchmark library, not the ligand-preparation success rate.</w:t>
      </w:r>
    </w:p>
    <w:p>
      <w:r>
        <w:t>Docking was executed with 120 worker tasks, one Vina CPU per ligand, Vina exhaustiveness 12, Vina output poses (`num_modes`) 3, and random seed 1. Each ligand produced a `vina_run.json`, Vina log, and docked PDBQT pose under the docking report directory. The final docking progress JSON reported 24,549 attempted and 24,549 successfully docked ligands.</w:t>
      </w:r>
    </w:p>
    <w:tbl>
      <w:tblPr>
        <w:tblStyle w:val="LightList-Accent1"/>
        <w:tblW w:type="auto" w:w="0"/>
        <w:jc w:val="center"/>
        <w:tblLook w:firstColumn="1" w:firstRow="1" w:lastColumn="0" w:lastRow="0" w:noHBand="0" w:noVBand="1" w:val="04A0"/>
      </w:tblPr>
      <w:tblGrid>
        <w:gridCol w:w="5040"/>
        <w:gridCol w:w="5040"/>
      </w:tblGrid>
      <w:tr>
        <w:trPr>
          <w:tblHeader w:val="true"/>
        </w:trPr>
        <w:tc>
          <w:tcPr>
            <w:tcW w:type="dxa" w:w="3240"/>
            <w:shd w:fill="1F4E79"/>
          </w:tcPr>
          <w:p>
            <w:r/>
            <w:r>
              <w:rPr>
                <w:b/>
                <w:color w:val="FFFFFF"/>
              </w:rPr>
              <w:t>Field</w:t>
            </w:r>
          </w:p>
        </w:tc>
        <w:tc>
          <w:tcPr>
            <w:tcW w:type="dxa" w:w="6840"/>
            <w:shd w:fill="1F4E79"/>
          </w:tcPr>
          <w:p>
            <w:r/>
            <w:r>
              <w:rPr>
                <w:b/>
                <w:color w:val="FFFFFF"/>
              </w:rPr>
              <w:t>Value</w:t>
            </w:r>
          </w:p>
        </w:tc>
      </w:tr>
      <w:tr>
        <w:tc>
          <w:tcPr>
            <w:tcW w:type="dxa" w:w="3240"/>
            <w:vAlign w:val="top"/>
          </w:tcPr>
          <w:p>
            <w:pPr>
              <w:spacing w:after="0"/>
            </w:pPr>
            <w:r>
              <w:t>Ligand PDBQT directory</w:t>
            </w:r>
          </w:p>
        </w:tc>
        <w:tc>
          <w:tcPr>
            <w:tcW w:type="dxa" w:w="6840"/>
            <w:vAlign w:val="top"/>
          </w:tcPr>
          <w:p>
            <w:pPr>
              <w:spacing w:after="0"/>
            </w:pPr>
            <w:r>
              <w:t>/data/oslab/benchmarks/cdk2-transferred/workflow-run/screen/ligand-vina-prep/pdbqt</w:t>
            </w:r>
          </w:p>
        </w:tc>
      </w:tr>
      <w:tr>
        <w:tc>
          <w:tcPr>
            <w:tcW w:type="dxa" w:w="3240"/>
            <w:vAlign w:val="top"/>
          </w:tcPr>
          <w:p>
            <w:pPr>
              <w:spacing w:after="0"/>
            </w:pPr>
            <w:r>
              <w:t>Ligands docked</w:t>
            </w:r>
          </w:p>
        </w:tc>
        <w:tc>
          <w:tcPr>
            <w:tcW w:type="dxa" w:w="6840"/>
            <w:vAlign w:val="top"/>
          </w:tcPr>
          <w:p>
            <w:pPr>
              <w:spacing w:after="0"/>
            </w:pPr>
            <w:r>
              <w:t>24549/24549</w:t>
            </w:r>
          </w:p>
        </w:tc>
      </w:tr>
      <w:tr>
        <w:tc>
          <w:tcPr>
            <w:tcW w:type="dxa" w:w="3240"/>
            <w:vAlign w:val="top"/>
          </w:tcPr>
          <w:p>
            <w:pPr>
              <w:spacing w:after="0"/>
            </w:pPr>
            <w:r>
              <w:t>Docking workers</w:t>
            </w:r>
          </w:p>
        </w:tc>
        <w:tc>
          <w:tcPr>
            <w:tcW w:type="dxa" w:w="6840"/>
            <w:vAlign w:val="top"/>
          </w:tcPr>
          <w:p>
            <w:pPr>
              <w:spacing w:after="0"/>
            </w:pPr>
            <w:r>
              <w:t>120</w:t>
            </w:r>
          </w:p>
        </w:tc>
      </w:tr>
      <w:tr>
        <w:tc>
          <w:tcPr>
            <w:tcW w:type="dxa" w:w="3240"/>
            <w:vAlign w:val="top"/>
          </w:tcPr>
          <w:p>
            <w:pPr>
              <w:spacing w:after="0"/>
            </w:pPr>
            <w:r>
              <w:t>Vina CPU per ligand</w:t>
            </w:r>
          </w:p>
        </w:tc>
        <w:tc>
          <w:tcPr>
            <w:tcW w:type="dxa" w:w="6840"/>
            <w:vAlign w:val="top"/>
          </w:tcPr>
          <w:p>
            <w:pPr>
              <w:spacing w:after="0"/>
            </w:pPr>
            <w:r>
              <w:t>1</w:t>
            </w:r>
          </w:p>
        </w:tc>
      </w:tr>
      <w:tr>
        <w:tc>
          <w:tcPr>
            <w:tcW w:type="dxa" w:w="3240"/>
            <w:vAlign w:val="top"/>
          </w:tcPr>
          <w:p>
            <w:pPr>
              <w:spacing w:after="0"/>
            </w:pPr>
            <w:r>
              <w:t>Vina exhaustiveness</w:t>
            </w:r>
          </w:p>
        </w:tc>
        <w:tc>
          <w:tcPr>
            <w:tcW w:type="dxa" w:w="6840"/>
            <w:vAlign w:val="top"/>
          </w:tcPr>
          <w:p>
            <w:pPr>
              <w:spacing w:after="0"/>
            </w:pPr>
            <w:r>
              <w:t>12</w:t>
            </w:r>
          </w:p>
        </w:tc>
      </w:tr>
      <w:tr>
        <w:tc>
          <w:tcPr>
            <w:tcW w:type="dxa" w:w="3240"/>
            <w:vAlign w:val="top"/>
          </w:tcPr>
          <w:p>
            <w:pPr>
              <w:spacing w:after="0"/>
            </w:pPr>
            <w:r>
              <w:t>Vina output poses</w:t>
            </w:r>
          </w:p>
        </w:tc>
        <w:tc>
          <w:tcPr>
            <w:tcW w:type="dxa" w:w="6840"/>
            <w:vAlign w:val="top"/>
          </w:tcPr>
          <w:p>
            <w:pPr>
              <w:spacing w:after="0"/>
            </w:pPr>
            <w:r>
              <w:t>3</w:t>
            </w:r>
          </w:p>
        </w:tc>
      </w:tr>
      <w:tr>
        <w:tc>
          <w:tcPr>
            <w:tcW w:type="dxa" w:w="3240"/>
            <w:vAlign w:val="top"/>
          </w:tcPr>
          <w:p>
            <w:pPr>
              <w:spacing w:after="0"/>
            </w:pPr>
            <w:r>
              <w:t>Seed</w:t>
            </w:r>
          </w:p>
        </w:tc>
        <w:tc>
          <w:tcPr>
            <w:tcW w:type="dxa" w:w="6840"/>
            <w:vAlign w:val="top"/>
          </w:tcPr>
          <w:p>
            <w:pPr>
              <w:spacing w:after="0"/>
            </w:pPr>
            <w:r>
              <w:t>1</w:t>
            </w:r>
          </w:p>
        </w:tc>
      </w:tr>
      <w:tr>
        <w:tc>
          <w:tcPr>
            <w:tcW w:type="dxa" w:w="3240"/>
            <w:vAlign w:val="top"/>
          </w:tcPr>
          <w:p>
            <w:pPr>
              <w:spacing w:after="0"/>
            </w:pPr>
            <w:r>
              <w:t>Docking completed</w:t>
            </w:r>
          </w:p>
        </w:tc>
        <w:tc>
          <w:tcPr>
            <w:tcW w:type="dxa" w:w="6840"/>
            <w:vAlign w:val="top"/>
          </w:tcPr>
          <w:p>
            <w:pPr>
              <w:spacing w:after="0"/>
            </w:pPr>
            <w:r>
              <w:t>May 13, 2026 at 13:49 UTC</w:t>
            </w:r>
          </w:p>
        </w:tc>
      </w:tr>
      <w:tr>
        <w:tc>
          <w:tcPr>
            <w:tcW w:type="dxa" w:w="3240"/>
            <w:vAlign w:val="top"/>
          </w:tcPr>
          <w:p>
            <w:pPr>
              <w:spacing w:after="0"/>
            </w:pPr>
            <w:r>
              <w:t>Results JSON</w:t>
            </w:r>
          </w:p>
        </w:tc>
        <w:tc>
          <w:tcPr>
            <w:tcW w:type="dxa" w:w="6840"/>
            <w:vAlign w:val="top"/>
          </w:tcPr>
          <w:p>
            <w:pPr>
              <w:spacing w:after="0"/>
            </w:pPr>
            <w:r>
              <w:t>/data/oslab/reports/kimlab-cdk2-enrichment-v2-docking/report/vina_results.json</w:t>
            </w:r>
          </w:p>
        </w:tc>
      </w:tr>
    </w:tbl>
    <w:tbl>
      <w:tblPr>
        <w:tblStyle w:val="LightList-Accent1"/>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648"/>
            <w:shd w:fill="1F4E79"/>
          </w:tcPr>
          <w:p>
            <w:r/>
            <w:r>
              <w:rPr>
                <w:b/>
                <w:color w:val="FFFFFF"/>
              </w:rPr>
              <w:t>Rank</w:t>
            </w:r>
          </w:p>
        </w:tc>
        <w:tc>
          <w:tcPr>
            <w:tcW w:type="dxa" w:w="2592"/>
            <w:shd w:fill="1F4E79"/>
          </w:tcPr>
          <w:p>
            <w:r/>
            <w:r>
              <w:rPr>
                <w:b/>
                <w:color w:val="FFFFFF"/>
              </w:rPr>
              <w:t>Ligand</w:t>
            </w:r>
          </w:p>
        </w:tc>
        <w:tc>
          <w:tcPr>
            <w:tcW w:type="dxa" w:w="1296"/>
            <w:shd w:fill="1F4E79"/>
          </w:tcPr>
          <w:p>
            <w:r/>
            <w:r>
              <w:rPr>
                <w:b/>
                <w:color w:val="FFFFFF"/>
              </w:rPr>
              <w:t>Vina best score</w:t>
            </w:r>
          </w:p>
        </w:tc>
        <w:tc>
          <w:tcPr>
            <w:tcW w:type="dxa" w:w="1080"/>
            <w:shd w:fill="1F4E79"/>
          </w:tcPr>
          <w:p>
            <w:r/>
            <w:r>
              <w:rPr>
                <w:b/>
                <w:color w:val="FFFFFF"/>
              </w:rPr>
              <w:t>Active/decoy</w:t>
            </w:r>
          </w:p>
        </w:tc>
        <w:tc>
          <w:tcPr>
            <w:tcW w:type="dxa" w:w="4320"/>
            <w:shd w:fill="1F4E79"/>
          </w:tcPr>
          <w:p>
            <w:r/>
            <w:r>
              <w:rPr>
                <w:b/>
                <w:color w:val="FFFFFF"/>
              </w:rPr>
              <w:t>Run JSON</w:t>
            </w:r>
          </w:p>
        </w:tc>
      </w:tr>
      <w:tr>
        <w:tc>
          <w:tcPr>
            <w:tcW w:type="dxa" w:w="648"/>
            <w:vAlign w:val="top"/>
          </w:tcPr>
          <w:p>
            <w:pPr>
              <w:spacing w:after="0"/>
            </w:pPr>
            <w:r>
              <w:t>1</w:t>
            </w:r>
          </w:p>
        </w:tc>
        <w:tc>
          <w:tcPr>
            <w:tcW w:type="dxa" w:w="2592"/>
            <w:vAlign w:val="top"/>
          </w:tcPr>
          <w:p>
            <w:pPr>
              <w:spacing w:after="0"/>
            </w:pPr>
            <w:r>
              <w:t>000049_active_0065_active_00065</w:t>
            </w:r>
          </w:p>
        </w:tc>
        <w:tc>
          <w:tcPr>
            <w:tcW w:type="dxa" w:w="1296"/>
            <w:vAlign w:val="top"/>
          </w:tcPr>
          <w:p>
            <w:pPr>
              <w:spacing w:after="0"/>
            </w:pPr>
            <w:r>
              <w:t>-12.270</w:t>
            </w:r>
          </w:p>
        </w:tc>
        <w:tc>
          <w:tcPr>
            <w:tcW w:type="dxa" w:w="1080"/>
            <w:vAlign w:val="top"/>
          </w:tcPr>
          <w:p>
            <w:pPr>
              <w:spacing w:after="0"/>
            </w:pPr>
            <w:r>
              <w:t>active</w:t>
            </w:r>
          </w:p>
        </w:tc>
        <w:tc>
          <w:tcPr>
            <w:tcW w:type="dxa" w:w="4320"/>
            <w:vAlign w:val="top"/>
          </w:tcPr>
          <w:p>
            <w:pPr>
              <w:spacing w:after="0"/>
            </w:pPr>
            <w:r>
              <w:t>/data/oslab/reports/kimlab-cdk2-enrichment-v2-docking/docking/000049_active_0065_active_00065/vina_run.json</w:t>
            </w:r>
          </w:p>
        </w:tc>
      </w:tr>
      <w:tr>
        <w:tc>
          <w:tcPr>
            <w:tcW w:type="dxa" w:w="648"/>
            <w:vAlign w:val="top"/>
          </w:tcPr>
          <w:p>
            <w:pPr>
              <w:spacing w:after="0"/>
            </w:pPr>
            <w:r>
              <w:t>2</w:t>
            </w:r>
          </w:p>
        </w:tc>
        <w:tc>
          <w:tcPr>
            <w:tcW w:type="dxa" w:w="2592"/>
            <w:vAlign w:val="top"/>
          </w:tcPr>
          <w:p>
            <w:pPr>
              <w:spacing w:after="0"/>
            </w:pPr>
            <w:r>
              <w:t>000050_active_0066_active_00066</w:t>
            </w:r>
          </w:p>
        </w:tc>
        <w:tc>
          <w:tcPr>
            <w:tcW w:type="dxa" w:w="1296"/>
            <w:vAlign w:val="top"/>
          </w:tcPr>
          <w:p>
            <w:pPr>
              <w:spacing w:after="0"/>
            </w:pPr>
            <w:r>
              <w:t>-12.090</w:t>
            </w:r>
          </w:p>
        </w:tc>
        <w:tc>
          <w:tcPr>
            <w:tcW w:type="dxa" w:w="1080"/>
            <w:vAlign w:val="top"/>
          </w:tcPr>
          <w:p>
            <w:pPr>
              <w:spacing w:after="0"/>
            </w:pPr>
            <w:r>
              <w:t>active</w:t>
            </w:r>
          </w:p>
        </w:tc>
        <w:tc>
          <w:tcPr>
            <w:tcW w:type="dxa" w:w="4320"/>
            <w:vAlign w:val="top"/>
          </w:tcPr>
          <w:p>
            <w:pPr>
              <w:spacing w:after="0"/>
            </w:pPr>
            <w:r>
              <w:t>/data/oslab/reports/kimlab-cdk2-enrichment-v2-docking/docking/000050_active_0066_active_00066/vina_run.json</w:t>
            </w:r>
          </w:p>
        </w:tc>
      </w:tr>
      <w:tr>
        <w:tc>
          <w:tcPr>
            <w:tcW w:type="dxa" w:w="648"/>
            <w:vAlign w:val="top"/>
          </w:tcPr>
          <w:p>
            <w:pPr>
              <w:spacing w:after="0"/>
            </w:pPr>
            <w:r>
              <w:t>3</w:t>
            </w:r>
          </w:p>
        </w:tc>
        <w:tc>
          <w:tcPr>
            <w:tcW w:type="dxa" w:w="2592"/>
            <w:vAlign w:val="top"/>
          </w:tcPr>
          <w:p>
            <w:pPr>
              <w:spacing w:after="0"/>
            </w:pPr>
            <w:r>
              <w:t>000107_active_0125_active_00125</w:t>
            </w:r>
          </w:p>
        </w:tc>
        <w:tc>
          <w:tcPr>
            <w:tcW w:type="dxa" w:w="1296"/>
            <w:vAlign w:val="top"/>
          </w:tcPr>
          <w:p>
            <w:pPr>
              <w:spacing w:after="0"/>
            </w:pPr>
            <w:r>
              <w:t>-11.970</w:t>
            </w:r>
          </w:p>
        </w:tc>
        <w:tc>
          <w:tcPr>
            <w:tcW w:type="dxa" w:w="1080"/>
            <w:vAlign w:val="top"/>
          </w:tcPr>
          <w:p>
            <w:pPr>
              <w:spacing w:after="0"/>
            </w:pPr>
            <w:r>
              <w:t>active</w:t>
            </w:r>
          </w:p>
        </w:tc>
        <w:tc>
          <w:tcPr>
            <w:tcW w:type="dxa" w:w="4320"/>
            <w:vAlign w:val="top"/>
          </w:tcPr>
          <w:p>
            <w:pPr>
              <w:spacing w:after="0"/>
            </w:pPr>
            <w:r>
              <w:t>/data/oslab/reports/kimlab-cdk2-enrichment-v2-docking/docking/000107_active_0125_active_00125/vina_run.json</w:t>
            </w:r>
          </w:p>
        </w:tc>
      </w:tr>
      <w:tr>
        <w:tc>
          <w:tcPr>
            <w:tcW w:type="dxa" w:w="648"/>
            <w:vAlign w:val="top"/>
          </w:tcPr>
          <w:p>
            <w:pPr>
              <w:spacing w:after="0"/>
            </w:pPr>
            <w:r>
              <w:t>4</w:t>
            </w:r>
          </w:p>
        </w:tc>
        <w:tc>
          <w:tcPr>
            <w:tcW w:type="dxa" w:w="2592"/>
            <w:vAlign w:val="top"/>
          </w:tcPr>
          <w:p>
            <w:pPr>
              <w:spacing w:after="0"/>
            </w:pPr>
            <w:r>
              <w:t>000385_active_0457_active_00457</w:t>
            </w:r>
          </w:p>
        </w:tc>
        <w:tc>
          <w:tcPr>
            <w:tcW w:type="dxa" w:w="1296"/>
            <w:vAlign w:val="top"/>
          </w:tcPr>
          <w:p>
            <w:pPr>
              <w:spacing w:after="0"/>
            </w:pPr>
            <w:r>
              <w:t>-11.640</w:t>
            </w:r>
          </w:p>
        </w:tc>
        <w:tc>
          <w:tcPr>
            <w:tcW w:type="dxa" w:w="1080"/>
            <w:vAlign w:val="top"/>
          </w:tcPr>
          <w:p>
            <w:pPr>
              <w:spacing w:after="0"/>
            </w:pPr>
            <w:r>
              <w:t>active</w:t>
            </w:r>
          </w:p>
        </w:tc>
        <w:tc>
          <w:tcPr>
            <w:tcW w:type="dxa" w:w="4320"/>
            <w:vAlign w:val="top"/>
          </w:tcPr>
          <w:p>
            <w:pPr>
              <w:spacing w:after="0"/>
            </w:pPr>
            <w:r>
              <w:t>/data/oslab/reports/kimlab-cdk2-enrichment-v2-docking/docking/000385_active_0457_active_00457/vina_run.json</w:t>
            </w:r>
          </w:p>
        </w:tc>
      </w:tr>
      <w:tr>
        <w:tc>
          <w:tcPr>
            <w:tcW w:type="dxa" w:w="648"/>
            <w:vAlign w:val="top"/>
          </w:tcPr>
          <w:p>
            <w:pPr>
              <w:spacing w:after="0"/>
            </w:pPr>
            <w:r>
              <w:t>5</w:t>
            </w:r>
          </w:p>
        </w:tc>
        <w:tc>
          <w:tcPr>
            <w:tcW w:type="dxa" w:w="2592"/>
            <w:vAlign w:val="top"/>
          </w:tcPr>
          <w:p>
            <w:pPr>
              <w:spacing w:after="0"/>
            </w:pPr>
            <w:r>
              <w:t>000364_active_0435_active_00435</w:t>
            </w:r>
          </w:p>
        </w:tc>
        <w:tc>
          <w:tcPr>
            <w:tcW w:type="dxa" w:w="1296"/>
            <w:vAlign w:val="top"/>
          </w:tcPr>
          <w:p>
            <w:pPr>
              <w:spacing w:after="0"/>
            </w:pPr>
            <w:r>
              <w:t>-11.610</w:t>
            </w:r>
          </w:p>
        </w:tc>
        <w:tc>
          <w:tcPr>
            <w:tcW w:type="dxa" w:w="1080"/>
            <w:vAlign w:val="top"/>
          </w:tcPr>
          <w:p>
            <w:pPr>
              <w:spacing w:after="0"/>
            </w:pPr>
            <w:r>
              <w:t>active</w:t>
            </w:r>
          </w:p>
        </w:tc>
        <w:tc>
          <w:tcPr>
            <w:tcW w:type="dxa" w:w="4320"/>
            <w:vAlign w:val="top"/>
          </w:tcPr>
          <w:p>
            <w:pPr>
              <w:spacing w:after="0"/>
            </w:pPr>
            <w:r>
              <w:t>/data/oslab/reports/kimlab-cdk2-enrichment-v2-docking/docking/000364_active_0435_active_00435/vina_run.json</w:t>
            </w:r>
          </w:p>
        </w:tc>
      </w:tr>
      <w:tr>
        <w:tc>
          <w:tcPr>
            <w:tcW w:type="dxa" w:w="648"/>
            <w:vAlign w:val="top"/>
          </w:tcPr>
          <w:p>
            <w:pPr>
              <w:spacing w:after="0"/>
            </w:pPr>
            <w:r>
              <w:t>6</w:t>
            </w:r>
          </w:p>
        </w:tc>
        <w:tc>
          <w:tcPr>
            <w:tcW w:type="dxa" w:w="2592"/>
            <w:vAlign w:val="top"/>
          </w:tcPr>
          <w:p>
            <w:pPr>
              <w:spacing w:after="0"/>
            </w:pPr>
            <w:r>
              <w:t>000462_active_0539_active_00539</w:t>
            </w:r>
          </w:p>
        </w:tc>
        <w:tc>
          <w:tcPr>
            <w:tcW w:type="dxa" w:w="1296"/>
            <w:vAlign w:val="top"/>
          </w:tcPr>
          <w:p>
            <w:pPr>
              <w:spacing w:after="0"/>
            </w:pPr>
            <w:r>
              <w:t>-11.570</w:t>
            </w:r>
          </w:p>
        </w:tc>
        <w:tc>
          <w:tcPr>
            <w:tcW w:type="dxa" w:w="1080"/>
            <w:vAlign w:val="top"/>
          </w:tcPr>
          <w:p>
            <w:pPr>
              <w:spacing w:after="0"/>
            </w:pPr>
            <w:r>
              <w:t>active</w:t>
            </w:r>
          </w:p>
        </w:tc>
        <w:tc>
          <w:tcPr>
            <w:tcW w:type="dxa" w:w="4320"/>
            <w:vAlign w:val="top"/>
          </w:tcPr>
          <w:p>
            <w:pPr>
              <w:spacing w:after="0"/>
            </w:pPr>
            <w:r>
              <w:t>/data/oslab/reports/kimlab-cdk2-enrichment-v2-docking/docking/000462_active_0539_active_00539/vina_run.json</w:t>
            </w:r>
          </w:p>
        </w:tc>
      </w:tr>
      <w:tr>
        <w:tc>
          <w:tcPr>
            <w:tcW w:type="dxa" w:w="648"/>
            <w:vAlign w:val="top"/>
          </w:tcPr>
          <w:p>
            <w:pPr>
              <w:spacing w:after="0"/>
            </w:pPr>
            <w:r>
              <w:t>7</w:t>
            </w:r>
          </w:p>
        </w:tc>
        <w:tc>
          <w:tcPr>
            <w:tcW w:type="dxa" w:w="2592"/>
            <w:vAlign w:val="top"/>
          </w:tcPr>
          <w:p>
            <w:pPr>
              <w:spacing w:after="0"/>
            </w:pPr>
            <w:r>
              <w:t>000193_active_0230_active_00230</w:t>
            </w:r>
          </w:p>
        </w:tc>
        <w:tc>
          <w:tcPr>
            <w:tcW w:type="dxa" w:w="1296"/>
            <w:vAlign w:val="top"/>
          </w:tcPr>
          <w:p>
            <w:pPr>
              <w:spacing w:after="0"/>
            </w:pPr>
            <w:r>
              <w:t>-11.530</w:t>
            </w:r>
          </w:p>
        </w:tc>
        <w:tc>
          <w:tcPr>
            <w:tcW w:type="dxa" w:w="1080"/>
            <w:vAlign w:val="top"/>
          </w:tcPr>
          <w:p>
            <w:pPr>
              <w:spacing w:after="0"/>
            </w:pPr>
            <w:r>
              <w:t>active</w:t>
            </w:r>
          </w:p>
        </w:tc>
        <w:tc>
          <w:tcPr>
            <w:tcW w:type="dxa" w:w="4320"/>
            <w:vAlign w:val="top"/>
          </w:tcPr>
          <w:p>
            <w:pPr>
              <w:spacing w:after="0"/>
            </w:pPr>
            <w:r>
              <w:t>/data/oslab/reports/kimlab-cdk2-enrichment-v2-docking/docking/000193_active_0230_active_00230/vina_run.json</w:t>
            </w:r>
          </w:p>
        </w:tc>
      </w:tr>
      <w:tr>
        <w:tc>
          <w:tcPr>
            <w:tcW w:type="dxa" w:w="648"/>
            <w:vAlign w:val="top"/>
          </w:tcPr>
          <w:p>
            <w:pPr>
              <w:spacing w:after="0"/>
            </w:pPr>
            <w:r>
              <w:t>8</w:t>
            </w:r>
          </w:p>
        </w:tc>
        <w:tc>
          <w:tcPr>
            <w:tcW w:type="dxa" w:w="2592"/>
            <w:vAlign w:val="top"/>
          </w:tcPr>
          <w:p>
            <w:pPr>
              <w:spacing w:after="0"/>
            </w:pPr>
            <w:r>
              <w:t>018878_decoy_20357_decoy_20357</w:t>
            </w:r>
          </w:p>
        </w:tc>
        <w:tc>
          <w:tcPr>
            <w:tcW w:type="dxa" w:w="1296"/>
            <w:vAlign w:val="top"/>
          </w:tcPr>
          <w:p>
            <w:pPr>
              <w:spacing w:after="0"/>
            </w:pPr>
            <w:r>
              <w:t>-11.420</w:t>
            </w:r>
          </w:p>
        </w:tc>
        <w:tc>
          <w:tcPr>
            <w:tcW w:type="dxa" w:w="1080"/>
            <w:vAlign w:val="top"/>
          </w:tcPr>
          <w:p>
            <w:pPr>
              <w:spacing w:after="0"/>
            </w:pPr>
            <w:r>
              <w:t>decoy</w:t>
            </w:r>
          </w:p>
        </w:tc>
        <w:tc>
          <w:tcPr>
            <w:tcW w:type="dxa" w:w="4320"/>
            <w:vAlign w:val="top"/>
          </w:tcPr>
          <w:p>
            <w:pPr>
              <w:spacing w:after="0"/>
            </w:pPr>
            <w:r>
              <w:t>/data/oslab/reports/kimlab-cdk2-enrichment-v2-docking/docking/018878_decoy_20357_decoy_20357/vina_run.json</w:t>
            </w:r>
          </w:p>
        </w:tc>
      </w:tr>
      <w:tr>
        <w:tc>
          <w:tcPr>
            <w:tcW w:type="dxa" w:w="648"/>
            <w:vAlign w:val="top"/>
          </w:tcPr>
          <w:p>
            <w:pPr>
              <w:spacing w:after="0"/>
            </w:pPr>
            <w:r>
              <w:t>9</w:t>
            </w:r>
          </w:p>
        </w:tc>
        <w:tc>
          <w:tcPr>
            <w:tcW w:type="dxa" w:w="2592"/>
            <w:vAlign w:val="top"/>
          </w:tcPr>
          <w:p>
            <w:pPr>
              <w:spacing w:after="0"/>
            </w:pPr>
            <w:r>
              <w:t>000564_active_0655_active_00655</w:t>
            </w:r>
          </w:p>
        </w:tc>
        <w:tc>
          <w:tcPr>
            <w:tcW w:type="dxa" w:w="1296"/>
            <w:vAlign w:val="top"/>
          </w:tcPr>
          <w:p>
            <w:pPr>
              <w:spacing w:after="0"/>
            </w:pPr>
            <w:r>
              <w:t>-11.400</w:t>
            </w:r>
          </w:p>
        </w:tc>
        <w:tc>
          <w:tcPr>
            <w:tcW w:type="dxa" w:w="1080"/>
            <w:vAlign w:val="top"/>
          </w:tcPr>
          <w:p>
            <w:pPr>
              <w:spacing w:after="0"/>
            </w:pPr>
            <w:r>
              <w:t>active</w:t>
            </w:r>
          </w:p>
        </w:tc>
        <w:tc>
          <w:tcPr>
            <w:tcW w:type="dxa" w:w="4320"/>
            <w:vAlign w:val="top"/>
          </w:tcPr>
          <w:p>
            <w:pPr>
              <w:spacing w:after="0"/>
            </w:pPr>
            <w:r>
              <w:t>/data/oslab/reports/kimlab-cdk2-enrichment-v2-docking/docking/000564_active_0655_active_00655/vina_run.json</w:t>
            </w:r>
          </w:p>
        </w:tc>
      </w:tr>
      <w:tr>
        <w:tc>
          <w:tcPr>
            <w:tcW w:type="dxa" w:w="648"/>
            <w:vAlign w:val="top"/>
          </w:tcPr>
          <w:p>
            <w:pPr>
              <w:spacing w:after="0"/>
            </w:pPr>
            <w:r>
              <w:t>10</w:t>
            </w:r>
          </w:p>
        </w:tc>
        <w:tc>
          <w:tcPr>
            <w:tcW w:type="dxa" w:w="2592"/>
            <w:vAlign w:val="top"/>
          </w:tcPr>
          <w:p>
            <w:pPr>
              <w:spacing w:after="0"/>
            </w:pPr>
            <w:r>
              <w:t>006768_decoy_6878_decoy_06878</w:t>
            </w:r>
          </w:p>
        </w:tc>
        <w:tc>
          <w:tcPr>
            <w:tcW w:type="dxa" w:w="1296"/>
            <w:vAlign w:val="top"/>
          </w:tcPr>
          <w:p>
            <w:pPr>
              <w:spacing w:after="0"/>
            </w:pPr>
            <w:r>
              <w:t>-11.400</w:t>
            </w:r>
          </w:p>
        </w:tc>
        <w:tc>
          <w:tcPr>
            <w:tcW w:type="dxa" w:w="1080"/>
            <w:vAlign w:val="top"/>
          </w:tcPr>
          <w:p>
            <w:pPr>
              <w:spacing w:after="0"/>
            </w:pPr>
            <w:r>
              <w:t>decoy</w:t>
            </w:r>
          </w:p>
        </w:tc>
        <w:tc>
          <w:tcPr>
            <w:tcW w:type="dxa" w:w="4320"/>
            <w:vAlign w:val="top"/>
          </w:tcPr>
          <w:p>
            <w:pPr>
              <w:spacing w:after="0"/>
            </w:pPr>
            <w:r>
              <w:t>/data/oslab/reports/kimlab-cdk2-enrichment-v2-docking/docking/006768_decoy_6878_decoy_06878/vina_run.json</w:t>
            </w:r>
          </w:p>
        </w:tc>
      </w:tr>
    </w:tbl>
    <w:p>
      <w:pPr>
        <w:pStyle w:val="Heading2"/>
      </w:pPr>
      <w:r>
        <w:t>4.3 Block 2: hit refinement and PLIP analysis</w:t>
      </w:r>
    </w:p>
    <w:p>
      <w:r>
        <w:t>Block 2 selected the top 400 ligands from the initial Vina screen and redocked each ligand with three independent seeds (1, 2, and 3). The refinement used Vina exhaustiveness 16, `num_modes` 3, one CPU per ligand, and 120 workers. This yielded 1,200 Vina runs and a per-ligand aggregation table.</w:t>
      </w:r>
    </w:p>
    <w:p>
      <w:r>
        <w:t>The refined ranking used both docking strength and seed-to-seed consistency. For each ligand, OSLab calculated the best refined Vina score, mean refined score, standard deviation across seeds, seed count, best seed, and a Boolean consistency flag. Composite ranking used the scoring formula recorded in the report: composite_score = (-mean_score) + 0.25*(-best_score) + max(0, 1 - score_std) + (1 / initial_refinement_rank) + 0.05*min(seed_count, 5). Since Vina scores are negative and more negative is better, the first two terms convert stronger binding to larger positive composite values. The consistency term penalizes variable redocking results, and the seed-count term rewards ligands with complete replicate data.</w:t>
      </w:r>
    </w:p>
    <w:p>
      <w:r>
        <w:t>PLIP interaction analysis was run on the refined top list and converted docked PDBQT/receptor data into protein-ligand interaction reports. PLIP version 2.2.2 was recorded in the interaction logs. PLIP output was used for interaction interpretation and visual summaries but not for the Vina score itself.</w:t>
      </w:r>
    </w:p>
    <w:tbl>
      <w:tblPr>
        <w:tblStyle w:val="LightList-Accent1"/>
        <w:tblW w:type="auto" w:w="0"/>
        <w:jc w:val="center"/>
        <w:tblLook w:firstColumn="1" w:firstRow="1" w:lastColumn="0" w:lastRow="0" w:noHBand="0" w:noVBand="1" w:val="04A0"/>
      </w:tblPr>
      <w:tblGrid>
        <w:gridCol w:w="5040"/>
        <w:gridCol w:w="5040"/>
      </w:tblGrid>
      <w:tr>
        <w:trPr>
          <w:tblHeader w:val="true"/>
        </w:trPr>
        <w:tc>
          <w:tcPr>
            <w:tcW w:type="dxa" w:w="3240"/>
            <w:shd w:fill="1F4E79"/>
          </w:tcPr>
          <w:p>
            <w:r/>
            <w:r>
              <w:rPr>
                <w:b/>
                <w:color w:val="FFFFFF"/>
              </w:rPr>
              <w:t>Field</w:t>
            </w:r>
          </w:p>
        </w:tc>
        <w:tc>
          <w:tcPr>
            <w:tcW w:type="dxa" w:w="6840"/>
            <w:shd w:fill="1F4E79"/>
          </w:tcPr>
          <w:p>
            <w:r/>
            <w:r>
              <w:rPr>
                <w:b/>
                <w:color w:val="FFFFFF"/>
              </w:rPr>
              <w:t>Value</w:t>
            </w:r>
          </w:p>
        </w:tc>
      </w:tr>
      <w:tr>
        <w:tc>
          <w:tcPr>
            <w:tcW w:type="dxa" w:w="3240"/>
            <w:vAlign w:val="top"/>
          </w:tcPr>
          <w:p>
            <w:pPr>
              <w:spacing w:after="0"/>
            </w:pPr>
            <w:r>
              <w:t>Source docking results</w:t>
            </w:r>
          </w:p>
        </w:tc>
        <w:tc>
          <w:tcPr>
            <w:tcW w:type="dxa" w:w="6840"/>
            <w:vAlign w:val="top"/>
          </w:tcPr>
          <w:p>
            <w:pPr>
              <w:spacing w:after="0"/>
            </w:pPr>
            <w:r>
              <w:t>/data/oslab/reports/kimlab-cdk2-enrichment-v2-docking/report/vina_results.json</w:t>
            </w:r>
          </w:p>
        </w:tc>
      </w:tr>
      <w:tr>
        <w:tc>
          <w:tcPr>
            <w:tcW w:type="dxa" w:w="3240"/>
            <w:vAlign w:val="top"/>
          </w:tcPr>
          <w:p>
            <w:pPr>
              <w:spacing w:after="0"/>
            </w:pPr>
            <w:r>
              <w:t>Top ligands selected</w:t>
            </w:r>
          </w:p>
        </w:tc>
        <w:tc>
          <w:tcPr>
            <w:tcW w:type="dxa" w:w="6840"/>
            <w:vAlign w:val="top"/>
          </w:tcPr>
          <w:p>
            <w:pPr>
              <w:spacing w:after="0"/>
            </w:pPr>
            <w:r>
              <w:t>400</w:t>
            </w:r>
          </w:p>
        </w:tc>
      </w:tr>
      <w:tr>
        <w:tc>
          <w:tcPr>
            <w:tcW w:type="dxa" w:w="3240"/>
            <w:vAlign w:val="top"/>
          </w:tcPr>
          <w:p>
            <w:pPr>
              <w:spacing w:after="0"/>
            </w:pPr>
            <w:r>
              <w:t>Seeds</w:t>
            </w:r>
          </w:p>
        </w:tc>
        <w:tc>
          <w:tcPr>
            <w:tcW w:type="dxa" w:w="6840"/>
            <w:vAlign w:val="top"/>
          </w:tcPr>
          <w:p>
            <w:pPr>
              <w:spacing w:after="0"/>
            </w:pPr>
            <w:r>
              <w:t>1, 2, 3</w:t>
            </w:r>
          </w:p>
        </w:tc>
      </w:tr>
      <w:tr>
        <w:tc>
          <w:tcPr>
            <w:tcW w:type="dxa" w:w="3240"/>
            <w:vAlign w:val="top"/>
          </w:tcPr>
          <w:p>
            <w:pPr>
              <w:spacing w:after="0"/>
            </w:pPr>
            <w:r>
              <w:t>Vina exhaustiveness</w:t>
            </w:r>
          </w:p>
        </w:tc>
        <w:tc>
          <w:tcPr>
            <w:tcW w:type="dxa" w:w="6840"/>
            <w:vAlign w:val="top"/>
          </w:tcPr>
          <w:p>
            <w:pPr>
              <w:spacing w:after="0"/>
            </w:pPr>
            <w:r>
              <w:t>16</w:t>
            </w:r>
          </w:p>
        </w:tc>
      </w:tr>
      <w:tr>
        <w:tc>
          <w:tcPr>
            <w:tcW w:type="dxa" w:w="3240"/>
            <w:vAlign w:val="top"/>
          </w:tcPr>
          <w:p>
            <w:pPr>
              <w:spacing w:after="0"/>
            </w:pPr>
            <w:r>
              <w:t>Vina output poses</w:t>
            </w:r>
          </w:p>
        </w:tc>
        <w:tc>
          <w:tcPr>
            <w:tcW w:type="dxa" w:w="6840"/>
            <w:vAlign w:val="top"/>
          </w:tcPr>
          <w:p>
            <w:pPr>
              <w:spacing w:after="0"/>
            </w:pPr>
            <w:r>
              <w:t>3</w:t>
            </w:r>
          </w:p>
        </w:tc>
      </w:tr>
      <w:tr>
        <w:tc>
          <w:tcPr>
            <w:tcW w:type="dxa" w:w="3240"/>
            <w:vAlign w:val="top"/>
          </w:tcPr>
          <w:p>
            <w:pPr>
              <w:spacing w:after="0"/>
            </w:pPr>
            <w:r>
              <w:t>Vina runs summarized</w:t>
            </w:r>
          </w:p>
        </w:tc>
        <w:tc>
          <w:tcPr>
            <w:tcW w:type="dxa" w:w="6840"/>
            <w:vAlign w:val="top"/>
          </w:tcPr>
          <w:p>
            <w:pPr>
              <w:spacing w:after="0"/>
            </w:pPr>
            <w:r>
              <w:t>1,200</w:t>
            </w:r>
          </w:p>
        </w:tc>
      </w:tr>
      <w:tr>
        <w:tc>
          <w:tcPr>
            <w:tcW w:type="dxa" w:w="3240"/>
            <w:vAlign w:val="top"/>
          </w:tcPr>
          <w:p>
            <w:pPr>
              <w:spacing w:after="0"/>
            </w:pPr>
            <w:r>
              <w:t>PLIP</w:t>
            </w:r>
          </w:p>
        </w:tc>
        <w:tc>
          <w:tcPr>
            <w:tcW w:type="dxa" w:w="6840"/>
            <w:vAlign w:val="top"/>
          </w:tcPr>
          <w:p>
            <w:pPr>
              <w:spacing w:after="0"/>
            </w:pPr>
            <w:r>
              <w:t>Run on the refined top list; PLIP 2.2.2 observed in logs</w:t>
            </w:r>
          </w:p>
        </w:tc>
      </w:tr>
      <w:tr>
        <w:tc>
          <w:tcPr>
            <w:tcW w:type="dxa" w:w="3240"/>
            <w:vAlign w:val="top"/>
          </w:tcPr>
          <w:p>
            <w:pPr>
              <w:spacing w:after="0"/>
            </w:pPr>
            <w:r>
              <w:t>Hit-refinement completed</w:t>
            </w:r>
          </w:p>
        </w:tc>
        <w:tc>
          <w:tcPr>
            <w:tcW w:type="dxa" w:w="6840"/>
            <w:vAlign w:val="top"/>
          </w:tcPr>
          <w:p>
            <w:pPr>
              <w:spacing w:after="0"/>
            </w:pPr>
            <w:r>
              <w:t>May 13, 2026 at 14:55 UTC</w:t>
            </w:r>
          </w:p>
        </w:tc>
      </w:tr>
    </w:tbl>
    <w:tbl>
      <w:tblPr>
        <w:tblStyle w:val="LightList-Accent1"/>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080"/>
            <w:shd w:fill="1F4E79"/>
          </w:tcPr>
          <w:p>
            <w:r/>
            <w:r>
              <w:rPr>
                <w:b/>
                <w:color w:val="FFFFFF"/>
              </w:rPr>
              <w:t>Composite rank</w:t>
            </w:r>
          </w:p>
        </w:tc>
        <w:tc>
          <w:tcPr>
            <w:tcW w:type="dxa" w:w="2520"/>
            <w:shd w:fill="1F4E79"/>
          </w:tcPr>
          <w:p>
            <w:r/>
            <w:r>
              <w:rPr>
                <w:b/>
                <w:color w:val="FFFFFF"/>
              </w:rPr>
              <w:t>Ligand</w:t>
            </w:r>
          </w:p>
        </w:tc>
        <w:tc>
          <w:tcPr>
            <w:tcW w:type="dxa" w:w="1152"/>
            <w:shd w:fill="1F4E79"/>
          </w:tcPr>
          <w:p>
            <w:r/>
            <w:r>
              <w:rPr>
                <w:b/>
                <w:color w:val="FFFFFF"/>
              </w:rPr>
              <w:t>Composite score</w:t>
            </w:r>
          </w:p>
        </w:tc>
        <w:tc>
          <w:tcPr>
            <w:tcW w:type="dxa" w:w="1080"/>
            <w:shd w:fill="1F4E79"/>
          </w:tcPr>
          <w:p>
            <w:r/>
            <w:r>
              <w:rPr>
                <w:b/>
                <w:color w:val="FFFFFF"/>
              </w:rPr>
              <w:t>Best score</w:t>
            </w:r>
          </w:p>
        </w:tc>
        <w:tc>
          <w:tcPr>
            <w:tcW w:type="dxa" w:w="1080"/>
            <w:shd w:fill="1F4E79"/>
          </w:tcPr>
          <w:p>
            <w:r/>
            <w:r>
              <w:rPr>
                <w:b/>
                <w:color w:val="FFFFFF"/>
              </w:rPr>
              <w:t>Mean score</w:t>
            </w:r>
          </w:p>
        </w:tc>
        <w:tc>
          <w:tcPr>
            <w:tcW w:type="dxa" w:w="1008"/>
            <w:shd w:fill="1F4E79"/>
          </w:tcPr>
          <w:p>
            <w:r/>
            <w:r>
              <w:rPr>
                <w:b/>
                <w:color w:val="FFFFFF"/>
              </w:rPr>
              <w:t>Score SD</w:t>
            </w:r>
          </w:p>
        </w:tc>
        <w:tc>
          <w:tcPr>
            <w:tcW w:type="dxa" w:w="792"/>
            <w:shd w:fill="1F4E79"/>
          </w:tcPr>
          <w:p>
            <w:r/>
            <w:r>
              <w:rPr>
                <w:b/>
                <w:color w:val="FFFFFF"/>
              </w:rPr>
              <w:t>Best seed</w:t>
            </w:r>
          </w:p>
        </w:tc>
        <w:tc>
          <w:tcPr>
            <w:tcW w:type="dxa" w:w="1080"/>
            <w:shd w:fill="1F4E79"/>
          </w:tcPr>
          <w:p>
            <w:r/>
            <w:r>
              <w:rPr>
                <w:b/>
                <w:color w:val="FFFFFF"/>
              </w:rPr>
              <w:t>Active/decoy</w:t>
            </w:r>
          </w:p>
        </w:tc>
      </w:tr>
      <w:tr>
        <w:tc>
          <w:tcPr>
            <w:tcW w:type="dxa" w:w="1080"/>
            <w:vAlign w:val="top"/>
          </w:tcPr>
          <w:p>
            <w:pPr>
              <w:spacing w:after="0"/>
            </w:pPr>
            <w:r>
              <w:t>1</w:t>
            </w:r>
          </w:p>
        </w:tc>
        <w:tc>
          <w:tcPr>
            <w:tcW w:type="dxa" w:w="2520"/>
            <w:vAlign w:val="top"/>
          </w:tcPr>
          <w:p>
            <w:pPr>
              <w:spacing w:after="0"/>
            </w:pPr>
            <w:r>
              <w:t>000049_active_0065_active_00065</w:t>
            </w:r>
          </w:p>
        </w:tc>
        <w:tc>
          <w:tcPr>
            <w:tcW w:type="dxa" w:w="1152"/>
            <w:vAlign w:val="top"/>
          </w:tcPr>
          <w:p>
            <w:pPr>
              <w:spacing w:after="0"/>
            </w:pPr>
            <w:r>
              <w:t>17.498</w:t>
            </w:r>
          </w:p>
        </w:tc>
        <w:tc>
          <w:tcPr>
            <w:tcW w:type="dxa" w:w="1080"/>
            <w:vAlign w:val="top"/>
          </w:tcPr>
          <w:p>
            <w:pPr>
              <w:spacing w:after="0"/>
            </w:pPr>
            <w:r>
              <w:t>-12.320</w:t>
            </w:r>
          </w:p>
        </w:tc>
        <w:tc>
          <w:tcPr>
            <w:tcW w:type="dxa" w:w="1080"/>
            <w:vAlign w:val="top"/>
          </w:tcPr>
          <w:p>
            <w:pPr>
              <w:spacing w:after="0"/>
            </w:pPr>
            <w:r>
              <w:t>-12.290</w:t>
            </w:r>
          </w:p>
        </w:tc>
        <w:tc>
          <w:tcPr>
            <w:tcW w:type="dxa" w:w="1008"/>
            <w:vAlign w:val="top"/>
          </w:tcPr>
          <w:p>
            <w:pPr>
              <w:spacing w:after="0"/>
            </w:pPr>
            <w:r>
              <w:t>0.022</w:t>
            </w:r>
          </w:p>
        </w:tc>
        <w:tc>
          <w:tcPr>
            <w:tcW w:type="dxa" w:w="792"/>
            <w:vAlign w:val="top"/>
          </w:tcPr>
          <w:p>
            <w:pPr>
              <w:spacing w:after="0"/>
            </w:pPr>
            <w:r>
              <w:t>3</w:t>
            </w:r>
          </w:p>
        </w:tc>
        <w:tc>
          <w:tcPr>
            <w:tcW w:type="dxa" w:w="1080"/>
            <w:vAlign w:val="top"/>
          </w:tcPr>
          <w:p>
            <w:pPr>
              <w:spacing w:after="0"/>
            </w:pPr>
            <w:r>
              <w:t>active</w:t>
            </w:r>
          </w:p>
        </w:tc>
      </w:tr>
      <w:tr>
        <w:tc>
          <w:tcPr>
            <w:tcW w:type="dxa" w:w="1080"/>
            <w:vAlign w:val="top"/>
          </w:tcPr>
          <w:p>
            <w:pPr>
              <w:spacing w:after="0"/>
            </w:pPr>
            <w:r>
              <w:t>2</w:t>
            </w:r>
          </w:p>
        </w:tc>
        <w:tc>
          <w:tcPr>
            <w:tcW w:type="dxa" w:w="2520"/>
            <w:vAlign w:val="top"/>
          </w:tcPr>
          <w:p>
            <w:pPr>
              <w:spacing w:after="0"/>
            </w:pPr>
            <w:r>
              <w:t>000107_active_0125_active_00125</w:t>
            </w:r>
          </w:p>
        </w:tc>
        <w:tc>
          <w:tcPr>
            <w:tcW w:type="dxa" w:w="1152"/>
            <w:vAlign w:val="top"/>
          </w:tcPr>
          <w:p>
            <w:pPr>
              <w:spacing w:after="0"/>
            </w:pPr>
            <w:r>
              <w:t>16.612</w:t>
            </w:r>
          </w:p>
        </w:tc>
        <w:tc>
          <w:tcPr>
            <w:tcW w:type="dxa" w:w="1080"/>
            <w:vAlign w:val="top"/>
          </w:tcPr>
          <w:p>
            <w:pPr>
              <w:spacing w:after="0"/>
            </w:pPr>
            <w:r>
              <w:t>-11.970</w:t>
            </w:r>
          </w:p>
        </w:tc>
        <w:tc>
          <w:tcPr>
            <w:tcW w:type="dxa" w:w="1080"/>
            <w:vAlign w:val="top"/>
          </w:tcPr>
          <w:p>
            <w:pPr>
              <w:spacing w:after="0"/>
            </w:pPr>
            <w:r>
              <w:t>-11.970</w:t>
            </w:r>
          </w:p>
        </w:tc>
        <w:tc>
          <w:tcPr>
            <w:tcW w:type="dxa" w:w="1008"/>
            <w:vAlign w:val="top"/>
          </w:tcPr>
          <w:p>
            <w:pPr>
              <w:spacing w:after="0"/>
            </w:pPr>
            <w:r>
              <w:t>0.000</w:t>
            </w:r>
          </w:p>
        </w:tc>
        <w:tc>
          <w:tcPr>
            <w:tcW w:type="dxa" w:w="792"/>
            <w:vAlign w:val="top"/>
          </w:tcPr>
          <w:p>
            <w:pPr>
              <w:spacing w:after="0"/>
            </w:pPr>
            <w:r>
              <w:t>3</w:t>
            </w:r>
          </w:p>
        </w:tc>
        <w:tc>
          <w:tcPr>
            <w:tcW w:type="dxa" w:w="1080"/>
            <w:vAlign w:val="top"/>
          </w:tcPr>
          <w:p>
            <w:pPr>
              <w:spacing w:after="0"/>
            </w:pPr>
            <w:r>
              <w:t>active</w:t>
            </w:r>
          </w:p>
        </w:tc>
      </w:tr>
      <w:tr>
        <w:tc>
          <w:tcPr>
            <w:tcW w:type="dxa" w:w="1080"/>
            <w:vAlign w:val="top"/>
          </w:tcPr>
          <w:p>
            <w:pPr>
              <w:spacing w:after="0"/>
            </w:pPr>
            <w:r>
              <w:t>3</w:t>
            </w:r>
          </w:p>
        </w:tc>
        <w:tc>
          <w:tcPr>
            <w:tcW w:type="dxa" w:w="2520"/>
            <w:vAlign w:val="top"/>
          </w:tcPr>
          <w:p>
            <w:pPr>
              <w:spacing w:after="0"/>
            </w:pPr>
            <w:r>
              <w:t>000385_active_0457_active_00457</w:t>
            </w:r>
          </w:p>
        </w:tc>
        <w:tc>
          <w:tcPr>
            <w:tcW w:type="dxa" w:w="1152"/>
            <w:vAlign w:val="top"/>
          </w:tcPr>
          <w:p>
            <w:pPr>
              <w:spacing w:after="0"/>
            </w:pPr>
            <w:r>
              <w:t>16.017</w:t>
            </w:r>
          </w:p>
        </w:tc>
        <w:tc>
          <w:tcPr>
            <w:tcW w:type="dxa" w:w="1080"/>
            <w:vAlign w:val="top"/>
          </w:tcPr>
          <w:p>
            <w:pPr>
              <w:spacing w:after="0"/>
            </w:pPr>
            <w:r>
              <w:t>-11.660</w:t>
            </w:r>
          </w:p>
        </w:tc>
        <w:tc>
          <w:tcPr>
            <w:tcW w:type="dxa" w:w="1080"/>
            <w:vAlign w:val="top"/>
          </w:tcPr>
          <w:p>
            <w:pPr>
              <w:spacing w:after="0"/>
            </w:pPr>
            <w:r>
              <w:t>-11.640</w:t>
            </w:r>
          </w:p>
        </w:tc>
        <w:tc>
          <w:tcPr>
            <w:tcW w:type="dxa" w:w="1008"/>
            <w:vAlign w:val="top"/>
          </w:tcPr>
          <w:p>
            <w:pPr>
              <w:spacing w:after="0"/>
            </w:pPr>
            <w:r>
              <w:t>0.022</w:t>
            </w:r>
          </w:p>
        </w:tc>
        <w:tc>
          <w:tcPr>
            <w:tcW w:type="dxa" w:w="792"/>
            <w:vAlign w:val="top"/>
          </w:tcPr>
          <w:p>
            <w:pPr>
              <w:spacing w:after="0"/>
            </w:pPr>
            <w:r>
              <w:t>2</w:t>
            </w:r>
          </w:p>
        </w:tc>
        <w:tc>
          <w:tcPr>
            <w:tcW w:type="dxa" w:w="1080"/>
            <w:vAlign w:val="top"/>
          </w:tcPr>
          <w:p>
            <w:pPr>
              <w:spacing w:after="0"/>
            </w:pPr>
            <w:r>
              <w:t>active</w:t>
            </w:r>
          </w:p>
        </w:tc>
      </w:tr>
      <w:tr>
        <w:tc>
          <w:tcPr>
            <w:tcW w:type="dxa" w:w="1080"/>
            <w:vAlign w:val="top"/>
          </w:tcPr>
          <w:p>
            <w:pPr>
              <w:spacing w:after="0"/>
            </w:pPr>
            <w:r>
              <w:t>4</w:t>
            </w:r>
          </w:p>
        </w:tc>
        <w:tc>
          <w:tcPr>
            <w:tcW w:type="dxa" w:w="2520"/>
            <w:vAlign w:val="top"/>
          </w:tcPr>
          <w:p>
            <w:pPr>
              <w:spacing w:after="0"/>
            </w:pPr>
            <w:r>
              <w:t>000364_active_0435_active_00435</w:t>
            </w:r>
          </w:p>
        </w:tc>
        <w:tc>
          <w:tcPr>
            <w:tcW w:type="dxa" w:w="1152"/>
            <w:vAlign w:val="top"/>
          </w:tcPr>
          <w:p>
            <w:pPr>
              <w:spacing w:after="0"/>
            </w:pPr>
            <w:r>
              <w:t>15.908</w:t>
            </w:r>
          </w:p>
        </w:tc>
        <w:tc>
          <w:tcPr>
            <w:tcW w:type="dxa" w:w="1080"/>
            <w:vAlign w:val="top"/>
          </w:tcPr>
          <w:p>
            <w:pPr>
              <w:spacing w:after="0"/>
            </w:pPr>
            <w:r>
              <w:t>-11.630</w:t>
            </w:r>
          </w:p>
        </w:tc>
        <w:tc>
          <w:tcPr>
            <w:tcW w:type="dxa" w:w="1080"/>
            <w:vAlign w:val="top"/>
          </w:tcPr>
          <w:p>
            <w:pPr>
              <w:spacing w:after="0"/>
            </w:pPr>
            <w:r>
              <w:t>-11.613</w:t>
            </w:r>
          </w:p>
        </w:tc>
        <w:tc>
          <w:tcPr>
            <w:tcW w:type="dxa" w:w="1008"/>
            <w:vAlign w:val="top"/>
          </w:tcPr>
          <w:p>
            <w:pPr>
              <w:spacing w:after="0"/>
            </w:pPr>
            <w:r>
              <w:t>0.012</w:t>
            </w:r>
          </w:p>
        </w:tc>
        <w:tc>
          <w:tcPr>
            <w:tcW w:type="dxa" w:w="792"/>
            <w:vAlign w:val="top"/>
          </w:tcPr>
          <w:p>
            <w:pPr>
              <w:spacing w:after="0"/>
            </w:pPr>
            <w:r>
              <w:t>3</w:t>
            </w:r>
          </w:p>
        </w:tc>
        <w:tc>
          <w:tcPr>
            <w:tcW w:type="dxa" w:w="1080"/>
            <w:vAlign w:val="top"/>
          </w:tcPr>
          <w:p>
            <w:pPr>
              <w:spacing w:after="0"/>
            </w:pPr>
            <w:r>
              <w:t>active</w:t>
            </w:r>
          </w:p>
        </w:tc>
      </w:tr>
      <w:tr>
        <w:tc>
          <w:tcPr>
            <w:tcW w:type="dxa" w:w="1080"/>
            <w:vAlign w:val="top"/>
          </w:tcPr>
          <w:p>
            <w:pPr>
              <w:spacing w:after="0"/>
            </w:pPr>
            <w:r>
              <w:t>5</w:t>
            </w:r>
          </w:p>
        </w:tc>
        <w:tc>
          <w:tcPr>
            <w:tcW w:type="dxa" w:w="2520"/>
            <w:vAlign w:val="top"/>
          </w:tcPr>
          <w:p>
            <w:pPr>
              <w:spacing w:after="0"/>
            </w:pPr>
            <w:r>
              <w:t>000462_active_0539_active_00539</w:t>
            </w:r>
          </w:p>
        </w:tc>
        <w:tc>
          <w:tcPr>
            <w:tcW w:type="dxa" w:w="1152"/>
            <w:vAlign w:val="top"/>
          </w:tcPr>
          <w:p>
            <w:pPr>
              <w:spacing w:after="0"/>
            </w:pPr>
            <w:r>
              <w:t>15.791</w:t>
            </w:r>
          </w:p>
        </w:tc>
        <w:tc>
          <w:tcPr>
            <w:tcW w:type="dxa" w:w="1080"/>
            <w:vAlign w:val="top"/>
          </w:tcPr>
          <w:p>
            <w:pPr>
              <w:spacing w:after="0"/>
            </w:pPr>
            <w:r>
              <w:t>-11.580</w:t>
            </w:r>
          </w:p>
        </w:tc>
        <w:tc>
          <w:tcPr>
            <w:tcW w:type="dxa" w:w="1080"/>
            <w:vAlign w:val="top"/>
          </w:tcPr>
          <w:p>
            <w:pPr>
              <w:spacing w:after="0"/>
            </w:pPr>
            <w:r>
              <w:t>-11.563</w:t>
            </w:r>
          </w:p>
        </w:tc>
        <w:tc>
          <w:tcPr>
            <w:tcW w:type="dxa" w:w="1008"/>
            <w:vAlign w:val="top"/>
          </w:tcPr>
          <w:p>
            <w:pPr>
              <w:spacing w:after="0"/>
            </w:pPr>
            <w:r>
              <w:t>0.017</w:t>
            </w:r>
          </w:p>
        </w:tc>
        <w:tc>
          <w:tcPr>
            <w:tcW w:type="dxa" w:w="792"/>
            <w:vAlign w:val="top"/>
          </w:tcPr>
          <w:p>
            <w:pPr>
              <w:spacing w:after="0"/>
            </w:pPr>
            <w:r>
              <w:t>3</w:t>
            </w:r>
          </w:p>
        </w:tc>
        <w:tc>
          <w:tcPr>
            <w:tcW w:type="dxa" w:w="1080"/>
            <w:vAlign w:val="top"/>
          </w:tcPr>
          <w:p>
            <w:pPr>
              <w:spacing w:after="0"/>
            </w:pPr>
            <w:r>
              <w:t>active</w:t>
            </w:r>
          </w:p>
        </w:tc>
      </w:tr>
      <w:tr>
        <w:tc>
          <w:tcPr>
            <w:tcW w:type="dxa" w:w="1080"/>
            <w:vAlign w:val="top"/>
          </w:tcPr>
          <w:p>
            <w:pPr>
              <w:spacing w:after="0"/>
            </w:pPr>
            <w:r>
              <w:t>6</w:t>
            </w:r>
          </w:p>
        </w:tc>
        <w:tc>
          <w:tcPr>
            <w:tcW w:type="dxa" w:w="2520"/>
            <w:vAlign w:val="top"/>
          </w:tcPr>
          <w:p>
            <w:pPr>
              <w:spacing w:after="0"/>
            </w:pPr>
            <w:r>
              <w:t>018878_decoy_20357_decoy_20357</w:t>
            </w:r>
          </w:p>
        </w:tc>
        <w:tc>
          <w:tcPr>
            <w:tcW w:type="dxa" w:w="1152"/>
            <w:vAlign w:val="top"/>
          </w:tcPr>
          <w:p>
            <w:pPr>
              <w:spacing w:after="0"/>
            </w:pPr>
            <w:r>
              <w:t>15.559</w:t>
            </w:r>
          </w:p>
        </w:tc>
        <w:tc>
          <w:tcPr>
            <w:tcW w:type="dxa" w:w="1080"/>
            <w:vAlign w:val="top"/>
          </w:tcPr>
          <w:p>
            <w:pPr>
              <w:spacing w:after="0"/>
            </w:pPr>
            <w:r>
              <w:t>-11.420</w:t>
            </w:r>
          </w:p>
        </w:tc>
        <w:tc>
          <w:tcPr>
            <w:tcW w:type="dxa" w:w="1080"/>
            <w:vAlign w:val="top"/>
          </w:tcPr>
          <w:p>
            <w:pPr>
              <w:spacing w:after="0"/>
            </w:pPr>
            <w:r>
              <w:t>-11.407</w:t>
            </w:r>
          </w:p>
        </w:tc>
        <w:tc>
          <w:tcPr>
            <w:tcW w:type="dxa" w:w="1008"/>
            <w:vAlign w:val="top"/>
          </w:tcPr>
          <w:p>
            <w:pPr>
              <w:spacing w:after="0"/>
            </w:pPr>
            <w:r>
              <w:t>0.019</w:t>
            </w:r>
          </w:p>
        </w:tc>
        <w:tc>
          <w:tcPr>
            <w:tcW w:type="dxa" w:w="792"/>
            <w:vAlign w:val="top"/>
          </w:tcPr>
          <w:p>
            <w:pPr>
              <w:spacing w:after="0"/>
            </w:pPr>
            <w:r>
              <w:t>2</w:t>
            </w:r>
          </w:p>
        </w:tc>
        <w:tc>
          <w:tcPr>
            <w:tcW w:type="dxa" w:w="1080"/>
            <w:vAlign w:val="top"/>
          </w:tcPr>
          <w:p>
            <w:pPr>
              <w:spacing w:after="0"/>
            </w:pPr>
            <w:r>
              <w:t>decoy</w:t>
            </w:r>
          </w:p>
        </w:tc>
      </w:tr>
      <w:tr>
        <w:tc>
          <w:tcPr>
            <w:tcW w:type="dxa" w:w="1080"/>
            <w:vAlign w:val="top"/>
          </w:tcPr>
          <w:p>
            <w:pPr>
              <w:spacing w:after="0"/>
            </w:pPr>
            <w:r>
              <w:t>7</w:t>
            </w:r>
          </w:p>
        </w:tc>
        <w:tc>
          <w:tcPr>
            <w:tcW w:type="dxa" w:w="2520"/>
            <w:vAlign w:val="top"/>
          </w:tcPr>
          <w:p>
            <w:pPr>
              <w:spacing w:after="0"/>
            </w:pPr>
            <w:r>
              <w:t>000155_active_0187_active_00187</w:t>
            </w:r>
          </w:p>
        </w:tc>
        <w:tc>
          <w:tcPr>
            <w:tcW w:type="dxa" w:w="1152"/>
            <w:vAlign w:val="top"/>
          </w:tcPr>
          <w:p>
            <w:pPr>
              <w:spacing w:after="0"/>
            </w:pPr>
            <w:r>
              <w:t>15.478</w:t>
            </w:r>
          </w:p>
        </w:tc>
        <w:tc>
          <w:tcPr>
            <w:tcW w:type="dxa" w:w="1080"/>
            <w:vAlign w:val="top"/>
          </w:tcPr>
          <w:p>
            <w:pPr>
              <w:spacing w:after="0"/>
            </w:pPr>
            <w:r>
              <w:t>-11.390</w:t>
            </w:r>
          </w:p>
        </w:tc>
        <w:tc>
          <w:tcPr>
            <w:tcW w:type="dxa" w:w="1080"/>
            <w:vAlign w:val="top"/>
          </w:tcPr>
          <w:p>
            <w:pPr>
              <w:spacing w:after="0"/>
            </w:pPr>
            <w:r>
              <w:t>-11.370</w:t>
            </w:r>
          </w:p>
        </w:tc>
        <w:tc>
          <w:tcPr>
            <w:tcW w:type="dxa" w:w="1008"/>
            <w:vAlign w:val="top"/>
          </w:tcPr>
          <w:p>
            <w:pPr>
              <w:spacing w:after="0"/>
            </w:pPr>
            <w:r>
              <w:t>0.014</w:t>
            </w:r>
          </w:p>
        </w:tc>
        <w:tc>
          <w:tcPr>
            <w:tcW w:type="dxa" w:w="792"/>
            <w:vAlign w:val="top"/>
          </w:tcPr>
          <w:p>
            <w:pPr>
              <w:spacing w:after="0"/>
            </w:pPr>
            <w:r>
              <w:t>2</w:t>
            </w:r>
          </w:p>
        </w:tc>
        <w:tc>
          <w:tcPr>
            <w:tcW w:type="dxa" w:w="1080"/>
            <w:vAlign w:val="top"/>
          </w:tcPr>
          <w:p>
            <w:pPr>
              <w:spacing w:after="0"/>
            </w:pPr>
            <w:r>
              <w:t>active</w:t>
            </w:r>
          </w:p>
        </w:tc>
      </w:tr>
      <w:tr>
        <w:tc>
          <w:tcPr>
            <w:tcW w:type="dxa" w:w="1080"/>
            <w:vAlign w:val="top"/>
          </w:tcPr>
          <w:p>
            <w:pPr>
              <w:spacing w:after="0"/>
            </w:pPr>
            <w:r>
              <w:t>8</w:t>
            </w:r>
          </w:p>
        </w:tc>
        <w:tc>
          <w:tcPr>
            <w:tcW w:type="dxa" w:w="2520"/>
            <w:vAlign w:val="top"/>
          </w:tcPr>
          <w:p>
            <w:pPr>
              <w:spacing w:after="0"/>
            </w:pPr>
            <w:r>
              <w:t>000533_active_0615_active_00615</w:t>
            </w:r>
          </w:p>
        </w:tc>
        <w:tc>
          <w:tcPr>
            <w:tcW w:type="dxa" w:w="1152"/>
            <w:vAlign w:val="top"/>
          </w:tcPr>
          <w:p>
            <w:pPr>
              <w:spacing w:after="0"/>
            </w:pPr>
            <w:r>
              <w:t>15.347</w:t>
            </w:r>
          </w:p>
        </w:tc>
        <w:tc>
          <w:tcPr>
            <w:tcW w:type="dxa" w:w="1080"/>
            <w:vAlign w:val="top"/>
          </w:tcPr>
          <w:p>
            <w:pPr>
              <w:spacing w:after="0"/>
            </w:pPr>
            <w:r>
              <w:t>-11.310</w:t>
            </w:r>
          </w:p>
        </w:tc>
        <w:tc>
          <w:tcPr>
            <w:tcW w:type="dxa" w:w="1080"/>
            <w:vAlign w:val="top"/>
          </w:tcPr>
          <w:p>
            <w:pPr>
              <w:spacing w:after="0"/>
            </w:pPr>
            <w:r>
              <w:t>-11.280</w:t>
            </w:r>
          </w:p>
        </w:tc>
        <w:tc>
          <w:tcPr>
            <w:tcW w:type="dxa" w:w="1008"/>
            <w:vAlign w:val="top"/>
          </w:tcPr>
          <w:p>
            <w:pPr>
              <w:spacing w:after="0"/>
            </w:pPr>
            <w:r>
              <w:t>0.022</w:t>
            </w:r>
          </w:p>
        </w:tc>
        <w:tc>
          <w:tcPr>
            <w:tcW w:type="dxa" w:w="792"/>
            <w:vAlign w:val="top"/>
          </w:tcPr>
          <w:p>
            <w:pPr>
              <w:spacing w:after="0"/>
            </w:pPr>
            <w:r>
              <w:t>1</w:t>
            </w:r>
          </w:p>
        </w:tc>
        <w:tc>
          <w:tcPr>
            <w:tcW w:type="dxa" w:w="1080"/>
            <w:vAlign w:val="top"/>
          </w:tcPr>
          <w:p>
            <w:pPr>
              <w:spacing w:after="0"/>
            </w:pPr>
            <w:r>
              <w:t>active</w:t>
            </w:r>
          </w:p>
        </w:tc>
      </w:tr>
      <w:tr>
        <w:tc>
          <w:tcPr>
            <w:tcW w:type="dxa" w:w="1080"/>
            <w:vAlign w:val="top"/>
          </w:tcPr>
          <w:p>
            <w:pPr>
              <w:spacing w:after="0"/>
            </w:pPr>
            <w:r>
              <w:t>9</w:t>
            </w:r>
          </w:p>
        </w:tc>
        <w:tc>
          <w:tcPr>
            <w:tcW w:type="dxa" w:w="2520"/>
            <w:vAlign w:val="top"/>
          </w:tcPr>
          <w:p>
            <w:pPr>
              <w:spacing w:after="0"/>
            </w:pPr>
            <w:r>
              <w:t>001721_decoy_1151_decoy_01151</w:t>
            </w:r>
          </w:p>
        </w:tc>
        <w:tc>
          <w:tcPr>
            <w:tcW w:type="dxa" w:w="1152"/>
            <w:vAlign w:val="top"/>
          </w:tcPr>
          <w:p>
            <w:pPr>
              <w:spacing w:after="0"/>
            </w:pPr>
            <w:r>
              <w:t>15.282</w:t>
            </w:r>
          </w:p>
        </w:tc>
        <w:tc>
          <w:tcPr>
            <w:tcW w:type="dxa" w:w="1080"/>
            <w:vAlign w:val="top"/>
          </w:tcPr>
          <w:p>
            <w:pPr>
              <w:spacing w:after="0"/>
            </w:pPr>
            <w:r>
              <w:t>-11.240</w:t>
            </w:r>
          </w:p>
        </w:tc>
        <w:tc>
          <w:tcPr>
            <w:tcW w:type="dxa" w:w="1080"/>
            <w:vAlign w:val="top"/>
          </w:tcPr>
          <w:p>
            <w:pPr>
              <w:spacing w:after="0"/>
            </w:pPr>
            <w:r>
              <w:t>-11.230</w:t>
            </w:r>
          </w:p>
        </w:tc>
        <w:tc>
          <w:tcPr>
            <w:tcW w:type="dxa" w:w="1008"/>
            <w:vAlign w:val="top"/>
          </w:tcPr>
          <w:p>
            <w:pPr>
              <w:spacing w:after="0"/>
            </w:pPr>
            <w:r>
              <w:t>0.008</w:t>
            </w:r>
          </w:p>
        </w:tc>
        <w:tc>
          <w:tcPr>
            <w:tcW w:type="dxa" w:w="792"/>
            <w:vAlign w:val="top"/>
          </w:tcPr>
          <w:p>
            <w:pPr>
              <w:spacing w:after="0"/>
            </w:pPr>
            <w:r>
              <w:t>3</w:t>
            </w:r>
          </w:p>
        </w:tc>
        <w:tc>
          <w:tcPr>
            <w:tcW w:type="dxa" w:w="1080"/>
            <w:vAlign w:val="top"/>
          </w:tcPr>
          <w:p>
            <w:pPr>
              <w:spacing w:after="0"/>
            </w:pPr>
            <w:r>
              <w:t>decoy</w:t>
            </w:r>
          </w:p>
        </w:tc>
      </w:tr>
      <w:tr>
        <w:tc>
          <w:tcPr>
            <w:tcW w:type="dxa" w:w="1080"/>
            <w:vAlign w:val="top"/>
          </w:tcPr>
          <w:p>
            <w:pPr>
              <w:spacing w:after="0"/>
            </w:pPr>
            <w:r>
              <w:t>10</w:t>
            </w:r>
          </w:p>
        </w:tc>
        <w:tc>
          <w:tcPr>
            <w:tcW w:type="dxa" w:w="2520"/>
            <w:vAlign w:val="top"/>
          </w:tcPr>
          <w:p>
            <w:pPr>
              <w:spacing w:after="0"/>
            </w:pPr>
            <w:r>
              <w:t>000565_active_0656_active_00656</w:t>
            </w:r>
          </w:p>
        </w:tc>
        <w:tc>
          <w:tcPr>
            <w:tcW w:type="dxa" w:w="1152"/>
            <w:vAlign w:val="top"/>
          </w:tcPr>
          <w:p>
            <w:pPr>
              <w:spacing w:after="0"/>
            </w:pPr>
            <w:r>
              <w:t>15.249</w:t>
            </w:r>
          </w:p>
        </w:tc>
        <w:tc>
          <w:tcPr>
            <w:tcW w:type="dxa" w:w="1080"/>
            <w:vAlign w:val="top"/>
          </w:tcPr>
          <w:p>
            <w:pPr>
              <w:spacing w:after="0"/>
            </w:pPr>
            <w:r>
              <w:t>-11.230</w:t>
            </w:r>
          </w:p>
        </w:tc>
        <w:tc>
          <w:tcPr>
            <w:tcW w:type="dxa" w:w="1080"/>
            <w:vAlign w:val="top"/>
          </w:tcPr>
          <w:p>
            <w:pPr>
              <w:spacing w:after="0"/>
            </w:pPr>
            <w:r>
              <w:t>-11.213</w:t>
            </w:r>
          </w:p>
        </w:tc>
        <w:tc>
          <w:tcPr>
            <w:tcW w:type="dxa" w:w="1008"/>
            <w:vAlign w:val="top"/>
          </w:tcPr>
          <w:p>
            <w:pPr>
              <w:spacing w:after="0"/>
            </w:pPr>
            <w:r>
              <w:t>0.012</w:t>
            </w:r>
          </w:p>
        </w:tc>
        <w:tc>
          <w:tcPr>
            <w:tcW w:type="dxa" w:w="792"/>
            <w:vAlign w:val="top"/>
          </w:tcPr>
          <w:p>
            <w:pPr>
              <w:spacing w:after="0"/>
            </w:pPr>
            <w:r>
              <w:t>2</w:t>
            </w:r>
          </w:p>
        </w:tc>
        <w:tc>
          <w:tcPr>
            <w:tcW w:type="dxa" w:w="1080"/>
            <w:vAlign w:val="top"/>
          </w:tcPr>
          <w:p>
            <w:pPr>
              <w:spacing w:after="0"/>
            </w:pPr>
            <w:r>
              <w:t>active</w:t>
            </w:r>
          </w:p>
        </w:tc>
      </w:tr>
    </w:tbl>
    <w:p>
      <w:pPr>
        <w:pStyle w:val="Heading2"/>
      </w:pPr>
      <w:r>
        <w:t>4.4 Block 3: MD and MM/GBSA optimization</w:t>
      </w:r>
    </w:p>
    <w:p>
      <w:r>
        <w:t>Block 3 advanced 20 ligands from hit refinement into MD/optimization. For each ligand, OSLab reconstructed an MD-ready complex from the selected docked pose, prepared ligand and protein files, built a solvated OpenMM system, ran short equilibration and production simulations, computed trajectory-derived interaction fingerprints, and estimated relative binding strength by MM/GBSA-style energy decomposition.</w:t>
      </w:r>
    </w:p>
    <w:p>
      <w:r>
        <w:t>The MD protocol recorded pH 7.4, water padding 1.2 nm, ionic strength 0.15 M, temperature 300 K, OpenFF/SMIRNOFF ligand force field `openff-2.2.0`, 1,000 minimization steps, a 2 fs timestep, 0.1 ns NVT equilibration, 0.1 ns NPT equilibration, 1.0 ns production, and 50 analysis frames. The report text records OpenMM 8.1.5 for the MD run, while the protein-prep metadata records OpenMM 8.5.1; both version records are preserved in the source files and should be checked against the exact server environment if final manuscript versioning is required.</w:t>
      </w:r>
    </w:p>
    <w:p>
      <w:r>
        <w:t>MM/GBSA values in this document are used as relative ranking metrics rather than calibrated absolute binding free energies. The estimator computes an approximate ΔG_bind from averaged complex, receptor, and ligand energy terms in an implicit-solvent model. The pipeline also records ligand RMSD over the production trajectory and ProLIF occupancy of interactions with protein residues.</w:t>
      </w:r>
    </w:p>
    <w:tbl>
      <w:tblPr>
        <w:tblStyle w:val="LightList-Accent1"/>
        <w:tblW w:type="auto" w:w="0"/>
        <w:jc w:val="center"/>
        <w:tblLook w:firstColumn="1" w:firstRow="1" w:lastColumn="0" w:lastRow="0" w:noHBand="0" w:noVBand="1" w:val="04A0"/>
      </w:tblPr>
      <w:tblGrid>
        <w:gridCol w:w="5040"/>
        <w:gridCol w:w="5040"/>
      </w:tblGrid>
      <w:tr>
        <w:trPr>
          <w:tblHeader w:val="true"/>
        </w:trPr>
        <w:tc>
          <w:tcPr>
            <w:tcW w:type="dxa" w:w="3240"/>
            <w:shd w:fill="1F4E79"/>
          </w:tcPr>
          <w:p>
            <w:r/>
            <w:r>
              <w:rPr>
                <w:b/>
                <w:color w:val="FFFFFF"/>
              </w:rPr>
              <w:t>Field</w:t>
            </w:r>
          </w:p>
        </w:tc>
        <w:tc>
          <w:tcPr>
            <w:tcW w:type="dxa" w:w="6840"/>
            <w:shd w:fill="1F4E79"/>
          </w:tcPr>
          <w:p>
            <w:r/>
            <w:r>
              <w:rPr>
                <w:b/>
                <w:color w:val="FFFFFF"/>
              </w:rPr>
              <w:t>Value</w:t>
            </w:r>
          </w:p>
        </w:tc>
      </w:tr>
      <w:tr>
        <w:tc>
          <w:tcPr>
            <w:tcW w:type="dxa" w:w="3240"/>
            <w:vAlign w:val="top"/>
          </w:tcPr>
          <w:p>
            <w:pPr>
              <w:spacing w:after="0"/>
            </w:pPr>
            <w:r>
              <w:t>Ligands simulated</w:t>
            </w:r>
          </w:p>
        </w:tc>
        <w:tc>
          <w:tcPr>
            <w:tcW w:type="dxa" w:w="6840"/>
            <w:vAlign w:val="top"/>
          </w:tcPr>
          <w:p>
            <w:pPr>
              <w:spacing w:after="0"/>
            </w:pPr>
            <w:r>
              <w:t>20/20</w:t>
            </w:r>
          </w:p>
        </w:tc>
      </w:tr>
      <w:tr>
        <w:tc>
          <w:tcPr>
            <w:tcW w:type="dxa" w:w="3240"/>
            <w:vAlign w:val="top"/>
          </w:tcPr>
          <w:p>
            <w:pPr>
              <w:spacing w:after="0"/>
            </w:pPr>
            <w:r>
              <w:t>Water padding</w:t>
            </w:r>
          </w:p>
        </w:tc>
        <w:tc>
          <w:tcPr>
            <w:tcW w:type="dxa" w:w="6840"/>
            <w:vAlign w:val="top"/>
          </w:tcPr>
          <w:p>
            <w:pPr>
              <w:spacing w:after="0"/>
            </w:pPr>
            <w:r>
              <w:t>1.2 nm</w:t>
            </w:r>
          </w:p>
        </w:tc>
      </w:tr>
      <w:tr>
        <w:tc>
          <w:tcPr>
            <w:tcW w:type="dxa" w:w="3240"/>
            <w:vAlign w:val="top"/>
          </w:tcPr>
          <w:p>
            <w:pPr>
              <w:spacing w:after="0"/>
            </w:pPr>
            <w:r>
              <w:t>Ionic strength</w:t>
            </w:r>
          </w:p>
        </w:tc>
        <w:tc>
          <w:tcPr>
            <w:tcW w:type="dxa" w:w="6840"/>
            <w:vAlign w:val="top"/>
          </w:tcPr>
          <w:p>
            <w:pPr>
              <w:spacing w:after="0"/>
            </w:pPr>
            <w:r>
              <w:t>0.15 M</w:t>
            </w:r>
          </w:p>
        </w:tc>
      </w:tr>
      <w:tr>
        <w:tc>
          <w:tcPr>
            <w:tcW w:type="dxa" w:w="3240"/>
            <w:vAlign w:val="top"/>
          </w:tcPr>
          <w:p>
            <w:pPr>
              <w:spacing w:after="0"/>
            </w:pPr>
            <w:r>
              <w:t>Temperature</w:t>
            </w:r>
          </w:p>
        </w:tc>
        <w:tc>
          <w:tcPr>
            <w:tcW w:type="dxa" w:w="6840"/>
            <w:vAlign w:val="top"/>
          </w:tcPr>
          <w:p>
            <w:pPr>
              <w:spacing w:after="0"/>
            </w:pPr>
            <w:r>
              <w:t>300 K</w:t>
            </w:r>
          </w:p>
        </w:tc>
      </w:tr>
      <w:tr>
        <w:tc>
          <w:tcPr>
            <w:tcW w:type="dxa" w:w="3240"/>
            <w:vAlign w:val="top"/>
          </w:tcPr>
          <w:p>
            <w:pPr>
              <w:spacing w:after="0"/>
            </w:pPr>
            <w:r>
              <w:t>Minimization</w:t>
            </w:r>
          </w:p>
        </w:tc>
        <w:tc>
          <w:tcPr>
            <w:tcW w:type="dxa" w:w="6840"/>
            <w:vAlign w:val="top"/>
          </w:tcPr>
          <w:p>
            <w:pPr>
              <w:spacing w:after="0"/>
            </w:pPr>
            <w:r>
              <w:t>1,000 steps</w:t>
            </w:r>
          </w:p>
        </w:tc>
      </w:tr>
      <w:tr>
        <w:tc>
          <w:tcPr>
            <w:tcW w:type="dxa" w:w="3240"/>
            <w:vAlign w:val="top"/>
          </w:tcPr>
          <w:p>
            <w:pPr>
              <w:spacing w:after="0"/>
            </w:pPr>
            <w:r>
              <w:t>Equilibration</w:t>
            </w:r>
          </w:p>
        </w:tc>
        <w:tc>
          <w:tcPr>
            <w:tcW w:type="dxa" w:w="6840"/>
            <w:vAlign w:val="top"/>
          </w:tcPr>
          <w:p>
            <w:pPr>
              <w:spacing w:after="0"/>
            </w:pPr>
            <w:r>
              <w:t>0.1 ns NVT + 0.1 ns NPT</w:t>
            </w:r>
          </w:p>
        </w:tc>
      </w:tr>
      <w:tr>
        <w:tc>
          <w:tcPr>
            <w:tcW w:type="dxa" w:w="3240"/>
            <w:vAlign w:val="top"/>
          </w:tcPr>
          <w:p>
            <w:pPr>
              <w:spacing w:after="0"/>
            </w:pPr>
            <w:r>
              <w:t>Production</w:t>
            </w:r>
          </w:p>
        </w:tc>
        <w:tc>
          <w:tcPr>
            <w:tcW w:type="dxa" w:w="6840"/>
            <w:vAlign w:val="top"/>
          </w:tcPr>
          <w:p>
            <w:pPr>
              <w:spacing w:after="0"/>
            </w:pPr>
            <w:r>
              <w:t>1.0 ns</w:t>
            </w:r>
          </w:p>
        </w:tc>
      </w:tr>
      <w:tr>
        <w:tc>
          <w:tcPr>
            <w:tcW w:type="dxa" w:w="3240"/>
            <w:vAlign w:val="top"/>
          </w:tcPr>
          <w:p>
            <w:pPr>
              <w:spacing w:after="0"/>
            </w:pPr>
            <w:r>
              <w:t>Trajectory frames analyzed</w:t>
            </w:r>
          </w:p>
        </w:tc>
        <w:tc>
          <w:tcPr>
            <w:tcW w:type="dxa" w:w="6840"/>
            <w:vAlign w:val="top"/>
          </w:tcPr>
          <w:p>
            <w:pPr>
              <w:spacing w:after="0"/>
            </w:pPr>
            <w:r>
              <w:t>50</w:t>
            </w:r>
          </w:p>
        </w:tc>
      </w:tr>
      <w:tr>
        <w:tc>
          <w:tcPr>
            <w:tcW w:type="dxa" w:w="3240"/>
            <w:vAlign w:val="top"/>
          </w:tcPr>
          <w:p>
            <w:pPr>
              <w:spacing w:after="0"/>
            </w:pPr>
            <w:r>
              <w:t>Force field</w:t>
            </w:r>
          </w:p>
        </w:tc>
        <w:tc>
          <w:tcPr>
            <w:tcW w:type="dxa" w:w="6840"/>
            <w:vAlign w:val="top"/>
          </w:tcPr>
          <w:p>
            <w:pPr>
              <w:spacing w:after="0"/>
            </w:pPr>
            <w:r>
              <w:t>OpenFF/SMIRNOFF openff-2.2.0 for ligand; protein/water settings recorded in MD report</w:t>
            </w:r>
          </w:p>
        </w:tc>
      </w:tr>
      <w:tr>
        <w:tc>
          <w:tcPr>
            <w:tcW w:type="dxa" w:w="3240"/>
            <w:vAlign w:val="top"/>
          </w:tcPr>
          <w:p>
            <w:pPr>
              <w:spacing w:after="0"/>
            </w:pPr>
            <w:r>
              <w:t>Completed</w:t>
            </w:r>
          </w:p>
        </w:tc>
        <w:tc>
          <w:tcPr>
            <w:tcW w:type="dxa" w:w="6840"/>
            <w:vAlign w:val="top"/>
          </w:tcPr>
          <w:p>
            <w:pPr>
              <w:spacing w:after="0"/>
            </w:pPr>
            <w:r>
              <w:t>May 13, 2026 at 18:49 UTC</w:t>
            </w:r>
          </w:p>
        </w:tc>
      </w:tr>
    </w:tbl>
    <w:tbl>
      <w:tblPr>
        <w:tblStyle w:val="LightList-Accent1"/>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648"/>
            <w:shd w:fill="1F4E79"/>
          </w:tcPr>
          <w:p>
            <w:r/>
            <w:r>
              <w:rPr>
                <w:b/>
                <w:color w:val="FFFFFF"/>
              </w:rPr>
              <w:t>Rank</w:t>
            </w:r>
          </w:p>
        </w:tc>
        <w:tc>
          <w:tcPr>
            <w:tcW w:type="dxa" w:w="2448"/>
            <w:shd w:fill="1F4E79"/>
          </w:tcPr>
          <w:p>
            <w:r/>
            <w:r>
              <w:rPr>
                <w:b/>
                <w:color w:val="FFFFFF"/>
              </w:rPr>
              <w:t>Ligand</w:t>
            </w:r>
          </w:p>
        </w:tc>
        <w:tc>
          <w:tcPr>
            <w:tcW w:type="dxa" w:w="1080"/>
            <w:shd w:fill="1F4E79"/>
          </w:tcPr>
          <w:p>
            <w:r/>
            <w:r>
              <w:rPr>
                <w:b/>
                <w:color w:val="FFFFFF"/>
              </w:rPr>
              <w:t>Active/decoy</w:t>
            </w:r>
          </w:p>
        </w:tc>
        <w:tc>
          <w:tcPr>
            <w:tcW w:type="dxa" w:w="1080"/>
            <w:shd w:fill="1F4E79"/>
          </w:tcPr>
          <w:p>
            <w:r/>
            <w:r>
              <w:rPr>
                <w:b/>
                <w:color w:val="FFFFFF"/>
              </w:rPr>
              <w:t>Vina score</w:t>
            </w:r>
          </w:p>
        </w:tc>
        <w:tc>
          <w:tcPr>
            <w:tcW w:type="dxa" w:w="1368"/>
            <w:shd w:fill="1F4E79"/>
          </w:tcPr>
          <w:p>
            <w:r/>
            <w:r>
              <w:rPr>
                <w:b/>
                <w:color w:val="FFFFFF"/>
              </w:rPr>
              <w:t>MM/GBSA mean ΔG</w:t>
            </w:r>
          </w:p>
        </w:tc>
        <w:tc>
          <w:tcPr>
            <w:tcW w:type="dxa" w:w="1224"/>
            <w:shd w:fill="1F4E79"/>
          </w:tcPr>
          <w:p>
            <w:r/>
            <w:r>
              <w:rPr>
                <w:b/>
                <w:color w:val="FFFFFF"/>
              </w:rPr>
              <w:t>MM/GBSA SD</w:t>
            </w:r>
          </w:p>
        </w:tc>
        <w:tc>
          <w:tcPr>
            <w:tcW w:type="dxa" w:w="1296"/>
            <w:shd w:fill="1F4E79"/>
          </w:tcPr>
          <w:p>
            <w:r/>
            <w:r>
              <w:rPr>
                <w:b/>
                <w:color w:val="FFFFFF"/>
              </w:rPr>
              <w:t>Ligand RMSD mean</w:t>
            </w:r>
          </w:p>
        </w:tc>
      </w:tr>
      <w:tr>
        <w:tc>
          <w:tcPr>
            <w:tcW w:type="dxa" w:w="648"/>
            <w:vAlign w:val="top"/>
          </w:tcPr>
          <w:p>
            <w:pPr>
              <w:spacing w:after="0"/>
            </w:pPr>
            <w:r>
              <w:t>1</w:t>
            </w:r>
          </w:p>
        </w:tc>
        <w:tc>
          <w:tcPr>
            <w:tcW w:type="dxa" w:w="2448"/>
            <w:vAlign w:val="top"/>
          </w:tcPr>
          <w:p>
            <w:pPr>
              <w:spacing w:after="0"/>
            </w:pPr>
            <w:r>
              <w:t>000107_active_0125_active_00125</w:t>
            </w:r>
          </w:p>
        </w:tc>
        <w:tc>
          <w:tcPr>
            <w:tcW w:type="dxa" w:w="1080"/>
            <w:vAlign w:val="top"/>
          </w:tcPr>
          <w:p>
            <w:pPr>
              <w:spacing w:after="0"/>
            </w:pPr>
            <w:r>
              <w:t>active</w:t>
            </w:r>
          </w:p>
        </w:tc>
        <w:tc>
          <w:tcPr>
            <w:tcW w:type="dxa" w:w="1080"/>
            <w:vAlign w:val="top"/>
          </w:tcPr>
          <w:p>
            <w:pPr>
              <w:spacing w:after="0"/>
            </w:pPr>
            <w:r>
              <w:t>-11.97</w:t>
            </w:r>
          </w:p>
        </w:tc>
        <w:tc>
          <w:tcPr>
            <w:tcW w:type="dxa" w:w="1368"/>
            <w:vAlign w:val="top"/>
          </w:tcPr>
          <w:p>
            <w:pPr>
              <w:spacing w:after="0"/>
            </w:pPr>
            <w:r>
              <w:t>-59.15</w:t>
            </w:r>
          </w:p>
        </w:tc>
        <w:tc>
          <w:tcPr>
            <w:tcW w:type="dxa" w:w="1224"/>
            <w:vAlign w:val="top"/>
          </w:tcPr>
          <w:p>
            <w:pPr>
              <w:spacing w:after="0"/>
            </w:pPr>
            <w:r>
              <w:t>2.35</w:t>
            </w:r>
          </w:p>
        </w:tc>
        <w:tc>
          <w:tcPr>
            <w:tcW w:type="dxa" w:w="1296"/>
            <w:vAlign w:val="top"/>
          </w:tcPr>
          <w:p>
            <w:pPr>
              <w:spacing w:after="0"/>
            </w:pPr>
            <w:r>
              <w:t>0.23</w:t>
            </w:r>
          </w:p>
        </w:tc>
      </w:tr>
      <w:tr>
        <w:tc>
          <w:tcPr>
            <w:tcW w:type="dxa" w:w="648"/>
            <w:vAlign w:val="top"/>
          </w:tcPr>
          <w:p>
            <w:pPr>
              <w:spacing w:after="0"/>
            </w:pPr>
            <w:r>
              <w:t>2</w:t>
            </w:r>
          </w:p>
        </w:tc>
        <w:tc>
          <w:tcPr>
            <w:tcW w:type="dxa" w:w="2448"/>
            <w:vAlign w:val="top"/>
          </w:tcPr>
          <w:p>
            <w:pPr>
              <w:spacing w:after="0"/>
            </w:pPr>
            <w:r>
              <w:t>000565_active_0656_active_00656</w:t>
            </w:r>
          </w:p>
        </w:tc>
        <w:tc>
          <w:tcPr>
            <w:tcW w:type="dxa" w:w="1080"/>
            <w:vAlign w:val="top"/>
          </w:tcPr>
          <w:p>
            <w:pPr>
              <w:spacing w:after="0"/>
            </w:pPr>
            <w:r>
              <w:t>active</w:t>
            </w:r>
          </w:p>
        </w:tc>
        <w:tc>
          <w:tcPr>
            <w:tcW w:type="dxa" w:w="1080"/>
            <w:vAlign w:val="top"/>
          </w:tcPr>
          <w:p>
            <w:pPr>
              <w:spacing w:after="0"/>
            </w:pPr>
            <w:r>
              <w:t>-11.23</w:t>
            </w:r>
          </w:p>
        </w:tc>
        <w:tc>
          <w:tcPr>
            <w:tcW w:type="dxa" w:w="1368"/>
            <w:vAlign w:val="top"/>
          </w:tcPr>
          <w:p>
            <w:pPr>
              <w:spacing w:after="0"/>
            </w:pPr>
            <w:r>
              <w:t>-51.98</w:t>
            </w:r>
          </w:p>
        </w:tc>
        <w:tc>
          <w:tcPr>
            <w:tcW w:type="dxa" w:w="1224"/>
            <w:vAlign w:val="top"/>
          </w:tcPr>
          <w:p>
            <w:pPr>
              <w:spacing w:after="0"/>
            </w:pPr>
            <w:r>
              <w:t>2.82</w:t>
            </w:r>
          </w:p>
        </w:tc>
        <w:tc>
          <w:tcPr>
            <w:tcW w:type="dxa" w:w="1296"/>
            <w:vAlign w:val="top"/>
          </w:tcPr>
          <w:p>
            <w:pPr>
              <w:spacing w:after="0"/>
            </w:pPr>
            <w:r>
              <w:t>0.45</w:t>
            </w:r>
          </w:p>
        </w:tc>
      </w:tr>
      <w:tr>
        <w:tc>
          <w:tcPr>
            <w:tcW w:type="dxa" w:w="648"/>
            <w:vAlign w:val="top"/>
          </w:tcPr>
          <w:p>
            <w:pPr>
              <w:spacing w:after="0"/>
            </w:pPr>
            <w:r>
              <w:t>3</w:t>
            </w:r>
          </w:p>
        </w:tc>
        <w:tc>
          <w:tcPr>
            <w:tcW w:type="dxa" w:w="2448"/>
            <w:vAlign w:val="top"/>
          </w:tcPr>
          <w:p>
            <w:pPr>
              <w:spacing w:after="0"/>
            </w:pPr>
            <w:r>
              <w:t>000723_decoy_0093_decoy_00093</w:t>
            </w:r>
          </w:p>
        </w:tc>
        <w:tc>
          <w:tcPr>
            <w:tcW w:type="dxa" w:w="1080"/>
            <w:vAlign w:val="top"/>
          </w:tcPr>
          <w:p>
            <w:pPr>
              <w:spacing w:after="0"/>
            </w:pPr>
            <w:r>
              <w:t>decoy</w:t>
            </w:r>
          </w:p>
        </w:tc>
        <w:tc>
          <w:tcPr>
            <w:tcW w:type="dxa" w:w="1080"/>
            <w:vAlign w:val="top"/>
          </w:tcPr>
          <w:p>
            <w:pPr>
              <w:spacing w:after="0"/>
            </w:pPr>
            <w:r>
              <w:t>-11.03</w:t>
            </w:r>
          </w:p>
        </w:tc>
        <w:tc>
          <w:tcPr>
            <w:tcW w:type="dxa" w:w="1368"/>
            <w:vAlign w:val="top"/>
          </w:tcPr>
          <w:p>
            <w:pPr>
              <w:spacing w:after="0"/>
            </w:pPr>
            <w:r>
              <w:t>-46.62</w:t>
            </w:r>
          </w:p>
        </w:tc>
        <w:tc>
          <w:tcPr>
            <w:tcW w:type="dxa" w:w="1224"/>
            <w:vAlign w:val="top"/>
          </w:tcPr>
          <w:p>
            <w:pPr>
              <w:spacing w:after="0"/>
            </w:pPr>
            <w:r>
              <w:t>7.84</w:t>
            </w:r>
          </w:p>
        </w:tc>
        <w:tc>
          <w:tcPr>
            <w:tcW w:type="dxa" w:w="1296"/>
            <w:vAlign w:val="top"/>
          </w:tcPr>
          <w:p>
            <w:pPr>
              <w:spacing w:after="0"/>
            </w:pPr>
            <w:r>
              <w:t>0.72</w:t>
            </w:r>
          </w:p>
        </w:tc>
      </w:tr>
      <w:tr>
        <w:tc>
          <w:tcPr>
            <w:tcW w:type="dxa" w:w="648"/>
            <w:vAlign w:val="top"/>
          </w:tcPr>
          <w:p>
            <w:pPr>
              <w:spacing w:after="0"/>
            </w:pPr>
            <w:r>
              <w:t>4</w:t>
            </w:r>
          </w:p>
        </w:tc>
        <w:tc>
          <w:tcPr>
            <w:tcW w:type="dxa" w:w="2448"/>
            <w:vAlign w:val="top"/>
          </w:tcPr>
          <w:p>
            <w:pPr>
              <w:spacing w:after="0"/>
            </w:pPr>
            <w:r>
              <w:t>000381_active_0452_active_00452</w:t>
            </w:r>
          </w:p>
        </w:tc>
        <w:tc>
          <w:tcPr>
            <w:tcW w:type="dxa" w:w="1080"/>
            <w:vAlign w:val="top"/>
          </w:tcPr>
          <w:p>
            <w:pPr>
              <w:spacing w:after="0"/>
            </w:pPr>
            <w:r>
              <w:t>active</w:t>
            </w:r>
          </w:p>
        </w:tc>
        <w:tc>
          <w:tcPr>
            <w:tcW w:type="dxa" w:w="1080"/>
            <w:vAlign w:val="top"/>
          </w:tcPr>
          <w:p>
            <w:pPr>
              <w:spacing w:after="0"/>
            </w:pPr>
            <w:r>
              <w:t>-11.08</w:t>
            </w:r>
          </w:p>
        </w:tc>
        <w:tc>
          <w:tcPr>
            <w:tcW w:type="dxa" w:w="1368"/>
            <w:vAlign w:val="top"/>
          </w:tcPr>
          <w:p>
            <w:pPr>
              <w:spacing w:after="0"/>
            </w:pPr>
            <w:r>
              <w:t>-45.36</w:t>
            </w:r>
          </w:p>
        </w:tc>
        <w:tc>
          <w:tcPr>
            <w:tcW w:type="dxa" w:w="1224"/>
            <w:vAlign w:val="top"/>
          </w:tcPr>
          <w:p>
            <w:pPr>
              <w:spacing w:after="0"/>
            </w:pPr>
            <w:r>
              <w:t>10.23</w:t>
            </w:r>
          </w:p>
        </w:tc>
        <w:tc>
          <w:tcPr>
            <w:tcW w:type="dxa" w:w="1296"/>
            <w:vAlign w:val="top"/>
          </w:tcPr>
          <w:p>
            <w:pPr>
              <w:spacing w:after="0"/>
            </w:pPr>
            <w:r>
              <w:t>0.89</w:t>
            </w:r>
          </w:p>
        </w:tc>
      </w:tr>
      <w:tr>
        <w:tc>
          <w:tcPr>
            <w:tcW w:type="dxa" w:w="648"/>
            <w:vAlign w:val="top"/>
          </w:tcPr>
          <w:p>
            <w:pPr>
              <w:spacing w:after="0"/>
            </w:pPr>
            <w:r>
              <w:t>5</w:t>
            </w:r>
          </w:p>
        </w:tc>
        <w:tc>
          <w:tcPr>
            <w:tcW w:type="dxa" w:w="2448"/>
            <w:vAlign w:val="top"/>
          </w:tcPr>
          <w:p>
            <w:pPr>
              <w:spacing w:after="0"/>
            </w:pPr>
            <w:r>
              <w:t>000364_active_0435_active_00435</w:t>
            </w:r>
          </w:p>
        </w:tc>
        <w:tc>
          <w:tcPr>
            <w:tcW w:type="dxa" w:w="1080"/>
            <w:vAlign w:val="top"/>
          </w:tcPr>
          <w:p>
            <w:pPr>
              <w:spacing w:after="0"/>
            </w:pPr>
            <w:r>
              <w:t>active</w:t>
            </w:r>
          </w:p>
        </w:tc>
        <w:tc>
          <w:tcPr>
            <w:tcW w:type="dxa" w:w="1080"/>
            <w:vAlign w:val="top"/>
          </w:tcPr>
          <w:p>
            <w:pPr>
              <w:spacing w:after="0"/>
            </w:pPr>
            <w:r>
              <w:t>-11.63</w:t>
            </w:r>
          </w:p>
        </w:tc>
        <w:tc>
          <w:tcPr>
            <w:tcW w:type="dxa" w:w="1368"/>
            <w:vAlign w:val="top"/>
          </w:tcPr>
          <w:p>
            <w:pPr>
              <w:spacing w:after="0"/>
            </w:pPr>
            <w:r>
              <w:t>-43.20</w:t>
            </w:r>
          </w:p>
        </w:tc>
        <w:tc>
          <w:tcPr>
            <w:tcW w:type="dxa" w:w="1224"/>
            <w:vAlign w:val="top"/>
          </w:tcPr>
          <w:p>
            <w:pPr>
              <w:spacing w:after="0"/>
            </w:pPr>
            <w:r>
              <w:t>3.07</w:t>
            </w:r>
          </w:p>
        </w:tc>
        <w:tc>
          <w:tcPr>
            <w:tcW w:type="dxa" w:w="1296"/>
            <w:vAlign w:val="top"/>
          </w:tcPr>
          <w:p>
            <w:pPr>
              <w:spacing w:after="0"/>
            </w:pPr>
            <w:r>
              <w:t>0.61</w:t>
            </w:r>
          </w:p>
        </w:tc>
      </w:tr>
      <w:tr>
        <w:tc>
          <w:tcPr>
            <w:tcW w:type="dxa" w:w="648"/>
            <w:vAlign w:val="top"/>
          </w:tcPr>
          <w:p>
            <w:pPr>
              <w:spacing w:after="0"/>
            </w:pPr>
            <w:r>
              <w:t>6</w:t>
            </w:r>
          </w:p>
        </w:tc>
        <w:tc>
          <w:tcPr>
            <w:tcW w:type="dxa" w:w="2448"/>
            <w:vAlign w:val="top"/>
          </w:tcPr>
          <w:p>
            <w:pPr>
              <w:spacing w:after="0"/>
            </w:pPr>
            <w:r>
              <w:t>000049_active_0065_active_00065</w:t>
            </w:r>
          </w:p>
        </w:tc>
        <w:tc>
          <w:tcPr>
            <w:tcW w:type="dxa" w:w="1080"/>
            <w:vAlign w:val="top"/>
          </w:tcPr>
          <w:p>
            <w:pPr>
              <w:spacing w:after="0"/>
            </w:pPr>
            <w:r>
              <w:t>active</w:t>
            </w:r>
          </w:p>
        </w:tc>
        <w:tc>
          <w:tcPr>
            <w:tcW w:type="dxa" w:w="1080"/>
            <w:vAlign w:val="top"/>
          </w:tcPr>
          <w:p>
            <w:pPr>
              <w:spacing w:after="0"/>
            </w:pPr>
            <w:r>
              <w:t>-12.32</w:t>
            </w:r>
          </w:p>
        </w:tc>
        <w:tc>
          <w:tcPr>
            <w:tcW w:type="dxa" w:w="1368"/>
            <w:vAlign w:val="top"/>
          </w:tcPr>
          <w:p>
            <w:pPr>
              <w:spacing w:after="0"/>
            </w:pPr>
            <w:r>
              <w:t>-37.14</w:t>
            </w:r>
          </w:p>
        </w:tc>
        <w:tc>
          <w:tcPr>
            <w:tcW w:type="dxa" w:w="1224"/>
            <w:vAlign w:val="top"/>
          </w:tcPr>
          <w:p>
            <w:pPr>
              <w:spacing w:after="0"/>
            </w:pPr>
            <w:r>
              <w:t>9.98</w:t>
            </w:r>
          </w:p>
        </w:tc>
        <w:tc>
          <w:tcPr>
            <w:tcW w:type="dxa" w:w="1296"/>
            <w:vAlign w:val="top"/>
          </w:tcPr>
          <w:p>
            <w:pPr>
              <w:spacing w:after="0"/>
            </w:pPr>
            <w:r>
              <w:t>0.47</w:t>
            </w:r>
          </w:p>
        </w:tc>
      </w:tr>
      <w:tr>
        <w:tc>
          <w:tcPr>
            <w:tcW w:type="dxa" w:w="648"/>
            <w:vAlign w:val="top"/>
          </w:tcPr>
          <w:p>
            <w:pPr>
              <w:spacing w:after="0"/>
            </w:pPr>
            <w:r>
              <w:t>7</w:t>
            </w:r>
          </w:p>
        </w:tc>
        <w:tc>
          <w:tcPr>
            <w:tcW w:type="dxa" w:w="2448"/>
            <w:vAlign w:val="top"/>
          </w:tcPr>
          <w:p>
            <w:pPr>
              <w:spacing w:after="0"/>
            </w:pPr>
            <w:r>
              <w:t>000462_active_0539_active_00539</w:t>
            </w:r>
          </w:p>
        </w:tc>
        <w:tc>
          <w:tcPr>
            <w:tcW w:type="dxa" w:w="1080"/>
            <w:vAlign w:val="top"/>
          </w:tcPr>
          <w:p>
            <w:pPr>
              <w:spacing w:after="0"/>
            </w:pPr>
            <w:r>
              <w:t>active</w:t>
            </w:r>
          </w:p>
        </w:tc>
        <w:tc>
          <w:tcPr>
            <w:tcW w:type="dxa" w:w="1080"/>
            <w:vAlign w:val="top"/>
          </w:tcPr>
          <w:p>
            <w:pPr>
              <w:spacing w:after="0"/>
            </w:pPr>
            <w:r>
              <w:t>-11.58</w:t>
            </w:r>
          </w:p>
        </w:tc>
        <w:tc>
          <w:tcPr>
            <w:tcW w:type="dxa" w:w="1368"/>
            <w:vAlign w:val="top"/>
          </w:tcPr>
          <w:p>
            <w:pPr>
              <w:spacing w:after="0"/>
            </w:pPr>
            <w:r>
              <w:t>-36.59</w:t>
            </w:r>
          </w:p>
        </w:tc>
        <w:tc>
          <w:tcPr>
            <w:tcW w:type="dxa" w:w="1224"/>
            <w:vAlign w:val="top"/>
          </w:tcPr>
          <w:p>
            <w:pPr>
              <w:spacing w:after="0"/>
            </w:pPr>
            <w:r>
              <w:t>2.83</w:t>
            </w:r>
          </w:p>
        </w:tc>
        <w:tc>
          <w:tcPr>
            <w:tcW w:type="dxa" w:w="1296"/>
            <w:vAlign w:val="top"/>
          </w:tcPr>
          <w:p>
            <w:pPr>
              <w:spacing w:after="0"/>
            </w:pPr>
            <w:r>
              <w:t>0.73</w:t>
            </w:r>
          </w:p>
        </w:tc>
      </w:tr>
      <w:tr>
        <w:tc>
          <w:tcPr>
            <w:tcW w:type="dxa" w:w="648"/>
            <w:vAlign w:val="top"/>
          </w:tcPr>
          <w:p>
            <w:pPr>
              <w:spacing w:after="0"/>
            </w:pPr>
            <w:r>
              <w:t>8</w:t>
            </w:r>
          </w:p>
        </w:tc>
        <w:tc>
          <w:tcPr>
            <w:tcW w:type="dxa" w:w="2448"/>
            <w:vAlign w:val="top"/>
          </w:tcPr>
          <w:p>
            <w:pPr>
              <w:spacing w:after="0"/>
            </w:pPr>
            <w:r>
              <w:t>000385_active_0457_active_00457</w:t>
            </w:r>
          </w:p>
        </w:tc>
        <w:tc>
          <w:tcPr>
            <w:tcW w:type="dxa" w:w="1080"/>
            <w:vAlign w:val="top"/>
          </w:tcPr>
          <w:p>
            <w:pPr>
              <w:spacing w:after="0"/>
            </w:pPr>
            <w:r>
              <w:t>active</w:t>
            </w:r>
          </w:p>
        </w:tc>
        <w:tc>
          <w:tcPr>
            <w:tcW w:type="dxa" w:w="1080"/>
            <w:vAlign w:val="top"/>
          </w:tcPr>
          <w:p>
            <w:pPr>
              <w:spacing w:after="0"/>
            </w:pPr>
            <w:r>
              <w:t>-11.66</w:t>
            </w:r>
          </w:p>
        </w:tc>
        <w:tc>
          <w:tcPr>
            <w:tcW w:type="dxa" w:w="1368"/>
            <w:vAlign w:val="top"/>
          </w:tcPr>
          <w:p>
            <w:pPr>
              <w:spacing w:after="0"/>
            </w:pPr>
            <w:r>
              <w:t>-36.37</w:t>
            </w:r>
          </w:p>
        </w:tc>
        <w:tc>
          <w:tcPr>
            <w:tcW w:type="dxa" w:w="1224"/>
            <w:vAlign w:val="top"/>
          </w:tcPr>
          <w:p>
            <w:pPr>
              <w:spacing w:after="0"/>
            </w:pPr>
            <w:r>
              <w:t>2.61</w:t>
            </w:r>
          </w:p>
        </w:tc>
        <w:tc>
          <w:tcPr>
            <w:tcW w:type="dxa" w:w="1296"/>
            <w:vAlign w:val="top"/>
          </w:tcPr>
          <w:p>
            <w:pPr>
              <w:spacing w:after="0"/>
            </w:pPr>
            <w:r>
              <w:t>0.55</w:t>
            </w:r>
          </w:p>
        </w:tc>
      </w:tr>
      <w:tr>
        <w:tc>
          <w:tcPr>
            <w:tcW w:type="dxa" w:w="648"/>
            <w:vAlign w:val="top"/>
          </w:tcPr>
          <w:p>
            <w:pPr>
              <w:spacing w:after="0"/>
            </w:pPr>
            <w:r>
              <w:t>9</w:t>
            </w:r>
          </w:p>
        </w:tc>
        <w:tc>
          <w:tcPr>
            <w:tcW w:type="dxa" w:w="2448"/>
            <w:vAlign w:val="top"/>
          </w:tcPr>
          <w:p>
            <w:pPr>
              <w:spacing w:after="0"/>
            </w:pPr>
            <w:r>
              <w:t>000533_active_0615_active_00615</w:t>
            </w:r>
          </w:p>
        </w:tc>
        <w:tc>
          <w:tcPr>
            <w:tcW w:type="dxa" w:w="1080"/>
            <w:vAlign w:val="top"/>
          </w:tcPr>
          <w:p>
            <w:pPr>
              <w:spacing w:after="0"/>
            </w:pPr>
            <w:r>
              <w:t>active</w:t>
            </w:r>
          </w:p>
        </w:tc>
        <w:tc>
          <w:tcPr>
            <w:tcW w:type="dxa" w:w="1080"/>
            <w:vAlign w:val="top"/>
          </w:tcPr>
          <w:p>
            <w:pPr>
              <w:spacing w:after="0"/>
            </w:pPr>
            <w:r>
              <w:t>-11.31</w:t>
            </w:r>
          </w:p>
        </w:tc>
        <w:tc>
          <w:tcPr>
            <w:tcW w:type="dxa" w:w="1368"/>
            <w:vAlign w:val="top"/>
          </w:tcPr>
          <w:p>
            <w:pPr>
              <w:spacing w:after="0"/>
            </w:pPr>
            <w:r>
              <w:t>-33.23</w:t>
            </w:r>
          </w:p>
        </w:tc>
        <w:tc>
          <w:tcPr>
            <w:tcW w:type="dxa" w:w="1224"/>
            <w:vAlign w:val="top"/>
          </w:tcPr>
          <w:p>
            <w:pPr>
              <w:spacing w:after="0"/>
            </w:pPr>
            <w:r>
              <w:t>2.97</w:t>
            </w:r>
          </w:p>
        </w:tc>
        <w:tc>
          <w:tcPr>
            <w:tcW w:type="dxa" w:w="1296"/>
            <w:vAlign w:val="top"/>
          </w:tcPr>
          <w:p>
            <w:pPr>
              <w:spacing w:after="0"/>
            </w:pPr>
            <w:r>
              <w:t>0.54</w:t>
            </w:r>
          </w:p>
        </w:tc>
      </w:tr>
      <w:tr>
        <w:tc>
          <w:tcPr>
            <w:tcW w:type="dxa" w:w="648"/>
            <w:vAlign w:val="top"/>
          </w:tcPr>
          <w:p>
            <w:pPr>
              <w:spacing w:after="0"/>
            </w:pPr>
            <w:r>
              <w:t>10</w:t>
            </w:r>
          </w:p>
        </w:tc>
        <w:tc>
          <w:tcPr>
            <w:tcW w:type="dxa" w:w="2448"/>
            <w:vAlign w:val="top"/>
          </w:tcPr>
          <w:p>
            <w:pPr>
              <w:spacing w:after="0"/>
            </w:pPr>
            <w:r>
              <w:t>000540_active_0622_active_00622</w:t>
            </w:r>
          </w:p>
        </w:tc>
        <w:tc>
          <w:tcPr>
            <w:tcW w:type="dxa" w:w="1080"/>
            <w:vAlign w:val="top"/>
          </w:tcPr>
          <w:p>
            <w:pPr>
              <w:spacing w:after="0"/>
            </w:pPr>
            <w:r>
              <w:t>active</w:t>
            </w:r>
          </w:p>
        </w:tc>
        <w:tc>
          <w:tcPr>
            <w:tcW w:type="dxa" w:w="1080"/>
            <w:vAlign w:val="top"/>
          </w:tcPr>
          <w:p>
            <w:pPr>
              <w:spacing w:after="0"/>
            </w:pPr>
            <w:r>
              <w:t>-11.17</w:t>
            </w:r>
          </w:p>
        </w:tc>
        <w:tc>
          <w:tcPr>
            <w:tcW w:type="dxa" w:w="1368"/>
            <w:vAlign w:val="top"/>
          </w:tcPr>
          <w:p>
            <w:pPr>
              <w:spacing w:after="0"/>
            </w:pPr>
            <w:r>
              <w:t>-31.29</w:t>
            </w:r>
          </w:p>
        </w:tc>
        <w:tc>
          <w:tcPr>
            <w:tcW w:type="dxa" w:w="1224"/>
            <w:vAlign w:val="top"/>
          </w:tcPr>
          <w:p>
            <w:pPr>
              <w:spacing w:after="0"/>
            </w:pPr>
            <w:r>
              <w:t>2.39</w:t>
            </w:r>
          </w:p>
        </w:tc>
        <w:tc>
          <w:tcPr>
            <w:tcW w:type="dxa" w:w="1296"/>
            <w:vAlign w:val="top"/>
          </w:tcPr>
          <w:p>
            <w:pPr>
              <w:spacing w:after="0"/>
            </w:pPr>
            <w:r>
              <w:t>0.84</w:t>
            </w:r>
          </w:p>
        </w:tc>
      </w:tr>
    </w:tbl>
    <w:p>
      <w:pPr>
        <w:pStyle w:val="Heading2"/>
      </w:pPr>
      <w:r>
        <w:t>4.5 Block 4: workflow OpenFE FEP on the MD-selected active cluster</w:t>
      </w:r>
    </w:p>
    <w:p>
      <w:r>
        <w:t>The canonical Block 4 run selected five MD-prepared active CDK2 ligands from an internally similar congeneric cluster. The selected ligands were `000565_active_0656_active_00656`, `000049_active_0065_active_00065`, `000462_active_0539_active_00539`, `000385_active_0457_active_00457`, and `000533_active_0615_active_00615`. The reference ligand was `000565_active_0656_active_00656`. OSLab passed bound-frame SDF ligand coordinates and a protein-only PDB derived from the MD/Optimization preparation into the OpenFE backend.</w:t>
      </w:r>
    </w:p>
    <w:p>
      <w:r>
        <w:t>OpenFE 1.11.0 planned a minimal spanning perturbation network with four ligand edges, each split into complex and solvent transformations. The OpenFE input manifest reported a cropped MD-prepared protein source with 189 residues, 3,115 atoms, and 1,523 heavy atoms; all five ligands passed bound-frame coordinate checks with minimum ligand-protein heavy-atom contacts between 2.674 and 2.901 Å. Partial charges were generated by the OpenFE/OpenFF stack using the NAGL/RDKit route recorded in the workflow input manifest.</w:t>
      </w:r>
    </w:p>
    <w:p>
      <w:r>
        <w:t>Sampling used 11 lambda windows, 25,000 production steps per window, 5,000 equilibration steps per window, temperature 300 K, and `openff-2.2.1`. The OpenFE settings used `KartografAtomMapper`, atom maximum distance 0.95 Å, hydrogen mapping enabled, exact ring matching, partial fused rings allowed, and bond-breaking disabled. The OpenMM platform was CUDA. The thermodynamic cycle was ΔΔG_bind = ΔG_complex - ΔG_solvent.</w:t>
      </w:r>
    </w:p>
    <w:p>
      <w:r>
        <w:t>This workflow FEP result demonstrates that OSLab can carry a hit-refined and MD-prepared ligand cluster into OpenFE and return a relative ranking. It is not a stand-alone claim of quantitative CDK2 affinity because all five ligands were actives, the run produced zero reported edge uncertainties after gather, convergence warnings were present in the benchmark summary, and one edge had a weak MCS value despite acceptable Tanimoto. Replicate longer FEP and cycle-closure checks would be required for final drug-discovery claims.</w:t>
      </w:r>
    </w:p>
    <w:tbl>
      <w:tblPr>
        <w:tblStyle w:val="LightList-Accent1"/>
        <w:tblW w:type="auto" w:w="0"/>
        <w:jc w:val="center"/>
        <w:tblLook w:firstColumn="1" w:firstRow="1" w:lastColumn="0" w:lastRow="0" w:noHBand="0" w:noVBand="1" w:val="04A0"/>
      </w:tblPr>
      <w:tblGrid>
        <w:gridCol w:w="5040"/>
        <w:gridCol w:w="5040"/>
      </w:tblGrid>
      <w:tr>
        <w:trPr>
          <w:tblHeader w:val="true"/>
        </w:trPr>
        <w:tc>
          <w:tcPr>
            <w:tcW w:type="dxa" w:w="3240"/>
            <w:shd w:fill="1F4E79"/>
          </w:tcPr>
          <w:p>
            <w:r/>
            <w:r>
              <w:rPr>
                <w:b/>
                <w:color w:val="FFFFFF"/>
              </w:rPr>
              <w:t>Field</w:t>
            </w:r>
          </w:p>
        </w:tc>
        <w:tc>
          <w:tcPr>
            <w:tcW w:type="dxa" w:w="6840"/>
            <w:shd w:fill="1F4E79"/>
          </w:tcPr>
          <w:p>
            <w:r/>
            <w:r>
              <w:rPr>
                <w:b/>
                <w:color w:val="FFFFFF"/>
              </w:rPr>
              <w:t>Value</w:t>
            </w:r>
          </w:p>
        </w:tc>
      </w:tr>
      <w:tr>
        <w:tc>
          <w:tcPr>
            <w:tcW w:type="dxa" w:w="3240"/>
            <w:vAlign w:val="top"/>
          </w:tcPr>
          <w:p>
            <w:pPr>
              <w:spacing w:after="0"/>
            </w:pPr>
            <w:r>
              <w:t>Reference ligand</w:t>
            </w:r>
          </w:p>
        </w:tc>
        <w:tc>
          <w:tcPr>
            <w:tcW w:type="dxa" w:w="6840"/>
            <w:vAlign w:val="top"/>
          </w:tcPr>
          <w:p>
            <w:pPr>
              <w:spacing w:after="0"/>
            </w:pPr>
            <w:r>
              <w:t>000565_active_0656_active_00656</w:t>
            </w:r>
          </w:p>
        </w:tc>
      </w:tr>
      <w:tr>
        <w:tc>
          <w:tcPr>
            <w:tcW w:type="dxa" w:w="3240"/>
            <w:vAlign w:val="top"/>
          </w:tcPr>
          <w:p>
            <w:pPr>
              <w:spacing w:after="0"/>
            </w:pPr>
            <w:r>
              <w:t>Selected ligand count</w:t>
            </w:r>
          </w:p>
        </w:tc>
        <w:tc>
          <w:tcPr>
            <w:tcW w:type="dxa" w:w="6840"/>
            <w:vAlign w:val="top"/>
          </w:tcPr>
          <w:p>
            <w:pPr>
              <w:spacing w:after="0"/>
            </w:pPr>
            <w:r>
              <w:t>5</w:t>
            </w:r>
          </w:p>
        </w:tc>
      </w:tr>
      <w:tr>
        <w:tc>
          <w:tcPr>
            <w:tcW w:type="dxa" w:w="3240"/>
            <w:vAlign w:val="top"/>
          </w:tcPr>
          <w:p>
            <w:pPr>
              <w:spacing w:after="0"/>
            </w:pPr>
            <w:r>
              <w:t>OpenFE backend</w:t>
            </w:r>
          </w:p>
        </w:tc>
        <w:tc>
          <w:tcPr>
            <w:tcW w:type="dxa" w:w="6840"/>
            <w:vAlign w:val="top"/>
          </w:tcPr>
          <w:p>
            <w:pPr>
              <w:spacing w:after="0"/>
            </w:pPr>
            <w:r>
              <w:t>OpenFE 1.11.0</w:t>
            </w:r>
          </w:p>
        </w:tc>
      </w:tr>
      <w:tr>
        <w:tc>
          <w:tcPr>
            <w:tcW w:type="dxa" w:w="3240"/>
            <w:vAlign w:val="top"/>
          </w:tcPr>
          <w:p>
            <w:pPr>
              <w:spacing w:after="0"/>
            </w:pPr>
            <w:r>
              <w:t>OpenMM platform</w:t>
            </w:r>
          </w:p>
        </w:tc>
        <w:tc>
          <w:tcPr>
            <w:tcW w:type="dxa" w:w="6840"/>
            <w:vAlign w:val="top"/>
          </w:tcPr>
          <w:p>
            <w:pPr>
              <w:spacing w:after="0"/>
            </w:pPr>
            <w:r>
              <w:t>cuda</w:t>
            </w:r>
          </w:p>
        </w:tc>
      </w:tr>
      <w:tr>
        <w:tc>
          <w:tcPr>
            <w:tcW w:type="dxa" w:w="3240"/>
            <w:vAlign w:val="top"/>
          </w:tcPr>
          <w:p>
            <w:pPr>
              <w:spacing w:after="0"/>
            </w:pPr>
            <w:r>
              <w:t>Lambda windows</w:t>
            </w:r>
          </w:p>
        </w:tc>
        <w:tc>
          <w:tcPr>
            <w:tcW w:type="dxa" w:w="6840"/>
            <w:vAlign w:val="top"/>
          </w:tcPr>
          <w:p>
            <w:pPr>
              <w:spacing w:after="0"/>
            </w:pPr>
            <w:r>
              <w:t>11</w:t>
            </w:r>
          </w:p>
        </w:tc>
      </w:tr>
      <w:tr>
        <w:tc>
          <w:tcPr>
            <w:tcW w:type="dxa" w:w="3240"/>
            <w:vAlign w:val="top"/>
          </w:tcPr>
          <w:p>
            <w:pPr>
              <w:spacing w:after="0"/>
            </w:pPr>
            <w:r>
              <w:t>Production steps/window</w:t>
            </w:r>
          </w:p>
        </w:tc>
        <w:tc>
          <w:tcPr>
            <w:tcW w:type="dxa" w:w="6840"/>
            <w:vAlign w:val="top"/>
          </w:tcPr>
          <w:p>
            <w:pPr>
              <w:spacing w:after="0"/>
            </w:pPr>
            <w:r>
              <w:t>25000</w:t>
            </w:r>
          </w:p>
        </w:tc>
      </w:tr>
      <w:tr>
        <w:tc>
          <w:tcPr>
            <w:tcW w:type="dxa" w:w="3240"/>
            <w:vAlign w:val="top"/>
          </w:tcPr>
          <w:p>
            <w:pPr>
              <w:spacing w:after="0"/>
            </w:pPr>
            <w:r>
              <w:t>Equilibration steps/window</w:t>
            </w:r>
          </w:p>
        </w:tc>
        <w:tc>
          <w:tcPr>
            <w:tcW w:type="dxa" w:w="6840"/>
            <w:vAlign w:val="top"/>
          </w:tcPr>
          <w:p>
            <w:pPr>
              <w:spacing w:after="0"/>
            </w:pPr>
            <w:r>
              <w:t>5000</w:t>
            </w:r>
          </w:p>
        </w:tc>
      </w:tr>
      <w:tr>
        <w:tc>
          <w:tcPr>
            <w:tcW w:type="dxa" w:w="3240"/>
            <w:vAlign w:val="top"/>
          </w:tcPr>
          <w:p>
            <w:pPr>
              <w:spacing w:after="0"/>
            </w:pPr>
            <w:r>
              <w:t>Force field</w:t>
            </w:r>
          </w:p>
        </w:tc>
        <w:tc>
          <w:tcPr>
            <w:tcW w:type="dxa" w:w="6840"/>
            <w:vAlign w:val="top"/>
          </w:tcPr>
          <w:p>
            <w:pPr>
              <w:spacing w:after="0"/>
            </w:pPr>
            <w:r>
              <w:t>openff-2.2.1</w:t>
            </w:r>
          </w:p>
        </w:tc>
      </w:tr>
      <w:tr>
        <w:tc>
          <w:tcPr>
            <w:tcW w:type="dxa" w:w="3240"/>
            <w:vAlign w:val="top"/>
          </w:tcPr>
          <w:p>
            <w:pPr>
              <w:spacing w:after="0"/>
            </w:pPr>
            <w:r>
              <w:t>Partial charge method/backend</w:t>
            </w:r>
          </w:p>
        </w:tc>
        <w:tc>
          <w:tcPr>
            <w:tcW w:type="dxa" w:w="6840"/>
            <w:vAlign w:val="top"/>
          </w:tcPr>
          <w:p>
            <w:pPr>
              <w:spacing w:after="0"/>
            </w:pPr>
            <w:r>
              <w:t>nagl/rdkit</w:t>
            </w:r>
          </w:p>
        </w:tc>
      </w:tr>
      <w:tr>
        <w:tc>
          <w:tcPr>
            <w:tcW w:type="dxa" w:w="3240"/>
            <w:vAlign w:val="top"/>
          </w:tcPr>
          <w:p>
            <w:pPr>
              <w:spacing w:after="0"/>
            </w:pPr>
            <w:r>
              <w:t>Completed transformations</w:t>
            </w:r>
          </w:p>
        </w:tc>
        <w:tc>
          <w:tcPr>
            <w:tcW w:type="dxa" w:w="6840"/>
            <w:vAlign w:val="top"/>
          </w:tcPr>
          <w:p>
            <w:pPr>
              <w:spacing w:after="0"/>
            </w:pPr>
            <w:r>
              <w:t>8/8</w:t>
            </w:r>
          </w:p>
        </w:tc>
      </w:tr>
      <w:tr>
        <w:tc>
          <w:tcPr>
            <w:tcW w:type="dxa" w:w="3240"/>
            <w:vAlign w:val="top"/>
          </w:tcPr>
          <w:p>
            <w:pPr>
              <w:spacing w:after="0"/>
            </w:pPr>
            <w:r>
              <w:t>Completed</w:t>
            </w:r>
          </w:p>
        </w:tc>
        <w:tc>
          <w:tcPr>
            <w:tcW w:type="dxa" w:w="6840"/>
            <w:vAlign w:val="top"/>
          </w:tcPr>
          <w:p>
            <w:pPr>
              <w:spacing w:after="0"/>
            </w:pPr>
            <w:r>
              <w:t>May 14, 2026 at 04:39 UTC</w:t>
            </w:r>
          </w:p>
        </w:tc>
      </w:tr>
    </w:tbl>
    <w:tbl>
      <w:tblPr>
        <w:tblStyle w:val="LightList-Accent1"/>
        <w:tblW w:type="auto" w:w="0"/>
        <w:jc w:val="center"/>
        <w:tblLook w:firstColumn="1" w:firstRow="1" w:lastColumn="0" w:lastRow="0" w:noHBand="0" w:noVBand="1" w:val="04A0"/>
      </w:tblPr>
      <w:tblGrid>
        <w:gridCol w:w="2520"/>
        <w:gridCol w:w="2520"/>
        <w:gridCol w:w="2520"/>
        <w:gridCol w:w="2520"/>
      </w:tblGrid>
      <w:tr>
        <w:trPr>
          <w:tblHeader w:val="true"/>
        </w:trPr>
        <w:tc>
          <w:tcPr>
            <w:tcW w:type="dxa" w:w="648"/>
            <w:shd w:fill="1F4E79"/>
          </w:tcPr>
          <w:p>
            <w:r/>
            <w:r>
              <w:rPr>
                <w:b/>
                <w:color w:val="FFFFFF"/>
              </w:rPr>
              <w:t>Rank</w:t>
            </w:r>
          </w:p>
        </w:tc>
        <w:tc>
          <w:tcPr>
            <w:tcW w:type="dxa" w:w="2592"/>
            <w:shd w:fill="1F4E79"/>
          </w:tcPr>
          <w:p>
            <w:r/>
            <w:r>
              <w:rPr>
                <w:b/>
                <w:color w:val="FFFFFF"/>
              </w:rPr>
              <w:t>Ligand</w:t>
            </w:r>
          </w:p>
        </w:tc>
        <w:tc>
          <w:tcPr>
            <w:tcW w:type="dxa" w:w="1656"/>
            <w:shd w:fill="1F4E79"/>
          </w:tcPr>
          <w:p>
            <w:r/>
            <w:r>
              <w:rPr>
                <w:b/>
                <w:color w:val="FFFFFF"/>
              </w:rPr>
              <w:t>Relative ΔΔG_bind (kcal/mol)</w:t>
            </w:r>
          </w:p>
        </w:tc>
        <w:tc>
          <w:tcPr>
            <w:tcW w:type="dxa" w:w="4896"/>
            <w:shd w:fill="1F4E79"/>
          </w:tcPr>
          <w:p>
            <w:r/>
            <w:r>
              <w:rPr>
                <w:b/>
                <w:color w:val="FFFFFF"/>
              </w:rPr>
              <w:t>SMILES</w:t>
            </w:r>
          </w:p>
        </w:tc>
      </w:tr>
      <w:tr>
        <w:tc>
          <w:tcPr>
            <w:tcW w:type="dxa" w:w="648"/>
            <w:vAlign w:val="top"/>
          </w:tcPr>
          <w:p>
            <w:pPr>
              <w:spacing w:after="0"/>
            </w:pPr>
            <w:r>
              <w:t>1</w:t>
            </w:r>
          </w:p>
        </w:tc>
        <w:tc>
          <w:tcPr>
            <w:tcW w:type="dxa" w:w="2592"/>
            <w:vAlign w:val="top"/>
          </w:tcPr>
          <w:p>
            <w:pPr>
              <w:spacing w:after="0"/>
            </w:pPr>
            <w:r>
              <w:t>000385_active_0457_active_00457</w:t>
            </w:r>
          </w:p>
        </w:tc>
        <w:tc>
          <w:tcPr>
            <w:tcW w:type="dxa" w:w="1656"/>
            <w:vAlign w:val="top"/>
          </w:tcPr>
          <w:p>
            <w:pPr>
              <w:spacing w:after="0"/>
            </w:pPr>
            <w:r>
              <w:t>-7.10</w:t>
            </w:r>
          </w:p>
        </w:tc>
        <w:tc>
          <w:tcPr>
            <w:tcW w:type="dxa" w:w="4896"/>
            <w:vAlign w:val="top"/>
          </w:tcPr>
          <w:p>
            <w:pPr>
              <w:spacing w:after="0"/>
            </w:pPr>
            <w:r>
              <w:t>COc1ccc(-c2[nH]nc3c2C(=O)c2c(NC(=O)NNC(=O)Cc4ccccc4)cccc2-3)cc1</w:t>
            </w:r>
          </w:p>
        </w:tc>
      </w:tr>
      <w:tr>
        <w:tc>
          <w:tcPr>
            <w:tcW w:type="dxa" w:w="648"/>
            <w:vAlign w:val="top"/>
          </w:tcPr>
          <w:p>
            <w:pPr>
              <w:spacing w:after="0"/>
            </w:pPr>
            <w:r>
              <w:t>2</w:t>
            </w:r>
          </w:p>
        </w:tc>
        <w:tc>
          <w:tcPr>
            <w:tcW w:type="dxa" w:w="2592"/>
            <w:vAlign w:val="top"/>
          </w:tcPr>
          <w:p>
            <w:pPr>
              <w:spacing w:after="0"/>
            </w:pPr>
            <w:r>
              <w:t>000049_active_0065_active_00065</w:t>
            </w:r>
          </w:p>
        </w:tc>
        <w:tc>
          <w:tcPr>
            <w:tcW w:type="dxa" w:w="1656"/>
            <w:vAlign w:val="top"/>
          </w:tcPr>
          <w:p>
            <w:pPr>
              <w:spacing w:after="0"/>
            </w:pPr>
            <w:r>
              <w:t>-5.80</w:t>
            </w:r>
          </w:p>
        </w:tc>
        <w:tc>
          <w:tcPr>
            <w:tcW w:type="dxa" w:w="4896"/>
            <w:vAlign w:val="top"/>
          </w:tcPr>
          <w:p>
            <w:pPr>
              <w:spacing w:after="0"/>
            </w:pPr>
            <w:r>
              <w:t>COc1ccc(-c2[nH]nc3c2C(=O)c2c(NC(=O)NNC(=O)c4cccc5ccccc45)cccc2-3)cc1</w:t>
            </w:r>
          </w:p>
        </w:tc>
      </w:tr>
      <w:tr>
        <w:tc>
          <w:tcPr>
            <w:tcW w:type="dxa" w:w="648"/>
            <w:vAlign w:val="top"/>
          </w:tcPr>
          <w:p>
            <w:pPr>
              <w:spacing w:after="0"/>
            </w:pPr>
            <w:r>
              <w:t>3</w:t>
            </w:r>
          </w:p>
        </w:tc>
        <w:tc>
          <w:tcPr>
            <w:tcW w:type="dxa" w:w="2592"/>
            <w:vAlign w:val="top"/>
          </w:tcPr>
          <w:p>
            <w:pPr>
              <w:spacing w:after="0"/>
            </w:pPr>
            <w:r>
              <w:t>000533_active_0615_active_00615</w:t>
            </w:r>
          </w:p>
        </w:tc>
        <w:tc>
          <w:tcPr>
            <w:tcW w:type="dxa" w:w="1656"/>
            <w:vAlign w:val="top"/>
          </w:tcPr>
          <w:p>
            <w:pPr>
              <w:spacing w:after="0"/>
            </w:pPr>
            <w:r>
              <w:t>-3.70</w:t>
            </w:r>
          </w:p>
        </w:tc>
        <w:tc>
          <w:tcPr>
            <w:tcW w:type="dxa" w:w="4896"/>
            <w:vAlign w:val="top"/>
          </w:tcPr>
          <w:p>
            <w:pPr>
              <w:spacing w:after="0"/>
            </w:pPr>
            <w:r>
              <w:t>COc1ccc(-c2[nH]nc3c2C(=O)c2c(NC(=O)NN4CCN(C)CC4)cccc2-3)cc1</w:t>
            </w:r>
          </w:p>
        </w:tc>
      </w:tr>
      <w:tr>
        <w:tc>
          <w:tcPr>
            <w:tcW w:type="dxa" w:w="648"/>
            <w:vAlign w:val="top"/>
          </w:tcPr>
          <w:p>
            <w:pPr>
              <w:spacing w:after="0"/>
            </w:pPr>
            <w:r>
              <w:t>4</w:t>
            </w:r>
          </w:p>
        </w:tc>
        <w:tc>
          <w:tcPr>
            <w:tcW w:type="dxa" w:w="2592"/>
            <w:vAlign w:val="top"/>
          </w:tcPr>
          <w:p>
            <w:pPr>
              <w:spacing w:after="0"/>
            </w:pPr>
            <w:r>
              <w:t>000462_active_0539_active_00539</w:t>
            </w:r>
          </w:p>
        </w:tc>
        <w:tc>
          <w:tcPr>
            <w:tcW w:type="dxa" w:w="1656"/>
            <w:vAlign w:val="top"/>
          </w:tcPr>
          <w:p>
            <w:pPr>
              <w:spacing w:after="0"/>
            </w:pPr>
            <w:r>
              <w:t>-3.30</w:t>
            </w:r>
          </w:p>
        </w:tc>
        <w:tc>
          <w:tcPr>
            <w:tcW w:type="dxa" w:w="4896"/>
            <w:vAlign w:val="top"/>
          </w:tcPr>
          <w:p>
            <w:pPr>
              <w:spacing w:after="0"/>
            </w:pPr>
            <w:r>
              <w:t>COc1ccc(-c2[nH]nc3c2C(=O)c2c(NC(=O)NNC(=O)c4cccnc4)cccc2-3)cc1</w:t>
            </w:r>
          </w:p>
        </w:tc>
      </w:tr>
      <w:tr>
        <w:tc>
          <w:tcPr>
            <w:tcW w:type="dxa" w:w="648"/>
            <w:vAlign w:val="top"/>
          </w:tcPr>
          <w:p>
            <w:pPr>
              <w:spacing w:after="0"/>
            </w:pPr>
            <w:r>
              <w:t>5</w:t>
            </w:r>
          </w:p>
        </w:tc>
        <w:tc>
          <w:tcPr>
            <w:tcW w:type="dxa" w:w="2592"/>
            <w:vAlign w:val="top"/>
          </w:tcPr>
          <w:p>
            <w:pPr>
              <w:spacing w:after="0"/>
            </w:pPr>
            <w:r>
              <w:t>000565_active_0656_active_00656</w:t>
            </w:r>
          </w:p>
        </w:tc>
        <w:tc>
          <w:tcPr>
            <w:tcW w:type="dxa" w:w="1656"/>
            <w:vAlign w:val="top"/>
          </w:tcPr>
          <w:p>
            <w:pPr>
              <w:spacing w:after="0"/>
            </w:pPr>
            <w:r>
              <w:t>0.00</w:t>
            </w:r>
          </w:p>
        </w:tc>
        <w:tc>
          <w:tcPr>
            <w:tcW w:type="dxa" w:w="4896"/>
            <w:vAlign w:val="top"/>
          </w:tcPr>
          <w:p>
            <w:pPr>
              <w:spacing w:after="0"/>
            </w:pPr>
            <w:r>
              <w:t>COc1ccc(-c2n[nH]c3c2C(=O)c2c(NC(=O)NNC(=O)c4ccc5ccccc5c4)cccc2-3)cc1</w:t>
            </w:r>
          </w:p>
        </w:tc>
      </w:tr>
    </w:tbl>
    <w:tbl>
      <w:tblPr>
        <w:tblStyle w:val="LightList-Accent1"/>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4032"/>
            <w:shd w:fill="1F4E79"/>
          </w:tcPr>
          <w:p>
            <w:r/>
            <w:r>
              <w:rPr>
                <w:b/>
                <w:color w:val="FFFFFF"/>
              </w:rPr>
              <w:t>Edge</w:t>
            </w:r>
          </w:p>
        </w:tc>
        <w:tc>
          <w:tcPr>
            <w:tcW w:type="dxa" w:w="1080"/>
            <w:shd w:fill="1F4E79"/>
          </w:tcPr>
          <w:p>
            <w:r/>
            <w:r>
              <w:rPr>
                <w:b/>
                <w:color w:val="FFFFFF"/>
              </w:rPr>
              <w:t>MCS atoms</w:t>
            </w:r>
          </w:p>
        </w:tc>
        <w:tc>
          <w:tcPr>
            <w:tcW w:type="dxa" w:w="1080"/>
            <w:shd w:fill="1F4E79"/>
          </w:tcPr>
          <w:p>
            <w:r/>
            <w:r>
              <w:rPr>
                <w:b/>
                <w:color w:val="FFFFFF"/>
              </w:rPr>
              <w:t>Tanimoto</w:t>
            </w:r>
          </w:p>
        </w:tc>
        <w:tc>
          <w:tcPr>
            <w:tcW w:type="dxa" w:w="1152"/>
            <w:shd w:fill="1F4E79"/>
          </w:tcPr>
          <w:p>
            <w:r/>
            <w:r>
              <w:rPr>
                <w:b/>
                <w:color w:val="FFFFFF"/>
              </w:rPr>
              <w:t>ΔΔG_bind</w:t>
            </w:r>
          </w:p>
        </w:tc>
        <w:tc>
          <w:tcPr>
            <w:tcW w:type="dxa" w:w="1152"/>
            <w:shd w:fill="1F4E79"/>
          </w:tcPr>
          <w:p>
            <w:r/>
            <w:r>
              <w:rPr>
                <w:b/>
                <w:color w:val="FFFFFF"/>
              </w:rPr>
              <w:t>Uncertainty</w:t>
            </w:r>
          </w:p>
        </w:tc>
      </w:tr>
      <w:tr>
        <w:tc>
          <w:tcPr>
            <w:tcW w:type="dxa" w:w="4032"/>
            <w:vAlign w:val="top"/>
          </w:tcPr>
          <w:p>
            <w:pPr>
              <w:spacing w:after="0"/>
            </w:pPr>
            <w:r>
              <w:t>000049_active_0065_active_00065 → 000385_active_0457_active_00457</w:t>
            </w:r>
          </w:p>
        </w:tc>
        <w:tc>
          <w:tcPr>
            <w:tcW w:type="dxa" w:w="1080"/>
            <w:vAlign w:val="top"/>
          </w:tcPr>
          <w:p>
            <w:pPr>
              <w:spacing w:after="0"/>
            </w:pPr>
            <w:r>
              <w:t>40</w:t>
            </w:r>
          </w:p>
        </w:tc>
        <w:tc>
          <w:tcPr>
            <w:tcW w:type="dxa" w:w="1080"/>
            <w:vAlign w:val="top"/>
          </w:tcPr>
          <w:p>
            <w:pPr>
              <w:spacing w:after="0"/>
            </w:pPr>
            <w:r>
              <w:t>0.69</w:t>
            </w:r>
          </w:p>
        </w:tc>
        <w:tc>
          <w:tcPr>
            <w:tcW w:type="dxa" w:w="1152"/>
            <w:vAlign w:val="top"/>
          </w:tcPr>
          <w:p>
            <w:pPr>
              <w:spacing w:after="0"/>
            </w:pPr>
            <w:r>
              <w:t>-1.3</w:t>
            </w:r>
          </w:p>
        </w:tc>
        <w:tc>
          <w:tcPr>
            <w:tcW w:type="dxa" w:w="1152"/>
            <w:vAlign w:val="top"/>
          </w:tcPr>
          <w:p>
            <w:pPr>
              <w:spacing w:after="0"/>
            </w:pPr>
            <w:r>
              <w:t>0.0</w:t>
            </w:r>
          </w:p>
        </w:tc>
      </w:tr>
      <w:tr>
        <w:tc>
          <w:tcPr>
            <w:tcW w:type="dxa" w:w="4032"/>
            <w:vAlign w:val="top"/>
          </w:tcPr>
          <w:p>
            <w:pPr>
              <w:spacing w:after="0"/>
            </w:pPr>
            <w:r>
              <w:t>000385_active_0457_active_00457 → 000533_active_0615_active_00615</w:t>
            </w:r>
          </w:p>
        </w:tc>
        <w:tc>
          <w:tcPr>
            <w:tcW w:type="dxa" w:w="1080"/>
            <w:vAlign w:val="top"/>
          </w:tcPr>
          <w:p>
            <w:pPr>
              <w:spacing w:after="0"/>
            </w:pPr>
            <w:r>
              <w:t>38</w:t>
            </w:r>
          </w:p>
        </w:tc>
        <w:tc>
          <w:tcPr>
            <w:tcW w:type="dxa" w:w="1080"/>
            <w:vAlign w:val="top"/>
          </w:tcPr>
          <w:p>
            <w:pPr>
              <w:spacing w:after="0"/>
            </w:pPr>
            <w:r>
              <w:t>0.625</w:t>
            </w:r>
          </w:p>
        </w:tc>
        <w:tc>
          <w:tcPr>
            <w:tcW w:type="dxa" w:w="1152"/>
            <w:vAlign w:val="top"/>
          </w:tcPr>
          <w:p>
            <w:pPr>
              <w:spacing w:after="0"/>
            </w:pPr>
            <w:r>
              <w:t>3.4</w:t>
            </w:r>
          </w:p>
        </w:tc>
        <w:tc>
          <w:tcPr>
            <w:tcW w:type="dxa" w:w="1152"/>
            <w:vAlign w:val="top"/>
          </w:tcPr>
          <w:p>
            <w:pPr>
              <w:spacing w:after="0"/>
            </w:pPr>
            <w:r>
              <w:t>0.0</w:t>
            </w:r>
          </w:p>
        </w:tc>
      </w:tr>
      <w:tr>
        <w:tc>
          <w:tcPr>
            <w:tcW w:type="dxa" w:w="4032"/>
            <w:vAlign w:val="top"/>
          </w:tcPr>
          <w:p>
            <w:pPr>
              <w:spacing w:after="0"/>
            </w:pPr>
            <w:r>
              <w:t>000462_active_0539_active_00539 → 000385_active_0457_active_00457</w:t>
            </w:r>
          </w:p>
        </w:tc>
        <w:tc>
          <w:tcPr>
            <w:tcW w:type="dxa" w:w="1080"/>
            <w:vAlign w:val="top"/>
          </w:tcPr>
          <w:p>
            <w:pPr>
              <w:spacing w:after="0"/>
            </w:pPr>
            <w:r>
              <w:t>39</w:t>
            </w:r>
          </w:p>
        </w:tc>
        <w:tc>
          <w:tcPr>
            <w:tcW w:type="dxa" w:w="1080"/>
            <w:vAlign w:val="top"/>
          </w:tcPr>
          <w:p>
            <w:pPr>
              <w:spacing w:after="0"/>
            </w:pPr>
            <w:r>
              <w:t>0.667</w:t>
            </w:r>
          </w:p>
        </w:tc>
        <w:tc>
          <w:tcPr>
            <w:tcW w:type="dxa" w:w="1152"/>
            <w:vAlign w:val="top"/>
          </w:tcPr>
          <w:p>
            <w:pPr>
              <w:spacing w:after="0"/>
            </w:pPr>
            <w:r>
              <w:t>-3.8</w:t>
            </w:r>
          </w:p>
        </w:tc>
        <w:tc>
          <w:tcPr>
            <w:tcW w:type="dxa" w:w="1152"/>
            <w:vAlign w:val="top"/>
          </w:tcPr>
          <w:p>
            <w:pPr>
              <w:spacing w:after="0"/>
            </w:pPr>
            <w:r>
              <w:t>0.0</w:t>
            </w:r>
          </w:p>
        </w:tc>
      </w:tr>
      <w:tr>
        <w:tc>
          <w:tcPr>
            <w:tcW w:type="dxa" w:w="4032"/>
            <w:vAlign w:val="top"/>
          </w:tcPr>
          <w:p>
            <w:pPr>
              <w:spacing w:after="0"/>
            </w:pPr>
            <w:r>
              <w:t>000565_active_0656_active_00656 → 000462_active_0539_active_00539</w:t>
            </w:r>
          </w:p>
        </w:tc>
        <w:tc>
          <w:tcPr>
            <w:tcW w:type="dxa" w:w="1080"/>
            <w:vAlign w:val="top"/>
          </w:tcPr>
          <w:p>
            <w:pPr>
              <w:spacing w:after="0"/>
            </w:pPr>
            <w:r>
              <w:t>1</w:t>
            </w:r>
          </w:p>
        </w:tc>
        <w:tc>
          <w:tcPr>
            <w:tcW w:type="dxa" w:w="1080"/>
            <w:vAlign w:val="top"/>
          </w:tcPr>
          <w:p>
            <w:pPr>
              <w:spacing w:after="0"/>
            </w:pPr>
            <w:r>
              <w:t>0.649</w:t>
            </w:r>
          </w:p>
        </w:tc>
        <w:tc>
          <w:tcPr>
            <w:tcW w:type="dxa" w:w="1152"/>
            <w:vAlign w:val="top"/>
          </w:tcPr>
          <w:p>
            <w:pPr>
              <w:spacing w:after="0"/>
            </w:pPr>
            <w:r>
              <w:t>-3.3</w:t>
            </w:r>
          </w:p>
        </w:tc>
        <w:tc>
          <w:tcPr>
            <w:tcW w:type="dxa" w:w="1152"/>
            <w:vAlign w:val="top"/>
          </w:tcPr>
          <w:p>
            <w:pPr>
              <w:spacing w:after="0"/>
            </w:pPr>
            <w:r>
              <w:t>0.0</w:t>
            </w:r>
          </w:p>
        </w:tc>
      </w:tr>
    </w:tbl>
    <w:p>
      <w:pPr>
        <w:pStyle w:val="Heading1"/>
      </w:pPr>
      <w:r>
        <w:t>5. Second FEP Benchmark: Wang CDK2 Track B OpenFE RBFE Run</w:t>
      </w:r>
    </w:p>
    <w:p>
      <w:r>
        <w:t>A second FEP-focused benchmark was run using the public Wang-FEP-dataset CDK2 subset rather than the DUD-E active/decoy screening library. This run was designed to test the OSLab OpenFE backend against ligands with known experimental binding free energies. Sixteen neutral CDK2 ligands were staged into bound-frame SDF files with experimental `r_user_dG.exp` values. The reference ligand was `1h1q`, anchored at experimental ΔG = -8.179 kcal/mol.</w:t>
      </w:r>
    </w:p>
    <w:p>
      <w:r>
        <w:t>The protein was standardized by removing original hydrogen records, adding missing atoms and pH 7 hydrogens with PDBFixer/OpenMM, and writing a protein-only PDB. The final protein used for OpenFE input contained 554 residues, 8,996 atoms, and 4,462 heavy atoms. Bound-frame coordinate checks passed for all 16 ligands, with minimum ligand-protein heavy-atom distances between 1.166 and 2.760 Å.</w:t>
      </w:r>
    </w:p>
    <w:p>
      <w:r>
        <w:t>OpenFE 1.11.0 used the RelativeHybridTopologyProtocol with OpenMM CUDA execution, AM1-BCC charges through the OpenFE/OpenFF stack with AmberTools backend, 11 lambda windows, 250,000 production steps per window, 50,000 equilibration steps per window, 300 K, `openff-2.2.1`, and one protocol repeat. The planned network contained 15 ligand edges and 30 total transformations (complex and solvent legs), distributed across CUDA devices 0-7 with up to eight concurrent workers.</w:t>
      </w:r>
    </w:p>
    <w:p>
      <w:r>
        <w:t>Predicted absolute ΔG values were obtained by anchoring network-predicted relative free energies to the experimental reference ligand value. The final comparison across 16 ligands gave RMSE 0.660 kcal/mol, MAE 0.518 kcal/mol, mean signed error -0.243 kcal/mol, Pearson r 0.898, Spearman ρ 0.869, Kendall τ 0.712, and R² 0.807. These results support the OSLab OpenFE pathway as a promising FEP execution and analysis route, while the zero gathered edge uncertainties and warnings in OpenFE logs should be reviewed before final quantitative claims.</w:t>
      </w:r>
    </w:p>
    <w:tbl>
      <w:tblPr>
        <w:tblStyle w:val="LightList-Accent1"/>
        <w:tblW w:type="auto" w:w="0"/>
        <w:jc w:val="center"/>
        <w:tblLook w:firstColumn="1" w:firstRow="1" w:lastColumn="0" w:lastRow="0" w:noHBand="0" w:noVBand="1" w:val="04A0"/>
      </w:tblPr>
      <w:tblGrid>
        <w:gridCol w:w="5040"/>
        <w:gridCol w:w="5040"/>
      </w:tblGrid>
      <w:tr>
        <w:trPr>
          <w:tblHeader w:val="true"/>
        </w:trPr>
        <w:tc>
          <w:tcPr>
            <w:tcW w:type="dxa" w:w="3240"/>
            <w:shd w:fill="1F4E79"/>
          </w:tcPr>
          <w:p>
            <w:r/>
            <w:r>
              <w:rPr>
                <w:b/>
                <w:color w:val="FFFFFF"/>
              </w:rPr>
              <w:t>Field</w:t>
            </w:r>
          </w:p>
        </w:tc>
        <w:tc>
          <w:tcPr>
            <w:tcW w:type="dxa" w:w="6840"/>
            <w:shd w:fill="1F4E79"/>
          </w:tcPr>
          <w:p>
            <w:r/>
            <w:r>
              <w:rPr>
                <w:b/>
                <w:color w:val="FFFFFF"/>
              </w:rPr>
              <w:t>Value</w:t>
            </w:r>
          </w:p>
        </w:tc>
      </w:tr>
      <w:tr>
        <w:tc>
          <w:tcPr>
            <w:tcW w:type="dxa" w:w="3240"/>
            <w:vAlign w:val="top"/>
          </w:tcPr>
          <w:p>
            <w:pPr>
              <w:spacing w:after="0"/>
            </w:pPr>
            <w:r>
              <w:t>Campaign directory</w:t>
            </w:r>
          </w:p>
        </w:tc>
        <w:tc>
          <w:tcPr>
            <w:tcW w:type="dxa" w:w="6840"/>
            <w:vAlign w:val="top"/>
          </w:tcPr>
          <w:p>
            <w:pPr>
              <w:spacing w:after="0"/>
            </w:pPr>
            <w:r>
              <w:t>/data/oslab/users/kimlab/fep_campaigns/wang-cdk2-trackb-20260514-publishable</w:t>
            </w:r>
          </w:p>
        </w:tc>
      </w:tr>
      <w:tr>
        <w:tc>
          <w:tcPr>
            <w:tcW w:type="dxa" w:w="3240"/>
            <w:vAlign w:val="top"/>
          </w:tcPr>
          <w:p>
            <w:pPr>
              <w:spacing w:after="0"/>
            </w:pPr>
            <w:r>
              <w:t>Status</w:t>
            </w:r>
          </w:p>
        </w:tc>
        <w:tc>
          <w:tcPr>
            <w:tcW w:type="dxa" w:w="6840"/>
            <w:vAlign w:val="top"/>
          </w:tcPr>
          <w:p>
            <w:pPr>
              <w:spacing w:after="0"/>
            </w:pPr>
            <w:r>
              <w:t>completed</w:t>
            </w:r>
          </w:p>
        </w:tc>
      </w:tr>
      <w:tr>
        <w:tc>
          <w:tcPr>
            <w:tcW w:type="dxa" w:w="3240"/>
            <w:vAlign w:val="top"/>
          </w:tcPr>
          <w:p>
            <w:pPr>
              <w:spacing w:after="0"/>
            </w:pPr>
            <w:r>
              <w:t>Started</w:t>
            </w:r>
          </w:p>
        </w:tc>
        <w:tc>
          <w:tcPr>
            <w:tcW w:type="dxa" w:w="6840"/>
            <w:vAlign w:val="top"/>
          </w:tcPr>
          <w:p>
            <w:pPr>
              <w:spacing w:after="0"/>
            </w:pPr>
            <w:r>
              <w:t>May 14, 2026 at 12:26 UTC</w:t>
            </w:r>
          </w:p>
        </w:tc>
      </w:tr>
      <w:tr>
        <w:tc>
          <w:tcPr>
            <w:tcW w:type="dxa" w:w="3240"/>
            <w:vAlign w:val="top"/>
          </w:tcPr>
          <w:p>
            <w:pPr>
              <w:spacing w:after="0"/>
            </w:pPr>
            <w:r>
              <w:t>Completed</w:t>
            </w:r>
          </w:p>
        </w:tc>
        <w:tc>
          <w:tcPr>
            <w:tcW w:type="dxa" w:w="6840"/>
            <w:vAlign w:val="top"/>
          </w:tcPr>
          <w:p>
            <w:pPr>
              <w:spacing w:after="0"/>
            </w:pPr>
            <w:r>
              <w:t>May 14, 2026 at 16:40 UTC</w:t>
            </w:r>
          </w:p>
        </w:tc>
      </w:tr>
      <w:tr>
        <w:tc>
          <w:tcPr>
            <w:tcW w:type="dxa" w:w="3240"/>
            <w:vAlign w:val="top"/>
          </w:tcPr>
          <w:p>
            <w:pPr>
              <w:spacing w:after="0"/>
            </w:pPr>
            <w:r>
              <w:t>Ligands</w:t>
            </w:r>
          </w:p>
        </w:tc>
        <w:tc>
          <w:tcPr>
            <w:tcW w:type="dxa" w:w="6840"/>
            <w:vAlign w:val="top"/>
          </w:tcPr>
          <w:p>
            <w:pPr>
              <w:spacing w:after="0"/>
            </w:pPr>
            <w:r>
              <w:t>16</w:t>
            </w:r>
          </w:p>
        </w:tc>
      </w:tr>
      <w:tr>
        <w:tc>
          <w:tcPr>
            <w:tcW w:type="dxa" w:w="3240"/>
            <w:vAlign w:val="top"/>
          </w:tcPr>
          <w:p>
            <w:pPr>
              <w:spacing w:after="0"/>
            </w:pPr>
            <w:r>
              <w:t>Planned perturbation edges</w:t>
            </w:r>
          </w:p>
        </w:tc>
        <w:tc>
          <w:tcPr>
            <w:tcW w:type="dxa" w:w="6840"/>
            <w:vAlign w:val="top"/>
          </w:tcPr>
          <w:p>
            <w:pPr>
              <w:spacing w:after="0"/>
            </w:pPr>
            <w:r>
              <w:t>15</w:t>
            </w:r>
          </w:p>
        </w:tc>
      </w:tr>
      <w:tr>
        <w:tc>
          <w:tcPr>
            <w:tcW w:type="dxa" w:w="3240"/>
            <w:vAlign w:val="top"/>
          </w:tcPr>
          <w:p>
            <w:pPr>
              <w:spacing w:after="0"/>
            </w:pPr>
            <w:r>
              <w:t>Transformations</w:t>
            </w:r>
          </w:p>
        </w:tc>
        <w:tc>
          <w:tcPr>
            <w:tcW w:type="dxa" w:w="6840"/>
            <w:vAlign w:val="top"/>
          </w:tcPr>
          <w:p>
            <w:pPr>
              <w:spacing w:after="0"/>
            </w:pPr>
            <w:r>
              <w:t>30</w:t>
            </w:r>
          </w:p>
        </w:tc>
      </w:tr>
      <w:tr>
        <w:tc>
          <w:tcPr>
            <w:tcW w:type="dxa" w:w="3240"/>
            <w:vAlign w:val="top"/>
          </w:tcPr>
          <w:p>
            <w:pPr>
              <w:spacing w:after="0"/>
            </w:pPr>
            <w:r>
              <w:t>Reference ligand</w:t>
            </w:r>
          </w:p>
        </w:tc>
        <w:tc>
          <w:tcPr>
            <w:tcW w:type="dxa" w:w="6840"/>
            <w:vAlign w:val="top"/>
          </w:tcPr>
          <w:p>
            <w:pPr>
              <w:spacing w:after="0"/>
            </w:pPr>
            <w:r>
              <w:t>1h1q</w:t>
            </w:r>
          </w:p>
        </w:tc>
      </w:tr>
      <w:tr>
        <w:tc>
          <w:tcPr>
            <w:tcW w:type="dxa" w:w="3240"/>
            <w:vAlign w:val="top"/>
          </w:tcPr>
          <w:p>
            <w:pPr>
              <w:spacing w:after="0"/>
            </w:pPr>
            <w:r>
              <w:t>OpenFE platform</w:t>
            </w:r>
          </w:p>
        </w:tc>
        <w:tc>
          <w:tcPr>
            <w:tcW w:type="dxa" w:w="6840"/>
            <w:vAlign w:val="top"/>
          </w:tcPr>
          <w:p>
            <w:pPr>
              <w:spacing w:after="0"/>
            </w:pPr>
            <w:r>
              <w:t>OpenFE 1.11.0</w:t>
            </w:r>
          </w:p>
        </w:tc>
      </w:tr>
      <w:tr>
        <w:tc>
          <w:tcPr>
            <w:tcW w:type="dxa" w:w="3240"/>
            <w:vAlign w:val="top"/>
          </w:tcPr>
          <w:p>
            <w:pPr>
              <w:spacing w:after="0"/>
            </w:pPr>
            <w:r>
              <w:t>OpenMM platform</w:t>
            </w:r>
          </w:p>
        </w:tc>
        <w:tc>
          <w:tcPr>
            <w:tcW w:type="dxa" w:w="6840"/>
            <w:vAlign w:val="top"/>
          </w:tcPr>
          <w:p>
            <w:pPr>
              <w:spacing w:after="0"/>
            </w:pPr>
            <w:r>
              <w:t>cuda</w:t>
            </w:r>
          </w:p>
        </w:tc>
      </w:tr>
      <w:tr>
        <w:tc>
          <w:tcPr>
            <w:tcW w:type="dxa" w:w="3240"/>
            <w:vAlign w:val="top"/>
          </w:tcPr>
          <w:p>
            <w:pPr>
              <w:spacing w:after="0"/>
            </w:pPr>
            <w:r>
              <w:t>Lambda windows</w:t>
            </w:r>
          </w:p>
        </w:tc>
        <w:tc>
          <w:tcPr>
            <w:tcW w:type="dxa" w:w="6840"/>
            <w:vAlign w:val="top"/>
          </w:tcPr>
          <w:p>
            <w:pPr>
              <w:spacing w:after="0"/>
            </w:pPr>
            <w:r>
              <w:t>11</w:t>
            </w:r>
          </w:p>
        </w:tc>
      </w:tr>
      <w:tr>
        <w:tc>
          <w:tcPr>
            <w:tcW w:type="dxa" w:w="3240"/>
            <w:vAlign w:val="top"/>
          </w:tcPr>
          <w:p>
            <w:pPr>
              <w:spacing w:after="0"/>
            </w:pPr>
            <w:r>
              <w:t>Production/equilibration steps per window</w:t>
            </w:r>
          </w:p>
        </w:tc>
        <w:tc>
          <w:tcPr>
            <w:tcW w:type="dxa" w:w="6840"/>
            <w:vAlign w:val="top"/>
          </w:tcPr>
          <w:p>
            <w:pPr>
              <w:spacing w:after="0"/>
            </w:pPr>
            <w:r>
              <w:t>250000 / 50000</w:t>
            </w:r>
          </w:p>
        </w:tc>
      </w:tr>
      <w:tr>
        <w:tc>
          <w:tcPr>
            <w:tcW w:type="dxa" w:w="3240"/>
            <w:vAlign w:val="top"/>
          </w:tcPr>
          <w:p>
            <w:pPr>
              <w:spacing w:after="0"/>
            </w:pPr>
            <w:r>
              <w:t>CUDA devices</w:t>
            </w:r>
          </w:p>
        </w:tc>
        <w:tc>
          <w:tcPr>
            <w:tcW w:type="dxa" w:w="6840"/>
            <w:vAlign w:val="top"/>
          </w:tcPr>
          <w:p>
            <w:pPr>
              <w:spacing w:after="0"/>
            </w:pPr>
            <w:r>
              <w:t>0, 1, 2, 3, 4, 5, 6, 7</w:t>
            </w:r>
          </w:p>
        </w:tc>
      </w:tr>
    </w:tbl>
    <w:tbl>
      <w:tblPr>
        <w:tblStyle w:val="LightList-Accent1"/>
        <w:tblW w:type="auto" w:w="0"/>
        <w:jc w:val="center"/>
        <w:tblLook w:firstColumn="1" w:firstRow="1" w:lastColumn="0" w:lastRow="0" w:noHBand="0" w:noVBand="1" w:val="04A0"/>
      </w:tblPr>
      <w:tblGrid>
        <w:gridCol w:w="5040"/>
        <w:gridCol w:w="5040"/>
      </w:tblGrid>
      <w:tr>
        <w:trPr>
          <w:tblHeader w:val="true"/>
        </w:trPr>
        <w:tc>
          <w:tcPr>
            <w:tcW w:type="dxa" w:w="3744"/>
            <w:shd w:fill="1F4E79"/>
          </w:tcPr>
          <w:p>
            <w:r/>
            <w:r>
              <w:rPr>
                <w:b/>
                <w:color w:val="FFFFFF"/>
              </w:rPr>
              <w:t>Metric</w:t>
            </w:r>
          </w:p>
        </w:tc>
        <w:tc>
          <w:tcPr>
            <w:tcW w:type="dxa" w:w="3168"/>
            <w:shd w:fill="1F4E79"/>
          </w:tcPr>
          <w:p>
            <w:r/>
            <w:r>
              <w:rPr>
                <w:b/>
                <w:color w:val="FFFFFF"/>
              </w:rPr>
              <w:t>Value</w:t>
            </w:r>
          </w:p>
        </w:tc>
      </w:tr>
      <w:tr>
        <w:tc>
          <w:tcPr>
            <w:tcW w:type="dxa" w:w="3744"/>
            <w:vAlign w:val="top"/>
          </w:tcPr>
          <w:p>
            <w:pPr>
              <w:spacing w:after="0"/>
            </w:pPr>
            <w:r>
              <w:t>reference_ligand</w:t>
            </w:r>
          </w:p>
        </w:tc>
        <w:tc>
          <w:tcPr>
            <w:tcW w:type="dxa" w:w="3168"/>
            <w:vAlign w:val="top"/>
          </w:tcPr>
          <w:p>
            <w:pPr>
              <w:spacing w:after="0"/>
            </w:pPr>
            <w:r>
              <w:t>1h1q</w:t>
            </w:r>
          </w:p>
        </w:tc>
      </w:tr>
      <w:tr>
        <w:tc>
          <w:tcPr>
            <w:tcW w:type="dxa" w:w="3744"/>
            <w:vAlign w:val="top"/>
          </w:tcPr>
          <w:p>
            <w:pPr>
              <w:spacing w:after="0"/>
            </w:pPr>
            <w:r>
              <w:t>reference_experimental_dG_kcal_mol</w:t>
            </w:r>
          </w:p>
        </w:tc>
        <w:tc>
          <w:tcPr>
            <w:tcW w:type="dxa" w:w="3168"/>
            <w:vAlign w:val="top"/>
          </w:tcPr>
          <w:p>
            <w:pPr>
              <w:spacing w:after="0"/>
            </w:pPr>
            <w:r>
              <w:t>-8.179</w:t>
            </w:r>
          </w:p>
        </w:tc>
      </w:tr>
      <w:tr>
        <w:tc>
          <w:tcPr>
            <w:tcW w:type="dxa" w:w="3744"/>
            <w:vAlign w:val="top"/>
          </w:tcPr>
          <w:p>
            <w:pPr>
              <w:spacing w:after="0"/>
            </w:pPr>
            <w:r>
              <w:t>n_ligands_with_predictions</w:t>
            </w:r>
          </w:p>
        </w:tc>
        <w:tc>
          <w:tcPr>
            <w:tcW w:type="dxa" w:w="3168"/>
            <w:vAlign w:val="top"/>
          </w:tcPr>
          <w:p>
            <w:pPr>
              <w:spacing w:after="0"/>
            </w:pPr>
            <w:r>
              <w:t>16.000</w:t>
            </w:r>
          </w:p>
        </w:tc>
      </w:tr>
      <w:tr>
        <w:tc>
          <w:tcPr>
            <w:tcW w:type="dxa" w:w="3744"/>
            <w:vAlign w:val="top"/>
          </w:tcPr>
          <w:p>
            <w:pPr>
              <w:spacing w:after="0"/>
            </w:pPr>
            <w:r>
              <w:t>rmse_kcal_mol</w:t>
            </w:r>
          </w:p>
        </w:tc>
        <w:tc>
          <w:tcPr>
            <w:tcW w:type="dxa" w:w="3168"/>
            <w:vAlign w:val="top"/>
          </w:tcPr>
          <w:p>
            <w:pPr>
              <w:spacing w:after="0"/>
            </w:pPr>
            <w:r>
              <w:t>0.660</w:t>
            </w:r>
          </w:p>
        </w:tc>
      </w:tr>
      <w:tr>
        <w:tc>
          <w:tcPr>
            <w:tcW w:type="dxa" w:w="3744"/>
            <w:vAlign w:val="top"/>
          </w:tcPr>
          <w:p>
            <w:pPr>
              <w:spacing w:after="0"/>
            </w:pPr>
            <w:r>
              <w:t>mae_kcal_mol</w:t>
            </w:r>
          </w:p>
        </w:tc>
        <w:tc>
          <w:tcPr>
            <w:tcW w:type="dxa" w:w="3168"/>
            <w:vAlign w:val="top"/>
          </w:tcPr>
          <w:p>
            <w:pPr>
              <w:spacing w:after="0"/>
            </w:pPr>
            <w:r>
              <w:t>0.518</w:t>
            </w:r>
          </w:p>
        </w:tc>
      </w:tr>
      <w:tr>
        <w:tc>
          <w:tcPr>
            <w:tcW w:type="dxa" w:w="3744"/>
            <w:vAlign w:val="top"/>
          </w:tcPr>
          <w:p>
            <w:pPr>
              <w:spacing w:after="0"/>
            </w:pPr>
            <w:r>
              <w:t>mean_signed_error_kcal_mol</w:t>
            </w:r>
          </w:p>
        </w:tc>
        <w:tc>
          <w:tcPr>
            <w:tcW w:type="dxa" w:w="3168"/>
            <w:vAlign w:val="top"/>
          </w:tcPr>
          <w:p>
            <w:pPr>
              <w:spacing w:after="0"/>
            </w:pPr>
            <w:r>
              <w:t>-0.243</w:t>
            </w:r>
          </w:p>
        </w:tc>
      </w:tr>
      <w:tr>
        <w:tc>
          <w:tcPr>
            <w:tcW w:type="dxa" w:w="3744"/>
            <w:vAlign w:val="top"/>
          </w:tcPr>
          <w:p>
            <w:pPr>
              <w:spacing w:after="0"/>
            </w:pPr>
            <w:r>
              <w:t>pearson_r</w:t>
            </w:r>
          </w:p>
        </w:tc>
        <w:tc>
          <w:tcPr>
            <w:tcW w:type="dxa" w:w="3168"/>
            <w:vAlign w:val="top"/>
          </w:tcPr>
          <w:p>
            <w:pPr>
              <w:spacing w:after="0"/>
            </w:pPr>
            <w:r>
              <w:t>0.898</w:t>
            </w:r>
          </w:p>
        </w:tc>
      </w:tr>
      <w:tr>
        <w:tc>
          <w:tcPr>
            <w:tcW w:type="dxa" w:w="3744"/>
            <w:vAlign w:val="top"/>
          </w:tcPr>
          <w:p>
            <w:pPr>
              <w:spacing w:after="0"/>
            </w:pPr>
            <w:r>
              <w:t>spearman_r</w:t>
            </w:r>
          </w:p>
        </w:tc>
        <w:tc>
          <w:tcPr>
            <w:tcW w:type="dxa" w:w="3168"/>
            <w:vAlign w:val="top"/>
          </w:tcPr>
          <w:p>
            <w:pPr>
              <w:spacing w:after="0"/>
            </w:pPr>
            <w:r>
              <w:t>0.869</w:t>
            </w:r>
          </w:p>
        </w:tc>
      </w:tr>
      <w:tr>
        <w:tc>
          <w:tcPr>
            <w:tcW w:type="dxa" w:w="3744"/>
            <w:vAlign w:val="top"/>
          </w:tcPr>
          <w:p>
            <w:pPr>
              <w:spacing w:after="0"/>
            </w:pPr>
            <w:r>
              <w:t>kendall_tau</w:t>
            </w:r>
          </w:p>
        </w:tc>
        <w:tc>
          <w:tcPr>
            <w:tcW w:type="dxa" w:w="3168"/>
            <w:vAlign w:val="top"/>
          </w:tcPr>
          <w:p>
            <w:pPr>
              <w:spacing w:after="0"/>
            </w:pPr>
            <w:r>
              <w:t>0.712</w:t>
            </w:r>
          </w:p>
        </w:tc>
      </w:tr>
      <w:tr>
        <w:tc>
          <w:tcPr>
            <w:tcW w:type="dxa" w:w="3744"/>
            <w:vAlign w:val="top"/>
          </w:tcPr>
          <w:p>
            <w:pPr>
              <w:spacing w:after="0"/>
            </w:pPr>
            <w:r>
              <w:t>r_squared</w:t>
            </w:r>
          </w:p>
        </w:tc>
        <w:tc>
          <w:tcPr>
            <w:tcW w:type="dxa" w:w="3168"/>
            <w:vAlign w:val="top"/>
          </w:tcPr>
          <w:p>
            <w:pPr>
              <w:spacing w:after="0"/>
            </w:pPr>
            <w:r>
              <w:t>0.807</w:t>
            </w:r>
          </w:p>
        </w:tc>
      </w:tr>
    </w:tbl>
    <w:tbl>
      <w:tblPr>
        <w:tblStyle w:val="LightList-Accent1"/>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152"/>
            <w:shd w:fill="1F4E79"/>
          </w:tcPr>
          <w:p>
            <w:r/>
            <w:r>
              <w:rPr>
                <w:b/>
                <w:color w:val="FFFFFF"/>
              </w:rPr>
              <w:t>Ligand</w:t>
            </w:r>
          </w:p>
        </w:tc>
        <w:tc>
          <w:tcPr>
            <w:tcW w:type="dxa" w:w="1296"/>
            <w:shd w:fill="1F4E79"/>
          </w:tcPr>
          <w:p>
            <w:r/>
            <w:r>
              <w:rPr>
                <w:b/>
                <w:color w:val="FFFFFF"/>
              </w:rPr>
              <w:t>Predicted ΔG</w:t>
            </w:r>
          </w:p>
        </w:tc>
        <w:tc>
          <w:tcPr>
            <w:tcW w:type="dxa" w:w="1368"/>
            <w:shd w:fill="1F4E79"/>
          </w:tcPr>
          <w:p>
            <w:r/>
            <w:r>
              <w:rPr>
                <w:b/>
                <w:color w:val="FFFFFF"/>
              </w:rPr>
              <w:t>Experimental ΔG</w:t>
            </w:r>
          </w:p>
        </w:tc>
        <w:tc>
          <w:tcPr>
            <w:tcW w:type="dxa" w:w="1080"/>
            <w:shd w:fill="1F4E79"/>
          </w:tcPr>
          <w:p>
            <w:r/>
            <w:r>
              <w:rPr>
                <w:b/>
                <w:color w:val="FFFFFF"/>
              </w:rPr>
              <w:t>Error</w:t>
            </w:r>
          </w:p>
        </w:tc>
        <w:tc>
          <w:tcPr>
            <w:tcW w:type="dxa" w:w="1368"/>
            <w:shd w:fill="1F4E79"/>
          </w:tcPr>
          <w:p>
            <w:r/>
            <w:r>
              <w:rPr>
                <w:b/>
                <w:color w:val="FFFFFF"/>
              </w:rPr>
              <w:t>Predicted ΔΔG</w:t>
            </w:r>
          </w:p>
        </w:tc>
        <w:tc>
          <w:tcPr>
            <w:tcW w:type="dxa" w:w="1440"/>
            <w:shd w:fill="1F4E79"/>
          </w:tcPr>
          <w:p>
            <w:r/>
            <w:r>
              <w:rPr>
                <w:b/>
                <w:color w:val="FFFFFF"/>
              </w:rPr>
              <w:t>Experimental ΔΔG</w:t>
            </w:r>
          </w:p>
        </w:tc>
      </w:tr>
      <w:tr>
        <w:tc>
          <w:tcPr>
            <w:tcW w:type="dxa" w:w="1152"/>
            <w:vAlign w:val="top"/>
          </w:tcPr>
          <w:p>
            <w:pPr>
              <w:spacing w:after="0"/>
            </w:pPr>
            <w:r>
              <w:t>1h1s</w:t>
            </w:r>
          </w:p>
        </w:tc>
        <w:tc>
          <w:tcPr>
            <w:tcW w:type="dxa" w:w="1296"/>
            <w:vAlign w:val="top"/>
          </w:tcPr>
          <w:p>
            <w:pPr>
              <w:spacing w:after="0"/>
            </w:pPr>
            <w:r>
              <w:t>-12.479</w:t>
            </w:r>
          </w:p>
        </w:tc>
        <w:tc>
          <w:tcPr>
            <w:tcW w:type="dxa" w:w="1368"/>
            <w:vAlign w:val="top"/>
          </w:tcPr>
          <w:p>
            <w:pPr>
              <w:spacing w:after="0"/>
            </w:pPr>
            <w:r>
              <w:t>-11.246</w:t>
            </w:r>
          </w:p>
        </w:tc>
        <w:tc>
          <w:tcPr>
            <w:tcW w:type="dxa" w:w="1080"/>
            <w:vAlign w:val="top"/>
          </w:tcPr>
          <w:p>
            <w:pPr>
              <w:spacing w:after="0"/>
            </w:pPr>
            <w:r>
              <w:t>-1.233</w:t>
            </w:r>
          </w:p>
        </w:tc>
        <w:tc>
          <w:tcPr>
            <w:tcW w:type="dxa" w:w="1368"/>
            <w:vAlign w:val="top"/>
          </w:tcPr>
          <w:p>
            <w:pPr>
              <w:spacing w:after="0"/>
            </w:pPr>
            <w:r>
              <w:t>-4.300</w:t>
            </w:r>
          </w:p>
        </w:tc>
        <w:tc>
          <w:tcPr>
            <w:tcW w:type="dxa" w:w="1440"/>
            <w:vAlign w:val="top"/>
          </w:tcPr>
          <w:p>
            <w:pPr>
              <w:spacing w:after="0"/>
            </w:pPr>
            <w:r>
              <w:t>-3.067</w:t>
            </w:r>
          </w:p>
        </w:tc>
      </w:tr>
      <w:tr>
        <w:tc>
          <w:tcPr>
            <w:tcW w:type="dxa" w:w="1152"/>
            <w:vAlign w:val="top"/>
          </w:tcPr>
          <w:p>
            <w:pPr>
              <w:spacing w:after="0"/>
            </w:pPr>
            <w:r>
              <w:t>28</w:t>
            </w:r>
          </w:p>
        </w:tc>
        <w:tc>
          <w:tcPr>
            <w:tcW w:type="dxa" w:w="1296"/>
            <w:vAlign w:val="top"/>
          </w:tcPr>
          <w:p>
            <w:pPr>
              <w:spacing w:after="0"/>
            </w:pPr>
            <w:r>
              <w:t>-11.179</w:t>
            </w:r>
          </w:p>
        </w:tc>
        <w:tc>
          <w:tcPr>
            <w:tcW w:type="dxa" w:w="1368"/>
            <w:vAlign w:val="top"/>
          </w:tcPr>
          <w:p>
            <w:pPr>
              <w:spacing w:after="0"/>
            </w:pPr>
            <w:r>
              <w:t>-11.112</w:t>
            </w:r>
          </w:p>
        </w:tc>
        <w:tc>
          <w:tcPr>
            <w:tcW w:type="dxa" w:w="1080"/>
            <w:vAlign w:val="top"/>
          </w:tcPr>
          <w:p>
            <w:pPr>
              <w:spacing w:after="0"/>
            </w:pPr>
            <w:r>
              <w:t>-0.067</w:t>
            </w:r>
          </w:p>
        </w:tc>
        <w:tc>
          <w:tcPr>
            <w:tcW w:type="dxa" w:w="1368"/>
            <w:vAlign w:val="top"/>
          </w:tcPr>
          <w:p>
            <w:pPr>
              <w:spacing w:after="0"/>
            </w:pPr>
            <w:r>
              <w:t>-3.000</w:t>
            </w:r>
          </w:p>
        </w:tc>
        <w:tc>
          <w:tcPr>
            <w:tcW w:type="dxa" w:w="1440"/>
            <w:vAlign w:val="top"/>
          </w:tcPr>
          <w:p>
            <w:pPr>
              <w:spacing w:after="0"/>
            </w:pPr>
            <w:r>
              <w:t>-2.933</w:t>
            </w:r>
          </w:p>
        </w:tc>
      </w:tr>
      <w:tr>
        <w:tc>
          <w:tcPr>
            <w:tcW w:type="dxa" w:w="1152"/>
            <w:vAlign w:val="top"/>
          </w:tcPr>
          <w:p>
            <w:pPr>
              <w:spacing w:after="0"/>
            </w:pPr>
            <w:r>
              <w:t>1oiu</w:t>
            </w:r>
          </w:p>
        </w:tc>
        <w:tc>
          <w:tcPr>
            <w:tcW w:type="dxa" w:w="1296"/>
            <w:vAlign w:val="top"/>
          </w:tcPr>
          <w:p>
            <w:pPr>
              <w:spacing w:after="0"/>
            </w:pPr>
            <w:r>
              <w:t>-10.579</w:t>
            </w:r>
          </w:p>
        </w:tc>
        <w:tc>
          <w:tcPr>
            <w:tcW w:type="dxa" w:w="1368"/>
            <w:vAlign w:val="top"/>
          </w:tcPr>
          <w:p>
            <w:pPr>
              <w:spacing w:after="0"/>
            </w:pPr>
            <w:r>
              <w:t>-9.083</w:t>
            </w:r>
          </w:p>
        </w:tc>
        <w:tc>
          <w:tcPr>
            <w:tcW w:type="dxa" w:w="1080"/>
            <w:vAlign w:val="top"/>
          </w:tcPr>
          <w:p>
            <w:pPr>
              <w:spacing w:after="0"/>
            </w:pPr>
            <w:r>
              <w:t>-1.496</w:t>
            </w:r>
          </w:p>
        </w:tc>
        <w:tc>
          <w:tcPr>
            <w:tcW w:type="dxa" w:w="1368"/>
            <w:vAlign w:val="top"/>
          </w:tcPr>
          <w:p>
            <w:pPr>
              <w:spacing w:after="0"/>
            </w:pPr>
            <w:r>
              <w:t>-2.400</w:t>
            </w:r>
          </w:p>
        </w:tc>
        <w:tc>
          <w:tcPr>
            <w:tcW w:type="dxa" w:w="1440"/>
            <w:vAlign w:val="top"/>
          </w:tcPr>
          <w:p>
            <w:pPr>
              <w:spacing w:after="0"/>
            </w:pPr>
            <w:r>
              <w:t>-0.904</w:t>
            </w:r>
          </w:p>
        </w:tc>
      </w:tr>
      <w:tr>
        <w:tc>
          <w:tcPr>
            <w:tcW w:type="dxa" w:w="1152"/>
            <w:vAlign w:val="top"/>
          </w:tcPr>
          <w:p>
            <w:pPr>
              <w:spacing w:after="0"/>
            </w:pPr>
            <w:r>
              <w:t>30</w:t>
            </w:r>
          </w:p>
        </w:tc>
        <w:tc>
          <w:tcPr>
            <w:tcW w:type="dxa" w:w="1296"/>
            <w:vAlign w:val="top"/>
          </w:tcPr>
          <w:p>
            <w:pPr>
              <w:spacing w:after="0"/>
            </w:pPr>
            <w:r>
              <w:t>-10.379</w:t>
            </w:r>
          </w:p>
        </w:tc>
        <w:tc>
          <w:tcPr>
            <w:tcW w:type="dxa" w:w="1368"/>
            <w:vAlign w:val="top"/>
          </w:tcPr>
          <w:p>
            <w:pPr>
              <w:spacing w:after="0"/>
            </w:pPr>
            <w:r>
              <w:t>-9.812</w:t>
            </w:r>
          </w:p>
        </w:tc>
        <w:tc>
          <w:tcPr>
            <w:tcW w:type="dxa" w:w="1080"/>
            <w:vAlign w:val="top"/>
          </w:tcPr>
          <w:p>
            <w:pPr>
              <w:spacing w:after="0"/>
            </w:pPr>
            <w:r>
              <w:t>-0.567</w:t>
            </w:r>
          </w:p>
        </w:tc>
        <w:tc>
          <w:tcPr>
            <w:tcW w:type="dxa" w:w="1368"/>
            <w:vAlign w:val="top"/>
          </w:tcPr>
          <w:p>
            <w:pPr>
              <w:spacing w:after="0"/>
            </w:pPr>
            <w:r>
              <w:t>-2.200</w:t>
            </w:r>
          </w:p>
        </w:tc>
        <w:tc>
          <w:tcPr>
            <w:tcW w:type="dxa" w:w="1440"/>
            <w:vAlign w:val="top"/>
          </w:tcPr>
          <w:p>
            <w:pPr>
              <w:spacing w:after="0"/>
            </w:pPr>
            <w:r>
              <w:t>-1.633</w:t>
            </w:r>
          </w:p>
        </w:tc>
      </w:tr>
      <w:tr>
        <w:tc>
          <w:tcPr>
            <w:tcW w:type="dxa" w:w="1152"/>
            <w:vAlign w:val="top"/>
          </w:tcPr>
          <w:p>
            <w:pPr>
              <w:spacing w:after="0"/>
            </w:pPr>
            <w:r>
              <w:t>1oi9</w:t>
            </w:r>
          </w:p>
        </w:tc>
        <w:tc>
          <w:tcPr>
            <w:tcW w:type="dxa" w:w="1296"/>
            <w:vAlign w:val="top"/>
          </w:tcPr>
          <w:p>
            <w:pPr>
              <w:spacing w:after="0"/>
            </w:pPr>
            <w:r>
              <w:t>-10.179</w:t>
            </w:r>
          </w:p>
        </w:tc>
        <w:tc>
          <w:tcPr>
            <w:tcW w:type="dxa" w:w="1368"/>
            <w:vAlign w:val="top"/>
          </w:tcPr>
          <w:p>
            <w:pPr>
              <w:spacing w:after="0"/>
            </w:pPr>
            <w:r>
              <w:t>-9.741</w:t>
            </w:r>
          </w:p>
        </w:tc>
        <w:tc>
          <w:tcPr>
            <w:tcW w:type="dxa" w:w="1080"/>
            <w:vAlign w:val="top"/>
          </w:tcPr>
          <w:p>
            <w:pPr>
              <w:spacing w:after="0"/>
            </w:pPr>
            <w:r>
              <w:t>-0.438</w:t>
            </w:r>
          </w:p>
        </w:tc>
        <w:tc>
          <w:tcPr>
            <w:tcW w:type="dxa" w:w="1368"/>
            <w:vAlign w:val="top"/>
          </w:tcPr>
          <w:p>
            <w:pPr>
              <w:spacing w:after="0"/>
            </w:pPr>
            <w:r>
              <w:t>-2.000</w:t>
            </w:r>
          </w:p>
        </w:tc>
        <w:tc>
          <w:tcPr>
            <w:tcW w:type="dxa" w:w="1440"/>
            <w:vAlign w:val="top"/>
          </w:tcPr>
          <w:p>
            <w:pPr>
              <w:spacing w:after="0"/>
            </w:pPr>
            <w:r>
              <w:t>-1.562</w:t>
            </w:r>
          </w:p>
        </w:tc>
      </w:tr>
      <w:tr>
        <w:tc>
          <w:tcPr>
            <w:tcW w:type="dxa" w:w="1152"/>
            <w:vAlign w:val="top"/>
          </w:tcPr>
          <w:p>
            <w:pPr>
              <w:spacing w:after="0"/>
            </w:pPr>
            <w:r>
              <w:t>29</w:t>
            </w:r>
          </w:p>
        </w:tc>
        <w:tc>
          <w:tcPr>
            <w:tcW w:type="dxa" w:w="1296"/>
            <w:vAlign w:val="top"/>
          </w:tcPr>
          <w:p>
            <w:pPr>
              <w:spacing w:after="0"/>
            </w:pPr>
            <w:r>
              <w:t>-9.979</w:t>
            </w:r>
          </w:p>
        </w:tc>
        <w:tc>
          <w:tcPr>
            <w:tcW w:type="dxa" w:w="1368"/>
            <w:vAlign w:val="top"/>
          </w:tcPr>
          <w:p>
            <w:pPr>
              <w:spacing w:after="0"/>
            </w:pPr>
            <w:r>
              <w:t>-9.882</w:t>
            </w:r>
          </w:p>
        </w:tc>
        <w:tc>
          <w:tcPr>
            <w:tcW w:type="dxa" w:w="1080"/>
            <w:vAlign w:val="top"/>
          </w:tcPr>
          <w:p>
            <w:pPr>
              <w:spacing w:after="0"/>
            </w:pPr>
            <w:r>
              <w:t>-0.097</w:t>
            </w:r>
          </w:p>
        </w:tc>
        <w:tc>
          <w:tcPr>
            <w:tcW w:type="dxa" w:w="1368"/>
            <w:vAlign w:val="top"/>
          </w:tcPr>
          <w:p>
            <w:pPr>
              <w:spacing w:after="0"/>
            </w:pPr>
            <w:r>
              <w:t>-1.800</w:t>
            </w:r>
          </w:p>
        </w:tc>
        <w:tc>
          <w:tcPr>
            <w:tcW w:type="dxa" w:w="1440"/>
            <w:vAlign w:val="top"/>
          </w:tcPr>
          <w:p>
            <w:pPr>
              <w:spacing w:after="0"/>
            </w:pPr>
            <w:r>
              <w:t>-1.703</w:t>
            </w:r>
          </w:p>
        </w:tc>
      </w:tr>
      <w:tr>
        <w:tc>
          <w:tcPr>
            <w:tcW w:type="dxa" w:w="1152"/>
            <w:vAlign w:val="top"/>
          </w:tcPr>
          <w:p>
            <w:pPr>
              <w:spacing w:after="0"/>
            </w:pPr>
            <w:r>
              <w:t>32</w:t>
            </w:r>
          </w:p>
        </w:tc>
        <w:tc>
          <w:tcPr>
            <w:tcW w:type="dxa" w:w="1296"/>
            <w:vAlign w:val="top"/>
          </w:tcPr>
          <w:p>
            <w:pPr>
              <w:spacing w:after="0"/>
            </w:pPr>
            <w:r>
              <w:t>-9.879</w:t>
            </w:r>
          </w:p>
        </w:tc>
        <w:tc>
          <w:tcPr>
            <w:tcW w:type="dxa" w:w="1368"/>
            <w:vAlign w:val="top"/>
          </w:tcPr>
          <w:p>
            <w:pPr>
              <w:spacing w:after="0"/>
            </w:pPr>
            <w:r>
              <w:t>-9.750</w:t>
            </w:r>
          </w:p>
        </w:tc>
        <w:tc>
          <w:tcPr>
            <w:tcW w:type="dxa" w:w="1080"/>
            <w:vAlign w:val="top"/>
          </w:tcPr>
          <w:p>
            <w:pPr>
              <w:spacing w:after="0"/>
            </w:pPr>
            <w:r>
              <w:t>-0.129</w:t>
            </w:r>
          </w:p>
        </w:tc>
        <w:tc>
          <w:tcPr>
            <w:tcW w:type="dxa" w:w="1368"/>
            <w:vAlign w:val="top"/>
          </w:tcPr>
          <w:p>
            <w:pPr>
              <w:spacing w:after="0"/>
            </w:pPr>
            <w:r>
              <w:t>-1.700</w:t>
            </w:r>
          </w:p>
        </w:tc>
        <w:tc>
          <w:tcPr>
            <w:tcW w:type="dxa" w:w="1440"/>
            <w:vAlign w:val="top"/>
          </w:tcPr>
          <w:p>
            <w:pPr>
              <w:spacing w:after="0"/>
            </w:pPr>
            <w:r>
              <w:t>-1.571</w:t>
            </w:r>
          </w:p>
        </w:tc>
      </w:tr>
      <w:tr>
        <w:tc>
          <w:tcPr>
            <w:tcW w:type="dxa" w:w="1152"/>
            <w:vAlign w:val="top"/>
          </w:tcPr>
          <w:p>
            <w:pPr>
              <w:spacing w:after="0"/>
            </w:pPr>
            <w:r>
              <w:t>20</w:t>
            </w:r>
          </w:p>
        </w:tc>
        <w:tc>
          <w:tcPr>
            <w:tcW w:type="dxa" w:w="1296"/>
            <w:vAlign w:val="top"/>
          </w:tcPr>
          <w:p>
            <w:pPr>
              <w:spacing w:after="0"/>
            </w:pPr>
            <w:r>
              <w:t>-9.079</w:t>
            </w:r>
          </w:p>
        </w:tc>
        <w:tc>
          <w:tcPr>
            <w:tcW w:type="dxa" w:w="1368"/>
            <w:vAlign w:val="top"/>
          </w:tcPr>
          <w:p>
            <w:pPr>
              <w:spacing w:after="0"/>
            </w:pPr>
            <w:r>
              <w:t>-8.718</w:t>
            </w:r>
          </w:p>
        </w:tc>
        <w:tc>
          <w:tcPr>
            <w:tcW w:type="dxa" w:w="1080"/>
            <w:vAlign w:val="top"/>
          </w:tcPr>
          <w:p>
            <w:pPr>
              <w:spacing w:after="0"/>
            </w:pPr>
            <w:r>
              <w:t>-0.361</w:t>
            </w:r>
          </w:p>
        </w:tc>
        <w:tc>
          <w:tcPr>
            <w:tcW w:type="dxa" w:w="1368"/>
            <w:vAlign w:val="top"/>
          </w:tcPr>
          <w:p>
            <w:pPr>
              <w:spacing w:after="0"/>
            </w:pPr>
            <w:r>
              <w:t>-0.900</w:t>
            </w:r>
          </w:p>
        </w:tc>
        <w:tc>
          <w:tcPr>
            <w:tcW w:type="dxa" w:w="1440"/>
            <w:vAlign w:val="top"/>
          </w:tcPr>
          <w:p>
            <w:pPr>
              <w:spacing w:after="0"/>
            </w:pPr>
            <w:r>
              <w:t>-0.539</w:t>
            </w:r>
          </w:p>
        </w:tc>
      </w:tr>
      <w:tr>
        <w:tc>
          <w:tcPr>
            <w:tcW w:type="dxa" w:w="1152"/>
            <w:vAlign w:val="top"/>
          </w:tcPr>
          <w:p>
            <w:pPr>
              <w:spacing w:after="0"/>
            </w:pPr>
            <w:r>
              <w:t>1oiy</w:t>
            </w:r>
          </w:p>
        </w:tc>
        <w:tc>
          <w:tcPr>
            <w:tcW w:type="dxa" w:w="1296"/>
            <w:vAlign w:val="top"/>
          </w:tcPr>
          <w:p>
            <w:pPr>
              <w:spacing w:after="0"/>
            </w:pPr>
            <w:r>
              <w:t>-9.079</w:t>
            </w:r>
          </w:p>
        </w:tc>
        <w:tc>
          <w:tcPr>
            <w:tcW w:type="dxa" w:w="1368"/>
            <w:vAlign w:val="top"/>
          </w:tcPr>
          <w:p>
            <w:pPr>
              <w:spacing w:after="0"/>
            </w:pPr>
            <w:r>
              <w:t>-9.785</w:t>
            </w:r>
          </w:p>
        </w:tc>
        <w:tc>
          <w:tcPr>
            <w:tcW w:type="dxa" w:w="1080"/>
            <w:vAlign w:val="top"/>
          </w:tcPr>
          <w:p>
            <w:pPr>
              <w:spacing w:after="0"/>
            </w:pPr>
            <w:r>
              <w:t>0.706</w:t>
            </w:r>
          </w:p>
        </w:tc>
        <w:tc>
          <w:tcPr>
            <w:tcW w:type="dxa" w:w="1368"/>
            <w:vAlign w:val="top"/>
          </w:tcPr>
          <w:p>
            <w:pPr>
              <w:spacing w:after="0"/>
            </w:pPr>
            <w:r>
              <w:t>-0.900</w:t>
            </w:r>
          </w:p>
        </w:tc>
        <w:tc>
          <w:tcPr>
            <w:tcW w:type="dxa" w:w="1440"/>
            <w:vAlign w:val="top"/>
          </w:tcPr>
          <w:p>
            <w:pPr>
              <w:spacing w:after="0"/>
            </w:pPr>
            <w:r>
              <w:t>-1.606</w:t>
            </w:r>
          </w:p>
        </w:tc>
      </w:tr>
      <w:tr>
        <w:tc>
          <w:tcPr>
            <w:tcW w:type="dxa" w:w="1152"/>
            <w:vAlign w:val="top"/>
          </w:tcPr>
          <w:p>
            <w:pPr>
              <w:spacing w:after="0"/>
            </w:pPr>
            <w:r>
              <w:t>31</w:t>
            </w:r>
          </w:p>
        </w:tc>
        <w:tc>
          <w:tcPr>
            <w:tcW w:type="dxa" w:w="1296"/>
            <w:vAlign w:val="top"/>
          </w:tcPr>
          <w:p>
            <w:pPr>
              <w:spacing w:after="0"/>
            </w:pPr>
            <w:r>
              <w:t>-8.979</w:t>
            </w:r>
          </w:p>
        </w:tc>
        <w:tc>
          <w:tcPr>
            <w:tcW w:type="dxa" w:w="1368"/>
            <w:vAlign w:val="top"/>
          </w:tcPr>
          <w:p>
            <w:pPr>
              <w:spacing w:after="0"/>
            </w:pPr>
            <w:r>
              <w:t>-9.539</w:t>
            </w:r>
          </w:p>
        </w:tc>
        <w:tc>
          <w:tcPr>
            <w:tcW w:type="dxa" w:w="1080"/>
            <w:vAlign w:val="top"/>
          </w:tcPr>
          <w:p>
            <w:pPr>
              <w:spacing w:after="0"/>
            </w:pPr>
            <w:r>
              <w:t>0.560</w:t>
            </w:r>
          </w:p>
        </w:tc>
        <w:tc>
          <w:tcPr>
            <w:tcW w:type="dxa" w:w="1368"/>
            <w:vAlign w:val="top"/>
          </w:tcPr>
          <w:p>
            <w:pPr>
              <w:spacing w:after="0"/>
            </w:pPr>
            <w:r>
              <w:t>-0.800</w:t>
            </w:r>
          </w:p>
        </w:tc>
        <w:tc>
          <w:tcPr>
            <w:tcW w:type="dxa" w:w="1440"/>
            <w:vAlign w:val="top"/>
          </w:tcPr>
          <w:p>
            <w:pPr>
              <w:spacing w:after="0"/>
            </w:pPr>
            <w:r>
              <w:t>-1.360</w:t>
            </w:r>
          </w:p>
        </w:tc>
      </w:tr>
      <w:tr>
        <w:tc>
          <w:tcPr>
            <w:tcW w:type="dxa" w:w="1152"/>
            <w:vAlign w:val="top"/>
          </w:tcPr>
          <w:p>
            <w:pPr>
              <w:spacing w:after="0"/>
            </w:pPr>
            <w:r>
              <w:t>26</w:t>
            </w:r>
          </w:p>
        </w:tc>
        <w:tc>
          <w:tcPr>
            <w:tcW w:type="dxa" w:w="1296"/>
            <w:vAlign w:val="top"/>
          </w:tcPr>
          <w:p>
            <w:pPr>
              <w:spacing w:after="0"/>
            </w:pPr>
            <w:r>
              <w:t>-8.979</w:t>
            </w:r>
          </w:p>
        </w:tc>
        <w:tc>
          <w:tcPr>
            <w:tcW w:type="dxa" w:w="1368"/>
            <w:vAlign w:val="top"/>
          </w:tcPr>
          <w:p>
            <w:pPr>
              <w:spacing w:after="0"/>
            </w:pPr>
            <w:r>
              <w:t>-8.431</w:t>
            </w:r>
          </w:p>
        </w:tc>
        <w:tc>
          <w:tcPr>
            <w:tcW w:type="dxa" w:w="1080"/>
            <w:vAlign w:val="top"/>
          </w:tcPr>
          <w:p>
            <w:pPr>
              <w:spacing w:after="0"/>
            </w:pPr>
            <w:r>
              <w:t>-0.548</w:t>
            </w:r>
          </w:p>
        </w:tc>
        <w:tc>
          <w:tcPr>
            <w:tcW w:type="dxa" w:w="1368"/>
            <w:vAlign w:val="top"/>
          </w:tcPr>
          <w:p>
            <w:pPr>
              <w:spacing w:after="0"/>
            </w:pPr>
            <w:r>
              <w:t>-0.800</w:t>
            </w:r>
          </w:p>
        </w:tc>
        <w:tc>
          <w:tcPr>
            <w:tcW w:type="dxa" w:w="1440"/>
            <w:vAlign w:val="top"/>
          </w:tcPr>
          <w:p>
            <w:pPr>
              <w:spacing w:after="0"/>
            </w:pPr>
            <w:r>
              <w:t>-0.252</w:t>
            </w:r>
          </w:p>
        </w:tc>
      </w:tr>
      <w:tr>
        <w:tc>
          <w:tcPr>
            <w:tcW w:type="dxa" w:w="1152"/>
            <w:vAlign w:val="top"/>
          </w:tcPr>
          <w:p>
            <w:pPr>
              <w:spacing w:after="0"/>
            </w:pPr>
            <w:r>
              <w:t>1h1q</w:t>
            </w:r>
          </w:p>
        </w:tc>
        <w:tc>
          <w:tcPr>
            <w:tcW w:type="dxa" w:w="1296"/>
            <w:vAlign w:val="top"/>
          </w:tcPr>
          <w:p>
            <w:pPr>
              <w:spacing w:after="0"/>
            </w:pPr>
            <w:r>
              <w:t>-8.179</w:t>
            </w:r>
          </w:p>
        </w:tc>
        <w:tc>
          <w:tcPr>
            <w:tcW w:type="dxa" w:w="1368"/>
            <w:vAlign w:val="top"/>
          </w:tcPr>
          <w:p>
            <w:pPr>
              <w:spacing w:after="0"/>
            </w:pPr>
            <w:r>
              <w:t>-8.179</w:t>
            </w:r>
          </w:p>
        </w:tc>
        <w:tc>
          <w:tcPr>
            <w:tcW w:type="dxa" w:w="1080"/>
            <w:vAlign w:val="top"/>
          </w:tcPr>
          <w:p>
            <w:pPr>
              <w:spacing w:after="0"/>
            </w:pPr>
            <w:r>
              <w:t>0.000</w:t>
            </w:r>
          </w:p>
        </w:tc>
        <w:tc>
          <w:tcPr>
            <w:tcW w:type="dxa" w:w="1368"/>
            <w:vAlign w:val="top"/>
          </w:tcPr>
          <w:p>
            <w:pPr>
              <w:spacing w:after="0"/>
            </w:pPr>
            <w:r>
              <w:t>0.000</w:t>
            </w:r>
          </w:p>
        </w:tc>
        <w:tc>
          <w:tcPr>
            <w:tcW w:type="dxa" w:w="1440"/>
            <w:vAlign w:val="top"/>
          </w:tcPr>
          <w:p>
            <w:pPr>
              <w:spacing w:after="0"/>
            </w:pPr>
            <w:r>
              <w:t>0.000</w:t>
            </w:r>
          </w:p>
        </w:tc>
      </w:tr>
      <w:tr>
        <w:tc>
          <w:tcPr>
            <w:tcW w:type="dxa" w:w="1152"/>
            <w:vAlign w:val="top"/>
          </w:tcPr>
          <w:p>
            <w:pPr>
              <w:spacing w:after="0"/>
            </w:pPr>
            <w:r>
              <w:t>1h1r</w:t>
            </w:r>
          </w:p>
        </w:tc>
        <w:tc>
          <w:tcPr>
            <w:tcW w:type="dxa" w:w="1296"/>
            <w:vAlign w:val="top"/>
          </w:tcPr>
          <w:p>
            <w:pPr>
              <w:spacing w:after="0"/>
            </w:pPr>
            <w:r>
              <w:t>-7.979</w:t>
            </w:r>
          </w:p>
        </w:tc>
        <w:tc>
          <w:tcPr>
            <w:tcW w:type="dxa" w:w="1368"/>
            <w:vAlign w:val="top"/>
          </w:tcPr>
          <w:p>
            <w:pPr>
              <w:spacing w:after="0"/>
            </w:pPr>
            <w:r>
              <w:t>-7.669</w:t>
            </w:r>
          </w:p>
        </w:tc>
        <w:tc>
          <w:tcPr>
            <w:tcW w:type="dxa" w:w="1080"/>
            <w:vAlign w:val="top"/>
          </w:tcPr>
          <w:p>
            <w:pPr>
              <w:spacing w:after="0"/>
            </w:pPr>
            <w:r>
              <w:t>-0.310</w:t>
            </w:r>
          </w:p>
        </w:tc>
        <w:tc>
          <w:tcPr>
            <w:tcW w:type="dxa" w:w="1368"/>
            <w:vAlign w:val="top"/>
          </w:tcPr>
          <w:p>
            <w:pPr>
              <w:spacing w:after="0"/>
            </w:pPr>
            <w:r>
              <w:t>0.200</w:t>
            </w:r>
          </w:p>
        </w:tc>
        <w:tc>
          <w:tcPr>
            <w:tcW w:type="dxa" w:w="1440"/>
            <w:vAlign w:val="top"/>
          </w:tcPr>
          <w:p>
            <w:pPr>
              <w:spacing w:after="0"/>
            </w:pPr>
            <w:r>
              <w:t>0.510</w:t>
            </w:r>
          </w:p>
        </w:tc>
      </w:tr>
      <w:tr>
        <w:tc>
          <w:tcPr>
            <w:tcW w:type="dxa" w:w="1152"/>
            <w:vAlign w:val="top"/>
          </w:tcPr>
          <w:p>
            <w:pPr>
              <w:spacing w:after="0"/>
            </w:pPr>
            <w:r>
              <w:t>17</w:t>
            </w:r>
          </w:p>
        </w:tc>
        <w:tc>
          <w:tcPr>
            <w:tcW w:type="dxa" w:w="1296"/>
            <w:vAlign w:val="top"/>
          </w:tcPr>
          <w:p>
            <w:pPr>
              <w:spacing w:after="0"/>
            </w:pPr>
            <w:r>
              <w:t>-7.879</w:t>
            </w:r>
          </w:p>
        </w:tc>
        <w:tc>
          <w:tcPr>
            <w:tcW w:type="dxa" w:w="1368"/>
            <w:vAlign w:val="top"/>
          </w:tcPr>
          <w:p>
            <w:pPr>
              <w:spacing w:after="0"/>
            </w:pPr>
            <w:r>
              <w:t>-7.041</w:t>
            </w:r>
          </w:p>
        </w:tc>
        <w:tc>
          <w:tcPr>
            <w:tcW w:type="dxa" w:w="1080"/>
            <w:vAlign w:val="top"/>
          </w:tcPr>
          <w:p>
            <w:pPr>
              <w:spacing w:after="0"/>
            </w:pPr>
            <w:r>
              <w:t>-0.838</w:t>
            </w:r>
          </w:p>
        </w:tc>
        <w:tc>
          <w:tcPr>
            <w:tcW w:type="dxa" w:w="1368"/>
            <w:vAlign w:val="top"/>
          </w:tcPr>
          <w:p>
            <w:pPr>
              <w:spacing w:after="0"/>
            </w:pPr>
            <w:r>
              <w:t>0.300</w:t>
            </w:r>
          </w:p>
        </w:tc>
        <w:tc>
          <w:tcPr>
            <w:tcW w:type="dxa" w:w="1440"/>
            <w:vAlign w:val="top"/>
          </w:tcPr>
          <w:p>
            <w:pPr>
              <w:spacing w:after="0"/>
            </w:pPr>
            <w:r>
              <w:t>1.138</w:t>
            </w:r>
          </w:p>
        </w:tc>
      </w:tr>
      <w:tr>
        <w:tc>
          <w:tcPr>
            <w:tcW w:type="dxa" w:w="1152"/>
            <w:vAlign w:val="top"/>
          </w:tcPr>
          <w:p>
            <w:pPr>
              <w:spacing w:after="0"/>
            </w:pPr>
            <w:r>
              <w:t>21</w:t>
            </w:r>
          </w:p>
        </w:tc>
        <w:tc>
          <w:tcPr>
            <w:tcW w:type="dxa" w:w="1296"/>
            <w:vAlign w:val="top"/>
          </w:tcPr>
          <w:p>
            <w:pPr>
              <w:spacing w:after="0"/>
            </w:pPr>
            <w:r>
              <w:t>-7.679</w:t>
            </w:r>
          </w:p>
        </w:tc>
        <w:tc>
          <w:tcPr>
            <w:tcW w:type="dxa" w:w="1368"/>
            <w:vAlign w:val="top"/>
          </w:tcPr>
          <w:p>
            <w:pPr>
              <w:spacing w:after="0"/>
            </w:pPr>
            <w:r>
              <w:t>-7.828</w:t>
            </w:r>
          </w:p>
        </w:tc>
        <w:tc>
          <w:tcPr>
            <w:tcW w:type="dxa" w:w="1080"/>
            <w:vAlign w:val="top"/>
          </w:tcPr>
          <w:p>
            <w:pPr>
              <w:spacing w:after="0"/>
            </w:pPr>
            <w:r>
              <w:t>0.149</w:t>
            </w:r>
          </w:p>
        </w:tc>
        <w:tc>
          <w:tcPr>
            <w:tcW w:type="dxa" w:w="1368"/>
            <w:vAlign w:val="top"/>
          </w:tcPr>
          <w:p>
            <w:pPr>
              <w:spacing w:after="0"/>
            </w:pPr>
            <w:r>
              <w:t>0.500</w:t>
            </w:r>
          </w:p>
        </w:tc>
        <w:tc>
          <w:tcPr>
            <w:tcW w:type="dxa" w:w="1440"/>
            <w:vAlign w:val="top"/>
          </w:tcPr>
          <w:p>
            <w:pPr>
              <w:spacing w:after="0"/>
            </w:pPr>
            <w:r>
              <w:t>0.351</w:t>
            </w:r>
          </w:p>
        </w:tc>
      </w:tr>
      <w:tr>
        <w:tc>
          <w:tcPr>
            <w:tcW w:type="dxa" w:w="1152"/>
            <w:vAlign w:val="top"/>
          </w:tcPr>
          <w:p>
            <w:pPr>
              <w:spacing w:after="0"/>
            </w:pPr>
            <w:r>
              <w:t>22</w:t>
            </w:r>
          </w:p>
        </w:tc>
        <w:tc>
          <w:tcPr>
            <w:tcW w:type="dxa" w:w="1296"/>
            <w:vAlign w:val="top"/>
          </w:tcPr>
          <w:p>
            <w:pPr>
              <w:spacing w:after="0"/>
            </w:pPr>
            <w:r>
              <w:t>-7.079</w:t>
            </w:r>
          </w:p>
        </w:tc>
        <w:tc>
          <w:tcPr>
            <w:tcW w:type="dxa" w:w="1368"/>
            <w:vAlign w:val="top"/>
          </w:tcPr>
          <w:p>
            <w:pPr>
              <w:spacing w:after="0"/>
            </w:pPr>
            <w:r>
              <w:t>-7.862</w:t>
            </w:r>
          </w:p>
        </w:tc>
        <w:tc>
          <w:tcPr>
            <w:tcW w:type="dxa" w:w="1080"/>
            <w:vAlign w:val="top"/>
          </w:tcPr>
          <w:p>
            <w:pPr>
              <w:spacing w:after="0"/>
            </w:pPr>
            <w:r>
              <w:t>0.783</w:t>
            </w:r>
          </w:p>
        </w:tc>
        <w:tc>
          <w:tcPr>
            <w:tcW w:type="dxa" w:w="1368"/>
            <w:vAlign w:val="top"/>
          </w:tcPr>
          <w:p>
            <w:pPr>
              <w:spacing w:after="0"/>
            </w:pPr>
            <w:r>
              <w:t>1.100</w:t>
            </w:r>
          </w:p>
        </w:tc>
        <w:tc>
          <w:tcPr>
            <w:tcW w:type="dxa" w:w="1440"/>
            <w:vAlign w:val="top"/>
          </w:tcPr>
          <w:p>
            <w:pPr>
              <w:spacing w:after="0"/>
            </w:pPr>
            <w:r>
              <w:t>0.317</w:t>
            </w:r>
          </w:p>
        </w:tc>
      </w:tr>
    </w:tbl>
    <w:p>
      <w:pPr>
        <w:pStyle w:val="Heading1"/>
      </w:pPr>
      <w:r>
        <w:t>6. Publication-Style Figure Legends</w:t>
      </w:r>
    </w:p>
    <w:p>
      <w:pPr>
        <w:jc w:val="center"/>
      </w:pPr>
      <w:r>
        <w:drawing>
          <wp:inline xmlns:a="http://schemas.openxmlformats.org/drawingml/2006/main" xmlns:pic="http://schemas.openxmlformats.org/drawingml/2006/picture">
            <wp:extent cx="6035040" cy="3470148"/>
            <wp:docPr id="2" name="Picture 2"/>
            <wp:cNvGraphicFramePr>
              <a:graphicFrameLocks noChangeAspect="1"/>
            </wp:cNvGraphicFramePr>
            <a:graphic>
              <a:graphicData uri="http://schemas.openxmlformats.org/drawingml/2006/picture">
                <pic:pic>
                  <pic:nvPicPr>
                    <pic:cNvPr id="0" name="publication_active_fraction_bar.png"/>
                    <pic:cNvPicPr/>
                  </pic:nvPicPr>
                  <pic:blipFill>
                    <a:blip r:embed="rId12"/>
                    <a:stretch>
                      <a:fillRect/>
                    </a:stretch>
                  </pic:blipFill>
                  <pic:spPr>
                    <a:xfrm>
                      <a:off x="0" y="0"/>
                      <a:ext cx="6035040" cy="3470148"/>
                    </a:xfrm>
                    <a:prstGeom prst="rect"/>
                  </pic:spPr>
                </pic:pic>
              </a:graphicData>
            </a:graphic>
          </wp:inline>
        </w:drawing>
      </w:r>
    </w:p>
    <w:p>
      <w:pPr>
        <w:pStyle w:val="Caption"/>
        <w:jc w:val="left"/>
      </w:pPr>
      <w:r>
        <w:rPr>
          <w:b/>
        </w:rPr>
        <w:t xml:space="preserve">Figure 2. </w:t>
      </w:r>
      <w:r>
        <w:t>Active-ligand enrichment through the OSLab CDK2 workflow. Bars show the active fraction after each benchmarkable cascade stage: the full DUD-E docking library (631 actives among 24,549 ligands), the 400-ligand hit-refinement input set, the 20-ligand MD/MM-GBSA set, and the five-ligand FEP cluster. The fold-enrichment values are computed relative to the original library active rate. The FEP stage is active-only and therefore should be read as cascade retention of actives rather than active/decoy discrimination.</w:t>
      </w:r>
    </w:p>
    <w:p>
      <w:pPr>
        <w:jc w:val="center"/>
      </w:pPr>
      <w:r>
        <w:drawing>
          <wp:inline xmlns:a="http://schemas.openxmlformats.org/drawingml/2006/main" xmlns:pic="http://schemas.openxmlformats.org/drawingml/2006/picture">
            <wp:extent cx="6035040" cy="3470148"/>
            <wp:docPr id="3" name="Picture 3"/>
            <wp:cNvGraphicFramePr>
              <a:graphicFrameLocks noChangeAspect="1"/>
            </wp:cNvGraphicFramePr>
            <a:graphic>
              <a:graphicData uri="http://schemas.openxmlformats.org/drawingml/2006/picture">
                <pic:pic>
                  <pic:nvPicPr>
                    <pic:cNvPr id="0" name="publication_auc_ap_bars.png"/>
                    <pic:cNvPicPr/>
                  </pic:nvPicPr>
                  <pic:blipFill>
                    <a:blip r:embed="rId13"/>
                    <a:stretch>
                      <a:fillRect/>
                    </a:stretch>
                  </pic:blipFill>
                  <pic:spPr>
                    <a:xfrm>
                      <a:off x="0" y="0"/>
                      <a:ext cx="6035040" cy="3470148"/>
                    </a:xfrm>
                    <a:prstGeom prst="rect"/>
                  </pic:spPr>
                </pic:pic>
              </a:graphicData>
            </a:graphic>
          </wp:inline>
        </w:drawing>
      </w:r>
    </w:p>
    <w:p>
      <w:pPr>
        <w:pStyle w:val="Caption"/>
        <w:jc w:val="left"/>
      </w:pPr>
      <w:r>
        <w:rPr>
          <w:b/>
        </w:rPr>
        <w:t xml:space="preserve">Figure 3. </w:t>
      </w:r>
      <w:r>
        <w:t>Discrimination metrics across benchmarkable OSLab stages. ROC-AUC and average precision are shown for initial Vina docking, hit-refinement composite ranking, hit-refinement best Vina score, MD/MM-GBSA ranking, and MD-stage Vina score. FEP is not included in ROC-AUC because the workflow FEP cluster contained only active ligands. These metrics evaluate OSLab’s ability to prioritize known CDK2 actives over DUD-E decoys at each stage.</w:t>
      </w:r>
    </w:p>
    <w:p>
      <w:pPr>
        <w:jc w:val="center"/>
      </w:pPr>
      <w:r>
        <w:drawing>
          <wp:inline xmlns:a="http://schemas.openxmlformats.org/drawingml/2006/main" xmlns:pic="http://schemas.openxmlformats.org/drawingml/2006/picture">
            <wp:extent cx="6035040" cy="3352800"/>
            <wp:docPr id="4" name="Picture 4"/>
            <wp:cNvGraphicFramePr>
              <a:graphicFrameLocks noChangeAspect="1"/>
            </wp:cNvGraphicFramePr>
            <a:graphic>
              <a:graphicData uri="http://schemas.openxmlformats.org/drawingml/2006/picture">
                <pic:pic>
                  <pic:nvPicPr>
                    <pic:cNvPr id="0" name="oslab_top_ligands_grid.png"/>
                    <pic:cNvPicPr/>
                  </pic:nvPicPr>
                  <pic:blipFill>
                    <a:blip r:embed="rId14"/>
                    <a:stretch>
                      <a:fillRect/>
                    </a:stretch>
                  </pic:blipFill>
                  <pic:spPr>
                    <a:xfrm>
                      <a:off x="0" y="0"/>
                      <a:ext cx="6035040" cy="3352800"/>
                    </a:xfrm>
                    <a:prstGeom prst="rect"/>
                  </pic:spPr>
                </pic:pic>
              </a:graphicData>
            </a:graphic>
          </wp:inline>
        </w:drawing>
      </w:r>
    </w:p>
    <w:p>
      <w:pPr>
        <w:pStyle w:val="Caption"/>
        <w:jc w:val="left"/>
      </w:pPr>
      <w:r>
        <w:rPr>
          <w:b/>
        </w:rPr>
        <w:t xml:space="preserve">Figure 4. </w:t>
      </w:r>
      <w:r>
        <w:t>Representative top-ranked CDK2 ligands from the OSLab cascade. Structures are displayed to visualize chemical series composition among the strongest-ranked compounds after docking/hit refinement/MD selection. Ligand names encode DUD-E active or decoy status, allowing visual comparison of enriched actives and high-scoring decoys. This panel supports chemical interpretability but is not itself a scoring metric.</w:t>
      </w:r>
    </w:p>
    <w:p>
      <w:pPr>
        <w:jc w:val="center"/>
      </w:pPr>
      <w:r>
        <w:drawing>
          <wp:inline xmlns:a="http://schemas.openxmlformats.org/drawingml/2006/main" xmlns:pic="http://schemas.openxmlformats.org/drawingml/2006/picture">
            <wp:extent cx="6035040" cy="2904363"/>
            <wp:docPr id="5" name="Picture 5"/>
            <wp:cNvGraphicFramePr>
              <a:graphicFrameLocks noChangeAspect="1"/>
            </wp:cNvGraphicFramePr>
            <a:graphic>
              <a:graphicData uri="http://schemas.openxmlformats.org/drawingml/2006/picture">
                <pic:pic>
                  <pic:nvPicPr>
                    <pic:cNvPr id="0" name="publication_md_mmgbsa_ranking.png"/>
                    <pic:cNvPicPr/>
                  </pic:nvPicPr>
                  <pic:blipFill>
                    <a:blip r:embed="rId15"/>
                    <a:stretch>
                      <a:fillRect/>
                    </a:stretch>
                  </pic:blipFill>
                  <pic:spPr>
                    <a:xfrm>
                      <a:off x="0" y="0"/>
                      <a:ext cx="6035040" cy="2904363"/>
                    </a:xfrm>
                    <a:prstGeom prst="rect"/>
                  </pic:spPr>
                </pic:pic>
              </a:graphicData>
            </a:graphic>
          </wp:inline>
        </w:drawing>
      </w:r>
    </w:p>
    <w:p>
      <w:pPr>
        <w:pStyle w:val="Caption"/>
        <w:jc w:val="left"/>
      </w:pPr>
      <w:r>
        <w:rPr>
          <w:b/>
        </w:rPr>
        <w:t xml:space="preserve">Figure 5. </w:t>
      </w:r>
      <w:r>
        <w:t>MD/MM-GBSA ranking after Block 3. Each ligand advanced from hit refinement was simulated with the OSLab OpenMM MD/optimization protocol and ranked by mean MM/GBSA ΔG. More negative values indicate stronger predicted binding in this approximate implicit-solvent ranking model. Active/decoy labels show that the top MD/MM-GBSA ranks were enriched for known CDK2 actives compared with the original DUD-E library.</w:t>
      </w:r>
    </w:p>
    <w:p>
      <w:pPr>
        <w:jc w:val="center"/>
      </w:pPr>
      <w:r>
        <w:drawing>
          <wp:inline xmlns:a="http://schemas.openxmlformats.org/drawingml/2006/main" xmlns:pic="http://schemas.openxmlformats.org/drawingml/2006/picture">
            <wp:extent cx="6035040" cy="3479023"/>
            <wp:docPr id="6" name="Picture 6"/>
            <wp:cNvGraphicFramePr>
              <a:graphicFrameLocks noChangeAspect="1"/>
            </wp:cNvGraphicFramePr>
            <a:graphic>
              <a:graphicData uri="http://schemas.openxmlformats.org/drawingml/2006/picture">
                <pic:pic>
                  <pic:nvPicPr>
                    <pic:cNvPr id="0" name="publication_plip_residue_heatmap.png"/>
                    <pic:cNvPicPr/>
                  </pic:nvPicPr>
                  <pic:blipFill>
                    <a:blip r:embed="rId16"/>
                    <a:stretch>
                      <a:fillRect/>
                    </a:stretch>
                  </pic:blipFill>
                  <pic:spPr>
                    <a:xfrm>
                      <a:off x="0" y="0"/>
                      <a:ext cx="6035040" cy="3479023"/>
                    </a:xfrm>
                    <a:prstGeom prst="rect"/>
                  </pic:spPr>
                </pic:pic>
              </a:graphicData>
            </a:graphic>
          </wp:inline>
        </w:drawing>
      </w:r>
    </w:p>
    <w:p>
      <w:pPr>
        <w:pStyle w:val="Caption"/>
        <w:jc w:val="left"/>
      </w:pPr>
      <w:r>
        <w:rPr>
          <w:b/>
        </w:rPr>
        <w:t xml:space="preserve">Figure 6. </w:t>
      </w:r>
      <w:r>
        <w:t>Protein-ligand interaction residue heatmap from PLIP and/or trajectory-derived interaction summaries. Rows/columns summarize recurrent binding-site contacts observed for top candidates. The purpose is to identify whether highly ranked ligands share plausible contact patterns with CDK2 binding-site residues. Interaction occupancy should be interpreted as qualitative pose support and not as a substitute for binding affinity measurement.</w:t>
      </w:r>
    </w:p>
    <w:p>
      <w:pPr>
        <w:jc w:val="center"/>
      </w:pPr>
      <w:r>
        <w:drawing>
          <wp:inline xmlns:a="http://schemas.openxmlformats.org/drawingml/2006/main" xmlns:pic="http://schemas.openxmlformats.org/drawingml/2006/picture">
            <wp:extent cx="6035040" cy="2715768"/>
            <wp:docPr id="7" name="Picture 7"/>
            <wp:cNvGraphicFramePr>
              <a:graphicFrameLocks noChangeAspect="1"/>
            </wp:cNvGraphicFramePr>
            <a:graphic>
              <a:graphicData uri="http://schemas.openxmlformats.org/drawingml/2006/picture">
                <pic:pic>
                  <pic:nvPicPr>
                    <pic:cNvPr id="0" name="publication_plip_interaction_types.png"/>
                    <pic:cNvPicPr/>
                  </pic:nvPicPr>
                  <pic:blipFill>
                    <a:blip r:embed="rId17"/>
                    <a:stretch>
                      <a:fillRect/>
                    </a:stretch>
                  </pic:blipFill>
                  <pic:spPr>
                    <a:xfrm>
                      <a:off x="0" y="0"/>
                      <a:ext cx="6035040" cy="2715768"/>
                    </a:xfrm>
                    <a:prstGeom prst="rect"/>
                  </pic:spPr>
                </pic:pic>
              </a:graphicData>
            </a:graphic>
          </wp:inline>
        </w:drawing>
      </w:r>
    </w:p>
    <w:p>
      <w:pPr>
        <w:pStyle w:val="Caption"/>
        <w:jc w:val="left"/>
      </w:pPr>
      <w:r>
        <w:rPr>
          <w:b/>
        </w:rPr>
        <w:t xml:space="preserve">Figure 7. </w:t>
      </w:r>
      <w:r>
        <w:t>Interaction-type distribution for top CDK2 candidates. The plot summarizes contact categories such as hydrogen bonds, hydrophobic contacts, salt bridges, π interactions, and van der Waals contacts where detected by PLIP/interaction post-processing. The figure is intended to show whether ranked ligands engage the pocket through chemically interpretable interactions.</w:t>
      </w:r>
    </w:p>
    <w:p>
      <w:pPr>
        <w:jc w:val="center"/>
      </w:pPr>
      <w:r>
        <w:drawing>
          <wp:inline xmlns:a="http://schemas.openxmlformats.org/drawingml/2006/main" xmlns:pic="http://schemas.openxmlformats.org/drawingml/2006/picture">
            <wp:extent cx="6035040" cy="5029200"/>
            <wp:docPr id="8" name="Picture 8"/>
            <wp:cNvGraphicFramePr>
              <a:graphicFrameLocks noChangeAspect="1"/>
            </wp:cNvGraphicFramePr>
            <a:graphic>
              <a:graphicData uri="http://schemas.openxmlformats.org/drawingml/2006/picture">
                <pic:pic>
                  <pic:nvPicPr>
                    <pic:cNvPr id="0" name="oslab_fep_dashboard_canonical.png"/>
                    <pic:cNvPicPr/>
                  </pic:nvPicPr>
                  <pic:blipFill>
                    <a:blip r:embed="rId18"/>
                    <a:stretch>
                      <a:fillRect/>
                    </a:stretch>
                  </pic:blipFill>
                  <pic:spPr>
                    <a:xfrm>
                      <a:off x="0" y="0"/>
                      <a:ext cx="6035040" cy="5029200"/>
                    </a:xfrm>
                    <a:prstGeom prst="rect"/>
                  </pic:spPr>
                </pic:pic>
              </a:graphicData>
            </a:graphic>
          </wp:inline>
        </w:drawing>
      </w:r>
    </w:p>
    <w:p>
      <w:pPr>
        <w:pStyle w:val="Caption"/>
        <w:jc w:val="left"/>
      </w:pPr>
      <w:r>
        <w:rPr>
          <w:b/>
        </w:rPr>
        <w:t xml:space="preserve">Figure 8. </w:t>
      </w:r>
      <w:r>
        <w:t>OSLab dashboard view of the completed canonical Block 4 FEP run. The dashboard mirrors progress JSON written by the terminal process and displays status, selected ligands, perturbation network information, and final results without controlling the running simulation. This panel documents the user-facing monitoring layer and the separation between UI display and independent backend execution.</w:t>
      </w:r>
    </w:p>
    <w:p>
      <w:pPr>
        <w:jc w:val="center"/>
      </w:pPr>
      <w:r>
        <w:drawing>
          <wp:inline xmlns:a="http://schemas.openxmlformats.org/drawingml/2006/main" xmlns:pic="http://schemas.openxmlformats.org/drawingml/2006/picture">
            <wp:extent cx="6035040" cy="3998214"/>
            <wp:docPr id="9" name="Picture 9"/>
            <wp:cNvGraphicFramePr>
              <a:graphicFrameLocks noChangeAspect="1"/>
            </wp:cNvGraphicFramePr>
            <a:graphic>
              <a:graphicData uri="http://schemas.openxmlformats.org/drawingml/2006/picture">
                <pic:pic>
                  <pic:nvPicPr>
                    <pic:cNvPr id="0" name="fep_network_metrics.png"/>
                    <pic:cNvPicPr/>
                  </pic:nvPicPr>
                  <pic:blipFill>
                    <a:blip r:embed="rId19"/>
                    <a:stretch>
                      <a:fillRect/>
                    </a:stretch>
                  </pic:blipFill>
                  <pic:spPr>
                    <a:xfrm>
                      <a:off x="0" y="0"/>
                      <a:ext cx="6035040" cy="3998214"/>
                    </a:xfrm>
                    <a:prstGeom prst="rect"/>
                  </pic:spPr>
                </pic:pic>
              </a:graphicData>
            </a:graphic>
          </wp:inline>
        </w:drawing>
      </w:r>
    </w:p>
    <w:p>
      <w:pPr>
        <w:pStyle w:val="Caption"/>
        <w:jc w:val="left"/>
      </w:pPr>
      <w:r>
        <w:rPr>
          <w:b/>
        </w:rPr>
        <w:t xml:space="preserve">Figure 9. </w:t>
      </w:r>
      <w:r>
        <w:t>Canonical workflow FEP perturbation-network metrics for the five-ligand CDK2 active cluster. Edges were selected by OSLab/OpenFE network planning using atom mapping and similarity metrics. The network includes Tanimoto similarity, MCS atom counts, edge quality scores, and gathered ΔΔG values. One edge had a weak MCS despite acceptable Tanimoto; therefore this network is best interpreted as a workflow demonstration requiring further replicate validation.</w:t>
      </w:r>
    </w:p>
    <w:p>
      <w:pPr>
        <w:jc w:val="center"/>
      </w:pPr>
      <w:r>
        <w:drawing>
          <wp:inline xmlns:a="http://schemas.openxmlformats.org/drawingml/2006/main" xmlns:pic="http://schemas.openxmlformats.org/drawingml/2006/picture">
            <wp:extent cx="6035040" cy="6267157"/>
            <wp:docPr id="10" name="Picture 10"/>
            <wp:cNvGraphicFramePr>
              <a:graphicFrameLocks noChangeAspect="1"/>
            </wp:cNvGraphicFramePr>
            <a:graphic>
              <a:graphicData uri="http://schemas.openxmlformats.org/drawingml/2006/picture">
                <pic:pic>
                  <pic:nvPicPr>
                    <pic:cNvPr id="0" name="fep_2d_ligand_structures.png"/>
                    <pic:cNvPicPr/>
                  </pic:nvPicPr>
                  <pic:blipFill>
                    <a:blip r:embed="rId20"/>
                    <a:stretch>
                      <a:fillRect/>
                    </a:stretch>
                  </pic:blipFill>
                  <pic:spPr>
                    <a:xfrm>
                      <a:off x="0" y="0"/>
                      <a:ext cx="6035040" cy="6267157"/>
                    </a:xfrm>
                    <a:prstGeom prst="rect"/>
                  </pic:spPr>
                </pic:pic>
              </a:graphicData>
            </a:graphic>
          </wp:inline>
        </w:drawing>
      </w:r>
    </w:p>
    <w:p>
      <w:pPr>
        <w:pStyle w:val="Caption"/>
        <w:jc w:val="left"/>
      </w:pPr>
      <w:r>
        <w:rPr>
          <w:b/>
        </w:rPr>
        <w:t xml:space="preserve">Figure 10. </w:t>
      </w:r>
      <w:r>
        <w:t>Two-dimensional structures for the five ligands used in the workflow FEP cluster. Structures were selected from MD-prepared active ligands that formed a chemically related cluster. The reference ligand was `000565_active_0656_active_00656`, and relative ΔΔG values were propagated across the OpenFE perturbation network to rank the remaining active ligands.</w:t>
      </w:r>
    </w:p>
    <w:p>
      <w:pPr>
        <w:jc w:val="center"/>
      </w:pPr>
      <w:r>
        <w:drawing>
          <wp:inline xmlns:a="http://schemas.openxmlformats.org/drawingml/2006/main" xmlns:pic="http://schemas.openxmlformats.org/drawingml/2006/picture">
            <wp:extent cx="6035040" cy="4337685"/>
            <wp:docPr id="11" name="Picture 11"/>
            <wp:cNvGraphicFramePr>
              <a:graphicFrameLocks noChangeAspect="1"/>
            </wp:cNvGraphicFramePr>
            <a:graphic>
              <a:graphicData uri="http://schemas.openxmlformats.org/drawingml/2006/picture">
                <pic:pic>
                  <pic:nvPicPr>
                    <pic:cNvPr id="0" name="fep_best_ligand_3d_pose.png"/>
                    <pic:cNvPicPr/>
                  </pic:nvPicPr>
                  <pic:blipFill>
                    <a:blip r:embed="rId21"/>
                    <a:stretch>
                      <a:fillRect/>
                    </a:stretch>
                  </pic:blipFill>
                  <pic:spPr>
                    <a:xfrm>
                      <a:off x="0" y="0"/>
                      <a:ext cx="6035040" cy="4337685"/>
                    </a:xfrm>
                    <a:prstGeom prst="rect"/>
                  </pic:spPr>
                </pic:pic>
              </a:graphicData>
            </a:graphic>
          </wp:inline>
        </w:drawing>
      </w:r>
    </w:p>
    <w:p>
      <w:pPr>
        <w:pStyle w:val="Caption"/>
        <w:jc w:val="left"/>
      </w:pPr>
      <w:r>
        <w:rPr>
          <w:b/>
        </w:rPr>
        <w:t xml:space="preserve">Figure 11. </w:t>
      </w:r>
      <w:r>
        <w:t>Three-dimensional pose visualization for the top-ranked workflow FEP ligand in the CDK2 binding pocket. The image uses the MD/FEP bound-frame coordinate source to show the ligand in the protein context used for simulation. This panel is a structural plausibility visualization; final RBFE interpretation should be based on the OpenFE edge results and convergence diagnostics.</w:t>
      </w:r>
    </w:p>
    <w:p>
      <w:pPr>
        <w:jc w:val="center"/>
      </w:pPr>
      <w:r>
        <w:drawing>
          <wp:inline xmlns:a="http://schemas.openxmlformats.org/drawingml/2006/main" xmlns:pic="http://schemas.openxmlformats.org/drawingml/2006/picture">
            <wp:extent cx="6035040" cy="4224528"/>
            <wp:docPr id="12" name="Picture 12"/>
            <wp:cNvGraphicFramePr>
              <a:graphicFrameLocks noChangeAspect="1"/>
            </wp:cNvGraphicFramePr>
            <a:graphic>
              <a:graphicData uri="http://schemas.openxmlformats.org/drawingml/2006/picture">
                <pic:pic>
                  <pic:nvPicPr>
                    <pic:cNvPr id="0" name="publication_trackb_pred_vs_exp.png"/>
                    <pic:cNvPicPr/>
                  </pic:nvPicPr>
                  <pic:blipFill>
                    <a:blip r:embed="rId22"/>
                    <a:stretch>
                      <a:fillRect/>
                    </a:stretch>
                  </pic:blipFill>
                  <pic:spPr>
                    <a:xfrm>
                      <a:off x="0" y="0"/>
                      <a:ext cx="6035040" cy="4224528"/>
                    </a:xfrm>
                    <a:prstGeom prst="rect"/>
                  </pic:spPr>
                </pic:pic>
              </a:graphicData>
            </a:graphic>
          </wp:inline>
        </w:drawing>
      </w:r>
    </w:p>
    <w:p>
      <w:pPr>
        <w:pStyle w:val="Caption"/>
        <w:jc w:val="left"/>
      </w:pPr>
      <w:r>
        <w:rPr>
          <w:b/>
        </w:rPr>
        <w:t xml:space="preserve">Figure 12. </w:t>
      </w:r>
      <w:r>
        <w:t>Wang CDK2 Track B FEP benchmark: predicted versus experimental binding free energies. Predicted ΔG values were anchored to the experimental value for reference ligand `1h1q` and compared with experimental ΔG values for all 16 ligands. The final run achieved RMSE 0.660 kcal/mol, MAE 0.518 kcal/mol, Pearson r 0.898, Spearman ρ 0.869, and R² 0.807. This is the strongest quantitative FEP validation result in this report.</w:t>
      </w:r>
    </w:p>
    <w:p>
      <w:pPr>
        <w:jc w:val="center"/>
      </w:pPr>
      <w:r>
        <w:drawing>
          <wp:inline xmlns:a="http://schemas.openxmlformats.org/drawingml/2006/main" xmlns:pic="http://schemas.openxmlformats.org/drawingml/2006/picture">
            <wp:extent cx="6035040" cy="4307510"/>
            <wp:docPr id="13" name="Picture 13"/>
            <wp:cNvGraphicFramePr>
              <a:graphicFrameLocks noChangeAspect="1"/>
            </wp:cNvGraphicFramePr>
            <a:graphic>
              <a:graphicData uri="http://schemas.openxmlformats.org/drawingml/2006/picture">
                <pic:pic>
                  <pic:nvPicPr>
                    <pic:cNvPr id="0" name="publication_trackb_residuals.png"/>
                    <pic:cNvPicPr/>
                  </pic:nvPicPr>
                  <pic:blipFill>
                    <a:blip r:embed="rId23"/>
                    <a:stretch>
                      <a:fillRect/>
                    </a:stretch>
                  </pic:blipFill>
                  <pic:spPr>
                    <a:xfrm>
                      <a:off x="0" y="0"/>
                      <a:ext cx="6035040" cy="4307510"/>
                    </a:xfrm>
                    <a:prstGeom prst="rect"/>
                  </pic:spPr>
                </pic:pic>
              </a:graphicData>
            </a:graphic>
          </wp:inline>
        </w:drawing>
      </w:r>
    </w:p>
    <w:p>
      <w:pPr>
        <w:pStyle w:val="Caption"/>
        <w:jc w:val="left"/>
      </w:pPr>
      <w:r>
        <w:rPr>
          <w:b/>
        </w:rPr>
        <w:t xml:space="preserve">Figure 13. </w:t>
      </w:r>
      <w:r>
        <w:t>Residual analysis for the Wang CDK2 Track B FEP benchmark. Residuals are predicted minus experimental ΔG values for each ligand. The plot identifies ligands that are over- or under-predicted after reference anchoring and helps diagnose whether error is driven by individual perturbation edges, local chemical changes, or systematic bias.</w:t>
      </w:r>
    </w:p>
    <w:p>
      <w:pPr>
        <w:jc w:val="center"/>
      </w:pPr>
      <w:r>
        <w:drawing>
          <wp:inline xmlns:a="http://schemas.openxmlformats.org/drawingml/2006/main" xmlns:pic="http://schemas.openxmlformats.org/drawingml/2006/picture">
            <wp:extent cx="6035040" cy="2615184"/>
            <wp:docPr id="14" name="Picture 14"/>
            <wp:cNvGraphicFramePr>
              <a:graphicFrameLocks noChangeAspect="1"/>
            </wp:cNvGraphicFramePr>
            <a:graphic>
              <a:graphicData uri="http://schemas.openxmlformats.org/drawingml/2006/picture">
                <pic:pic>
                  <pic:nvPicPr>
                    <pic:cNvPr id="0" name="trackb_top_ligands_grid.png"/>
                    <pic:cNvPicPr/>
                  </pic:nvPicPr>
                  <pic:blipFill>
                    <a:blip r:embed="rId24"/>
                    <a:stretch>
                      <a:fillRect/>
                    </a:stretch>
                  </pic:blipFill>
                  <pic:spPr>
                    <a:xfrm>
                      <a:off x="0" y="0"/>
                      <a:ext cx="6035040" cy="2615184"/>
                    </a:xfrm>
                    <a:prstGeom prst="rect"/>
                  </pic:spPr>
                </pic:pic>
              </a:graphicData>
            </a:graphic>
          </wp:inline>
        </w:drawing>
      </w:r>
    </w:p>
    <w:p>
      <w:pPr>
        <w:pStyle w:val="Caption"/>
        <w:jc w:val="left"/>
      </w:pPr>
      <w:r>
        <w:rPr>
          <w:b/>
        </w:rPr>
        <w:t xml:space="preserve">Figure 14. </w:t>
      </w:r>
      <w:r>
        <w:t>Chemical structures for representative Wang CDK2 Track B benchmark ligands. The congeneric series was selected for RBFE because all ligands are neutral, structurally related, and have experimental ΔG values. This figure supports interpretation of the perturbation network and illustrates why relative free-energy methods are appropriate for this validation set.</w:t>
      </w:r>
    </w:p>
    <w:p>
      <w:pPr>
        <w:pStyle w:val="Heading1"/>
      </w:pPr>
      <w:r>
        <w:t>7. Reporting, Interpretation, and Limitations</w:t>
      </w:r>
    </w:p>
    <w:p>
      <w:r>
        <w:t>The OSLab CDK2 benchmark supports the intended use of the workflow as a transparent open-source cascade: broad docking, higher-rigor redocking, short MD/MM-GBSA optimization, and RBFE/FEP on a selected chemical series. The most important reproducibility feature is that every stage writes the inputs, settings, and paths needed to rerun or audit the calculations.</w:t>
      </w:r>
    </w:p>
    <w:p>
      <w:r>
        <w:t>Docking and Vina-derived rankings should be interpreted as screening tools. Vina scores are heuristic and do not estimate absolute binding free energy. Enrichment metrics such as ROC-AUC, average precision, and enrichment factors are appropriate for benchmarking but can be sensitive to target preparation, docking-box definition, ligand preparation, and decoy composition.</w:t>
      </w:r>
    </w:p>
    <w:p>
      <w:r>
        <w:t>MM/GBSA and short MD improve structural plausibility and can enrich true actives among top-ranked compounds, but the absolute ΔG values reported by the simplified MM/GBSA model should not be interpreted as experimental binding energies. The 1 ns production simulations used here are appropriate for workflow benchmarking and triage, not definitive residence-time or induced-fit characterization.</w:t>
      </w:r>
    </w:p>
    <w:p>
      <w:r>
        <w:t>The workflow FEP run demonstrates the OSLab-to-OpenFE handoff, but the separate Wang Track B benchmark is a better measure of FEP accuracy because it includes experimental values. For publication-grade RBFE claims, final runs should include replicate simulations, uncertainty review beyond gathered zero-edge uncertainty, cycle-closure checks, overlap diagnostics, and sensitivity analyses for force field, charge model, mapping, and lambda schedule.</w:t>
      </w:r>
    </w:p>
    <w:p>
      <w:pPr>
        <w:pStyle w:val="Heading1"/>
      </w:pPr>
      <w:r>
        <w:t>8. Reproducibility Files and Paths</w:t>
      </w:r>
    </w:p>
    <w:tbl>
      <w:tblPr>
        <w:tblStyle w:val="LightList-Accent1"/>
        <w:tblW w:type="auto" w:w="0"/>
        <w:jc w:val="center"/>
        <w:tblLook w:firstColumn="1" w:firstRow="1" w:lastColumn="0" w:lastRow="0" w:noHBand="0" w:noVBand="1" w:val="04A0"/>
      </w:tblPr>
      <w:tblGrid>
        <w:gridCol w:w="5040"/>
        <w:gridCol w:w="5040"/>
      </w:tblGrid>
      <w:tr>
        <w:trPr>
          <w:tblHeader w:val="true"/>
        </w:trPr>
        <w:tc>
          <w:tcPr>
            <w:tcW w:type="dxa" w:w="3168"/>
            <w:shd w:fill="1F4E79"/>
          </w:tcPr>
          <w:p>
            <w:r/>
            <w:r>
              <w:rPr>
                <w:b/>
                <w:color w:val="FFFFFF"/>
              </w:rPr>
              <w:t>Artifact</w:t>
            </w:r>
          </w:p>
        </w:tc>
        <w:tc>
          <w:tcPr>
            <w:tcW w:type="dxa" w:w="6768"/>
            <w:shd w:fill="1F4E79"/>
          </w:tcPr>
          <w:p>
            <w:r/>
            <w:r>
              <w:rPr>
                <w:b/>
                <w:color w:val="FFFFFF"/>
              </w:rPr>
              <w:t>Packaged path or server path</w:t>
            </w:r>
          </w:p>
        </w:tc>
      </w:tr>
      <w:tr>
        <w:tc>
          <w:tcPr>
            <w:tcW w:type="dxa" w:w="3168"/>
            <w:vAlign w:val="top"/>
          </w:tcPr>
          <w:p>
            <w:pPr>
              <w:spacing w:after="0"/>
            </w:pPr>
            <w:r>
              <w:t>Primary result bundle</w:t>
            </w:r>
          </w:p>
        </w:tc>
        <w:tc>
          <w:tcPr>
            <w:tcW w:type="dxa" w:w="6768"/>
            <w:vAlign w:val="top"/>
          </w:tcPr>
          <w:p>
            <w:pPr>
              <w:spacing w:after="0"/>
            </w:pPr>
            <w:r>
              <w:t>/Users/hlk/Desktop/kimlab-cdk2-enrichment-v2-completed-results-20260514-032817 2</w:t>
            </w:r>
          </w:p>
        </w:tc>
      </w:tr>
      <w:tr>
        <w:tc>
          <w:tcPr>
            <w:tcW w:type="dxa" w:w="3168"/>
            <w:vAlign w:val="top"/>
          </w:tcPr>
          <w:p>
            <w:pPr>
              <w:spacing w:after="0"/>
            </w:pPr>
            <w:r>
              <w:t>Benchmark metrics summary JSON</w:t>
            </w:r>
          </w:p>
        </w:tc>
        <w:tc>
          <w:tcPr>
            <w:tcW w:type="dxa" w:w="6768"/>
            <w:vAlign w:val="top"/>
          </w:tcPr>
          <w:p>
            <w:pPr>
              <w:spacing w:after="0"/>
            </w:pPr>
            <w:r>
              <w:t>/Users/hlk/Desktop/kimlab-cdk2-enrichment-v2-completed-results-20260514-032817 2/benchmark_metrics_summary.json</w:t>
            </w:r>
          </w:p>
        </w:tc>
      </w:tr>
      <w:tr>
        <w:tc>
          <w:tcPr>
            <w:tcW w:type="dxa" w:w="3168"/>
            <w:vAlign w:val="top"/>
          </w:tcPr>
          <w:p>
            <w:pPr>
              <w:spacing w:after="0"/>
            </w:pPr>
            <w:r>
              <w:t>Manifest JSON</w:t>
            </w:r>
          </w:p>
        </w:tc>
        <w:tc>
          <w:tcPr>
            <w:tcW w:type="dxa" w:w="6768"/>
            <w:vAlign w:val="top"/>
          </w:tcPr>
          <w:p>
            <w:pPr>
              <w:spacing w:after="0"/>
            </w:pPr>
            <w:r>
              <w:t>/Users/hlk/Desktop/kimlab-cdk2-enrichment-v2-completed-results-20260514-032817 2/MANIFEST.json</w:t>
            </w:r>
          </w:p>
        </w:tc>
      </w:tr>
      <w:tr>
        <w:tc>
          <w:tcPr>
            <w:tcW w:type="dxa" w:w="3168"/>
            <w:vAlign w:val="top"/>
          </w:tcPr>
          <w:p>
            <w:pPr>
              <w:spacing w:after="0"/>
            </w:pPr>
            <w:r>
              <w:t>Docking results CSV/JSON</w:t>
            </w:r>
          </w:p>
        </w:tc>
        <w:tc>
          <w:tcPr>
            <w:tcW w:type="dxa" w:w="6768"/>
            <w:vAlign w:val="top"/>
          </w:tcPr>
          <w:p>
            <w:pPr>
              <w:spacing w:after="0"/>
            </w:pPr>
            <w:r>
              <w:t>/data/oslab/reports/kimlab-cdk2-enrichment-v2-docking/report/vina_results.csv and .json</w:t>
            </w:r>
          </w:p>
        </w:tc>
      </w:tr>
      <w:tr>
        <w:tc>
          <w:tcPr>
            <w:tcW w:type="dxa" w:w="3168"/>
            <w:vAlign w:val="top"/>
          </w:tcPr>
          <w:p>
            <w:pPr>
              <w:spacing w:after="0"/>
            </w:pPr>
            <w:r>
              <w:t>Hit-refinement per-ligand summary</w:t>
            </w:r>
          </w:p>
        </w:tc>
        <w:tc>
          <w:tcPr>
            <w:tcW w:type="dxa" w:w="6768"/>
            <w:vAlign w:val="top"/>
          </w:tcPr>
          <w:p>
            <w:pPr>
              <w:spacing w:after="0"/>
            </w:pPr>
            <w:r>
              <w:t>/data/oslab/reports/kimlab-cdk2-enrichment-v2-hit-refinement/report/per_ligand_seed_summary.csv and .json</w:t>
            </w:r>
          </w:p>
        </w:tc>
      </w:tr>
      <w:tr>
        <w:tc>
          <w:tcPr>
            <w:tcW w:type="dxa" w:w="3168"/>
            <w:vAlign w:val="top"/>
          </w:tcPr>
          <w:p>
            <w:pPr>
              <w:spacing w:after="0"/>
            </w:pPr>
            <w:r>
              <w:t>MD/optimization report</w:t>
            </w:r>
          </w:p>
        </w:tc>
        <w:tc>
          <w:tcPr>
            <w:tcW w:type="dxa" w:w="6768"/>
            <w:vAlign w:val="top"/>
          </w:tcPr>
          <w:p>
            <w:pPr>
              <w:spacing w:after="0"/>
            </w:pPr>
            <w:r>
              <w:t>/data/oslab/reports/kimlab-cdk2-enrichment-v2-md-optimization/report/md_optimization_report.md</w:t>
            </w:r>
          </w:p>
        </w:tc>
      </w:tr>
      <w:tr>
        <w:tc>
          <w:tcPr>
            <w:tcW w:type="dxa" w:w="3168"/>
            <w:vAlign w:val="top"/>
          </w:tcPr>
          <w:p>
            <w:pPr>
              <w:spacing w:after="0"/>
            </w:pPr>
            <w:r>
              <w:t>Workflow FEP results</w:t>
            </w:r>
          </w:p>
        </w:tc>
        <w:tc>
          <w:tcPr>
            <w:tcW w:type="dxa" w:w="6768"/>
            <w:vAlign w:val="top"/>
          </w:tcPr>
          <w:p>
            <w:pPr>
              <w:spacing w:after="0"/>
            </w:pPr>
            <w:r>
              <w:t>/data/oslab/reports/kimlab-cdk2-enrichment-v2-fep/fep_results.json and openfe/openfe_ddg.tsv</w:t>
            </w:r>
          </w:p>
        </w:tc>
      </w:tr>
      <w:tr>
        <w:tc>
          <w:tcPr>
            <w:tcW w:type="dxa" w:w="3168"/>
            <w:vAlign w:val="top"/>
          </w:tcPr>
          <w:p>
            <w:pPr>
              <w:spacing w:after="0"/>
            </w:pPr>
            <w:r>
              <w:t>Wang Track B FEP final report</w:t>
            </w:r>
          </w:p>
        </w:tc>
        <w:tc>
          <w:tcPr>
            <w:tcW w:type="dxa" w:w="6768"/>
            <w:vAlign w:val="top"/>
          </w:tcPr>
          <w:p>
            <w:pPr>
              <w:spacing w:after="0"/>
            </w:pPr>
            <w:r>
              <w:t>/Users/hlk/Desktop/kimlab-cdk2-enrichment-v2-completed-results-20260514-032817 2/trackb_wang_cdk2_fep_final_20260514/report/trackb_benchmark_report.md</w:t>
            </w:r>
          </w:p>
        </w:tc>
      </w:tr>
      <w:tr>
        <w:tc>
          <w:tcPr>
            <w:tcW w:type="dxa" w:w="3168"/>
            <w:vAlign w:val="top"/>
          </w:tcPr>
          <w:p>
            <w:pPr>
              <w:spacing w:after="0"/>
            </w:pPr>
            <w:r>
              <w:t>Wang Track B FEP metrics</w:t>
            </w:r>
          </w:p>
        </w:tc>
        <w:tc>
          <w:tcPr>
            <w:tcW w:type="dxa" w:w="6768"/>
            <w:vAlign w:val="top"/>
          </w:tcPr>
          <w:p>
            <w:pPr>
              <w:spacing w:after="0"/>
            </w:pPr>
            <w:r>
              <w:t>/Users/hlk/Desktop/kimlab-cdk2-enrichment-v2-completed-results-20260514-032817 2/trackb_wang_cdk2_fep_final_20260514/report/trackb_benchmark_metrics.json</w:t>
            </w:r>
          </w:p>
        </w:tc>
      </w:tr>
      <w:tr>
        <w:tc>
          <w:tcPr>
            <w:tcW w:type="dxa" w:w="3168"/>
            <w:vAlign w:val="top"/>
          </w:tcPr>
          <w:p>
            <w:pPr>
              <w:spacing w:after="0"/>
            </w:pPr>
            <w:r>
              <w:t>Wang Track B planned network and OpenFE inputs</w:t>
            </w:r>
          </w:p>
        </w:tc>
        <w:tc>
          <w:tcPr>
            <w:tcW w:type="dxa" w:w="6768"/>
            <w:vAlign w:val="top"/>
          </w:tcPr>
          <w:p>
            <w:pPr>
              <w:spacing w:after="0"/>
            </w:pPr>
            <w:r>
              <w:t>/Users/hlk/Desktop/kimlab-cdk2-enrichment-v2-completed-results-20260514-032817 2/trackb_wang_cdk2_fep_final_20260514/report/openfe</w:t>
            </w:r>
          </w:p>
        </w:tc>
      </w:tr>
      <w:tr>
        <w:tc>
          <w:tcPr>
            <w:tcW w:type="dxa" w:w="3168"/>
            <w:vAlign w:val="top"/>
          </w:tcPr>
          <w:p>
            <w:pPr>
              <w:spacing w:after="0"/>
            </w:pPr>
            <w:r>
              <w:t>Primary CDK2 run script</w:t>
            </w:r>
          </w:p>
        </w:tc>
        <w:tc>
          <w:tcPr>
            <w:tcW w:type="dxa" w:w="6768"/>
            <w:vAlign w:val="top"/>
          </w:tcPr>
          <w:p>
            <w:pPr>
              <w:spacing w:after="0"/>
            </w:pPr>
            <w:r>
              <w:t>/Users/hlk/Desktop/kimlab-cdk2-enrichment-v2-completed-results-20260514-032817 2/installation_package/oslab-updated-scripts/cdk2_kimlab_prepped_pdbqt_all_ligands.sh</w:t>
            </w:r>
          </w:p>
        </w:tc>
      </w:tr>
      <w:tr>
        <w:tc>
          <w:tcPr>
            <w:tcW w:type="dxa" w:w="3168"/>
            <w:vAlign w:val="top"/>
          </w:tcPr>
          <w:p>
            <w:pPr>
              <w:spacing w:after="0"/>
            </w:pPr>
            <w:r>
              <w:t>Canonical FEP script</w:t>
            </w:r>
          </w:p>
        </w:tc>
        <w:tc>
          <w:tcPr>
            <w:tcW w:type="dxa" w:w="6768"/>
            <w:vAlign w:val="top"/>
          </w:tcPr>
          <w:p>
            <w:pPr>
              <w:spacing w:after="0"/>
            </w:pPr>
            <w:r>
              <w:t>/Users/hlk/Desktop/kimlab-cdk2-enrichment-v2-completed-results-20260514-032817 2/installation_package/oslab-updated-scripts/cdk2_canonical_fep_cluster_run.sh</w:t>
            </w:r>
          </w:p>
        </w:tc>
      </w:tr>
      <w:tr>
        <w:tc>
          <w:tcPr>
            <w:tcW w:type="dxa" w:w="3168"/>
            <w:vAlign w:val="top"/>
          </w:tcPr>
          <w:p>
            <w:pPr>
              <w:spacing w:after="0"/>
            </w:pPr>
            <w:r>
              <w:t>Wang Track B script</w:t>
            </w:r>
          </w:p>
        </w:tc>
        <w:tc>
          <w:tcPr>
            <w:tcW w:type="dxa" w:w="6768"/>
            <w:vAlign w:val="top"/>
          </w:tcPr>
          <w:p>
            <w:pPr>
              <w:spacing w:after="0"/>
            </w:pPr>
            <w:r>
              <w:t>/Users/hlk/Desktop/kimlab-cdk2-enrichment-v2-completed-results-20260514-032817 2/trackb_wang_cdk2_fep_interim_20260514/run_wang_cdk2_trackb_fep.py</w:t>
            </w:r>
          </w:p>
        </w:tc>
      </w:tr>
    </w:tbl>
    <w:p>
      <w:r>
        <w:rPr>
          <w:b/>
        </w:rPr>
        <w:t xml:space="preserve">Key equations. </w:t>
      </w:r>
      <w:r>
        <w:t>Enrichment factor at top fraction x was computed as EF_x = (actives in top x / compounds in top x) / (total actives / total compounds). Hit-refinement composite ranking used the formula listed in Section 4.3. MM/GBSA ranking used ΔG_bind ≈ &lt;E_complex&gt; - &lt;E_protein&gt; - &lt;E_ligand&gt;. OpenFE RBFE used ΔΔG_bind = ΔG_complex - ΔG_solvent.</w:t>
      </w:r>
    </w:p>
    <w:p>
      <w:pPr>
        <w:pStyle w:val="Heading1"/>
      </w:pPr>
      <w:r>
        <w:t>9. References to Cite or Verify Before Submission</w:t>
      </w:r>
    </w:p>
    <w:p>
      <w:pPr/>
      <w:r>
        <w:t>AutoDock Vina and Vina 1.2 documentation/manuscripts for docking score and search algorithm.</w:t>
      </w:r>
    </w:p>
    <w:p>
      <w:pPr/>
      <w:r>
        <w:t>RDKit, Meeko, Open Babel, and OpenFF Toolkit documentation or software citations for ligand preparation and chemical file handling.</w:t>
      </w:r>
    </w:p>
    <w:p>
      <w:pPr/>
      <w:r>
        <w:t>PDBFixer and OpenMM publications/documentation for protein preparation, molecular simulation, and CUDA execution.</w:t>
      </w:r>
    </w:p>
    <w:p>
      <w:pPr/>
      <w:r>
        <w:t>PLIP 2.2.2 citation recorded in logs: Adasme et al., Nucleic Acids Research 2021, PLIP 2021.</w:t>
      </w:r>
    </w:p>
    <w:p>
      <w:pPr/>
      <w:r>
        <w:t>OpenFE 1.11.0 and OpenMM relative hybrid topology protocol documentation for RBFE planning and execution.</w:t>
      </w:r>
    </w:p>
    <w:p>
      <w:pPr/>
      <w:r>
        <w:t>DUD-E CDK2 active/decoy dataset citation and dataset access date.</w:t>
      </w:r>
    </w:p>
    <w:p>
      <w:pPr/>
      <w:r>
        <w:t>Wang et al. JACS 2015 free-energy benchmark and Wang-FEP-dataset CDK2 source repository; verify exact dataset mirror and license before submission.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Generated from OSLab run artifacts; review against source logs before journal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Open Structure Lab CDK2 benchmark methods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607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