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CDK2 OSLab Four-Block Benchmark Report</w:t>
      </w:r>
    </w:p>
    <w:p>
      <w:pPr>
        <w:pStyle w:val="Subtitle"/>
      </w:pPr>
      <w:r>
        <w:t>Docking, hit refinement, MD/MM-GBSA optimization, and OpenFE FEP results from the kimlab-cdk2-enrichment-v2 run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Generated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2026-05-13 22:13 local time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Source system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OSLabLambda service instance, /data/oslab, dashboard forwarded locally at http://127.0.0.1:9878/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Lambda hardware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8 x NVIDIA A100 SXM 40 GB, 124 vCPUs, 1800 GiB RAM, 5.8 TiB SSD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Run family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kimlab-cdk2-enrichment-v2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Benchmark set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CDK2 active/decoy library: 24,549 ligands, 631 actives, 23,918 decoys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Install package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/Users/hlk/Desktop/kimlab-cdk2-enrichment-v2-completed-results-20260514-032817/installation_package/oslab-updated-scripts-install-package-20260514.zip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Design preset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9"/>
              </w:rPr>
              <w:t>standard_business_brief: Letter page, 1 in margins, Calibri 11 pt, blue heading hierarchy, fixed-width tables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80" w:type="dxa"/>
              <w:end w:w="18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Primary conclusion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202020"/>
                <w:sz w:val="20"/>
              </w:rPr>
              <w:t>All four blocks completed. The cascade strongly enriched labeled CDK2 actives from a 2.57% active baseline to 11.25% in the 400-compound refinement set and 60.0% in the 20-compound MD/MM-GBSA set. The canonical FEP block (kimlab-cdk2-enrichment-v2-fep) completed a five-ligand congeneric active-cluster OpenFE RBFE network, finishing 8/8 complex/solvent transformations and ranking 000385_active_0457_active_00457 as the strongest relative binder. The FEP result is an integrated workflow result; final quantitative publication claims require experimental affinity correlation, longer replicate sampling, and resolved uncertainty diagnostics.</w:t>
            </w:r>
          </w:p>
        </w:tc>
      </w:tr>
    </w:tbl>
    <w:p/>
    <w:p>
      <w:pPr>
        <w:pStyle w:val="Heading1"/>
      </w:pPr>
      <w:r>
        <w:t>Summary Results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Block 1 docking screened 24,549 ligands and gave ROC-AUC 0.728, average precision 0.138, EF@1% 11.54, EF@5% 4.97, and EF@10% 3.53.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Block 2 hit refinement redocked 400 selected ligands across seeds 1, 2, and 3 (1,200 Vina runs). The composite ranking produced ROC-AUC 0.707 and AP 0.433 within this enriched subset.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Block 3 MD/MM-GBSA completed all 20 selected ligands. Ranking by mean MM/GBSA ddG produced ROC-AUC 0.844; the top two MM/GBSA ligands were labeled actives.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Block 4 FEP completed 4 ligand edges and 8 OpenFE transformations on a five-ligand congeneric active cluster. Edge Tanimoto values had mean 0.658 and range 0.625-0.690; 3/4 edges had MCS &gt;= 30. Relative to reference 000565_active_0656_active_00656, the FEP ranking placed 000385_active_0457_active_00457 first and 000565_active_0656_active_00656 last.</w:t>
      </w:r>
    </w:p>
    <w:p>
      <w:pPr>
        <w:pStyle w:val="Caption"/>
        <w:spacing w:before="80" w:after="160"/>
      </w:pPr>
      <w:r>
        <w:t>Figure 1. Active fraction after benchmarkable cascade stages through MD/MM-GBSA. FEP is omitted because Block 4 used an active-only congeneric RBFE subset; its 100% active composition reflects input selection rather than enrichment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0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_fraction_casc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rPr>
          <w:rFonts w:ascii="Calibri" w:hAnsi="Calibri"/>
          <w:i/>
          <w:color w:val="555555"/>
          <w:sz w:val="18"/>
        </w:rPr>
        <w:t>Figure 2. ROC curves for docking, hit-refinement composite ranking, and MD/MM-GBSA ranking. FEP is omitted because Block 4 is an active-only congeneric RBFE stage.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64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rPr>
          <w:rFonts w:ascii="Calibri" w:hAnsi="Calibri"/>
          <w:i/>
          <w:color w:val="555555"/>
          <w:sz w:val="18"/>
        </w:rPr>
        <w:t>Figure 3. OSLabLambda dashboard showing the canonical Block 4 FEP run with four planned ligand edges and 8/8 OpenFE transformations 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lab_fep_dashboard_canon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rPr>
          <w:rFonts w:ascii="Calibri" w:hAnsi="Calibri"/>
          <w:i/>
          <w:color w:val="555555"/>
          <w:sz w:val="18"/>
        </w:rPr>
        <w:t>Figure 4. Canonical OpenFE FEP network with edge-level mapping and quality-control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46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p_network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4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rPr>
          <w:rFonts w:ascii="Calibri" w:hAnsi="Calibri"/>
          <w:i/>
          <w:color w:val="555555"/>
          <w:sz w:val="18"/>
        </w:rPr>
        <w:t>Figure 5. Two-dimensional structures of the five FEP ligands ranked by predicted relative ddG.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029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p_2d_ligand_structu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2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rPr>
          <w:rFonts w:ascii="Calibri" w:hAnsi="Calibri"/>
          <w:i/>
          <w:color w:val="555555"/>
          <w:sz w:val="18"/>
        </w:rPr>
        <w:t>Figure 6. Three-dimensional binding pose for the top FEP-ranked ligand, with CDK2 shown as cartoon and nearby pocket residues as sticks.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173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p_best_ligand_3d_po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Block Completion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900"/>
        <w:gridCol w:w="2300"/>
        <w:gridCol w:w="2600"/>
        <w:gridCol w:w="1010"/>
      </w:tblGrid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Block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Scale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Ranking endpoint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Best or leading result</w:t>
            </w:r>
          </w:p>
        </w:tc>
        <w:tc>
          <w:tcPr>
            <w:tcW w:type="dxa" w:w="10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Status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 Docking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24,549 ligands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AutoDock Vina best score, lower is better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000049_active_0065_active_00065 (-12.27 kcal/mol)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 Hit refinement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400 ligands x 3 seeds = 1,200 runs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Composite hit score, higher is better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000049_active_0065_active_00065 (-12.32 kcal/mol best seed)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3. MD/MM-GBSA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20 ligands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Mean MM/GBSA ddG, lower is better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000107_active_0125_active_00125 (-59.15 kcal/mol)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4. FEP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 ligands, 4 completed edges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OpenFE relative ddG within a congeneric active cluster, lower is better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000385_active_0457_active_00457 (-7.1 kcal/mol relative to reference network)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completed</w:t>
            </w:r>
          </w:p>
        </w:tc>
      </w:tr>
    </w:tbl>
    <w:p/>
    <w:p>
      <w:pPr>
        <w:pStyle w:val="Heading1"/>
      </w:pPr>
      <w:r>
        <w:t>Benchmark Metrics</w:t>
      </w:r>
    </w:p>
    <w:p>
      <w:pPr>
        <w:spacing w:after="120" w:line="264" w:lineRule="auto"/>
      </w:pPr>
      <w:r>
        <w:t>Metrics were calculated from the ranked outputs of each block using the ligand ID labels as ground truth. For docking, hit refinement, and MD/MM-GBSA, lower Vina or MM/GBSA scores were treated as better except for the hit-refinement composite score, where higher is better. EF@x% uses the top ceiling(N*x) entries, with a minimum of one compound.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50"/>
        <w:gridCol w:w="1200"/>
        <w:gridCol w:w="900"/>
        <w:gridCol w:w="900"/>
        <w:gridCol w:w="900"/>
        <w:gridCol w:w="900"/>
        <w:gridCol w:w="900"/>
        <w:gridCol w:w="101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Ranking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Active/decoy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Active 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ROC-AUC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EF@1%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EF@5%</w:t>
            </w:r>
          </w:p>
        </w:tc>
        <w:tc>
          <w:tcPr>
            <w:tcW w:type="dxa" w:w="10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EF@10%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Docking, Vina best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24,549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631/23918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2.57%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0.728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0.138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11.54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4.97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3.53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Hit refinement, composite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45/355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11.25%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0.707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0.433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8.89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5.33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4.22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Hit refinement, best Vina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45/355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11.25%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0.678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0.405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8.89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5.33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MD/MM-GBSA, mean ddG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12/8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60.00%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0.844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0.866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1.67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1.67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1.67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FEP, relative ddG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5/0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100.00%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active-only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active-only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defined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defined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defined</w:t>
            </w:r>
          </w:p>
        </w:tc>
      </w:tr>
    </w:tbl>
    <w:p/>
    <w:p>
      <w:pPr>
        <w:spacing w:after="120" w:line="264" w:lineRule="auto"/>
      </w:pPr>
      <w:r>
        <w:t>Because Block 4 FEP was deliberately restricted to a congeneric active-only RBFE series, ROC-AUC, average precision, and enrichment factor are not mathematically defined for that section. The FEP benchmarking emphasis is therefore edge completion, mapping quality, sampling extent, uncertainty behavior, and internal ranking spread.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48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FEP metric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Value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Interpretation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Ligands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5/5 labeled actives; no FEP decoys by design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Edges completed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4/4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Network execution success rate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Transformations completed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8/8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Complex plus solvent OpenFE transformations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Sampling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 windows; 25,000 prod steps/window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2,200,000 aggregate production integration steps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Tanimoto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mean 0.658; median 0.658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range 0.625-0.690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MCS atoms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median 38.5; range 1-40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3/4 edges MCS &gt;= 30; 1 weak edge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ddG spread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7.1 kcal/mol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top-vs-second separation 1.3 kcal/mol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Uncertainty/convergence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4/4 zero-uncertainty edges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 convergence warnings; 3 negative-uncertainty warnings</w:t>
            </w:r>
          </w:p>
        </w:tc>
      </w:tr>
    </w:tbl>
    <w:p/>
    <w:p>
      <w:pPr>
        <w:pStyle w:val="Heading1"/>
      </w:pPr>
      <w:r>
        <w:t>Block 1: Docking</w:t>
      </w:r>
    </w:p>
    <w:p>
      <w:pPr>
        <w:spacing w:after="120" w:line="264" w:lineRule="auto"/>
      </w:pPr>
      <w:r>
        <w:t>The first-pass docking block screened 24,549 ligands using AutoDock Vina. The active baseline was 2.57%. The top 1% contained 73 actives among 246 compounds, corresponding to EF@1% 11.54. The first seven ranked compounds were labeled actives; the first decoy appeared at rank 8.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5300"/>
        <w:gridCol w:w="1100"/>
        <w:gridCol w:w="2260"/>
      </w:tblGrid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Rank</w:t>
            </w:r>
          </w:p>
        </w:tc>
        <w:tc>
          <w:tcPr>
            <w:tcW w:type="dxa" w:w="5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Ligand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Label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Best Vina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000049_active_0065_active_00065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-12.270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000050_active_0066_active_00066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-12.090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000107_active_0125_active_00125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-11.970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000385_active_0457_active_00457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-11.640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000364_active_0435_active_00435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-11.610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000462_active_0539_active_00539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-11.570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000193_active_0230_active_00230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-11.530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018878_decoy_20357_decoy_20357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decoy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-11.420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000564_active_0655_active_00655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-11.400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006768_decoy_6878_decoy_06878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decoy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-11.400</w:t>
            </w:r>
          </w:p>
        </w:tc>
      </w:tr>
    </w:tbl>
    <w:p/>
    <w:p>
      <w:pPr>
        <w:pStyle w:val="Heading1"/>
      </w:pPr>
      <w:r>
        <w:t>Block 2: Hit Refinement</w:t>
      </w:r>
    </w:p>
    <w:p>
      <w:pPr>
        <w:spacing w:after="120" w:line="264" w:lineRule="auto"/>
      </w:pPr>
      <w:r>
        <w:t>The hit-refinement block selected 400 ligands from docking and redocked each with seeds 1, 2, 3. The composite ranking retained 45 actives (11.25%) and achieved EF@5% 5.33 within the enriched 400-ligand subset. Relative to the full library baseline, the selected 400-ligand set was 4.38-fold enriched for actives.</w:t>
      </w:r>
    </w:p>
    <w:p>
      <w:pPr>
        <w:spacing w:after="120" w:line="264" w:lineRule="auto"/>
      </w:pPr>
      <w:r>
        <w:t>Composite hit score formula: (-mean_score) + 0.25*(-best_score) + max(0, 1 - score_std) + (1/initial_refinement_rank) + 0.05*min(seed_count, 5). This is a practical triage score, not a physical energy.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"/>
        <w:gridCol w:w="3950"/>
        <w:gridCol w:w="850"/>
        <w:gridCol w:w="1000"/>
        <w:gridCol w:w="1000"/>
        <w:gridCol w:w="1000"/>
        <w:gridCol w:w="940"/>
      </w:tblGrid>
      <w:tr>
        <w:tc>
          <w:tcPr>
            <w:tcW w:type="dxa" w:w="6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39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Ligand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Label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Composite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Mean Vina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Best Vina</w:t>
            </w:r>
          </w:p>
        </w:tc>
        <w:tc>
          <w:tcPr>
            <w:tcW w:type="dxa" w:w="94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SD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000049_active_0065_active_00065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17.498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-12.290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-12.320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0.022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000107_active_0125_active_00125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16.612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-11.970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-11.970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0.000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000385_active_0457_active_00457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16.017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-11.640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-11.660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0.022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000364_active_0435_active_00435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15.908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-11.613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-11.630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0.012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000462_active_0539_active_00539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15.791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-11.563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-11.580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0.017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018878_decoy_20357_decoy_20357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decoy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15.559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-11.407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-11.420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0.019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000155_active_0187_active_00187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15.478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-11.370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-11.390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0.014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000533_active_0615_active_00615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15.347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-11.280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-11.310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0.022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001721_decoy_1151_decoy_01151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decoy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15.282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-11.230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-11.240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0.008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000565_active_0656_active_00656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15.249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-11.213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-11.230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0.012</w:t>
            </w:r>
          </w:p>
        </w:tc>
      </w:tr>
    </w:tbl>
    <w:p/>
    <w:p>
      <w:pPr>
        <w:pStyle w:val="Heading1"/>
      </w:pPr>
      <w:r>
        <w:t>Block 3: MD/MM-GBSA Optimization</w:t>
      </w:r>
    </w:p>
    <w:p>
      <w:pPr>
        <w:spacing w:after="120" w:line="264" w:lineRule="auto"/>
      </w:pPr>
      <w:r>
        <w:t>The MD/MM-GBSA block selected 20 ligands from the hit-refinement ranking and completed all simulations. The selected subset contained 12 actives and 8 decoys. Ranking by mean MM/GBSA ddG improved discrimination within this small subset, with ROC-AUC 0.844 and AP 0.866.</w:t>
      </w:r>
    </w:p>
    <w:p>
      <w:pPr>
        <w:spacing w:after="120" w:line="264" w:lineRule="auto"/>
      </w:pPr>
      <w:r>
        <w:t>The leading MM/GBSA ligand was 000107_active_0125_active_00125 with mean ddG -59.15 kcal/mol and ligand RMSD 0.23 Angstrom. The top three by MM/GBSA were two actives followed by one decoy.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"/>
        <w:gridCol w:w="3950"/>
        <w:gridCol w:w="850"/>
        <w:gridCol w:w="900"/>
        <w:gridCol w:w="1050"/>
        <w:gridCol w:w="950"/>
        <w:gridCol w:w="1040"/>
      </w:tblGrid>
      <w:tr>
        <w:tc>
          <w:tcPr>
            <w:tcW w:type="dxa" w:w="6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39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Ligand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Label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Vina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Mean ddG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SD ddG</w:t>
            </w:r>
          </w:p>
        </w:tc>
        <w:tc>
          <w:tcPr>
            <w:tcW w:type="dxa" w:w="104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RMSD A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000107_active_0125_active_00125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-11.970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-59.154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2.346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0.230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000565_active_0656_active_00656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-11.230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-51.984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2.818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0.454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000723_decoy_0093_decoy_00093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decoy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-11.030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-46.620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7.844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0.724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000381_active_0452_active_00452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-11.080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-45.364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10.231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0.887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000364_active_0435_active_00435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-11.630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-43.201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3.072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0.610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000049_active_0065_active_00065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-12.320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-37.141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9.984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0.465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000462_active_0539_active_00539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-11.580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-36.594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2.833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0.726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000385_active_0457_active_00457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-11.660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-36.375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2.608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0.548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000533_active_0615_active_00615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-11.310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-33.232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2.968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0.540</w:t>
            </w:r>
          </w:p>
        </w:tc>
      </w:tr>
      <w:t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000540_active_0622_active_00622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-11.170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-31.294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2.395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0.840</w:t>
            </w:r>
          </w:p>
        </w:tc>
      </w:tr>
    </w:tbl>
    <w:p/>
    <w:p>
      <w:pPr>
        <w:pStyle w:val="Heading1"/>
      </w:pPr>
      <w:r>
        <w:t>Block 4: FEP</w:t>
      </w:r>
    </w:p>
    <w:p>
      <w:pPr>
        <w:spacing w:after="120" w:line="264" w:lineRule="auto"/>
      </w:pPr>
      <w:r>
        <w:t>The canonical FEP block (kimlab-cdk2-enrichment-v2-fep) used five chemically related MD-prepared active ligands: 000565_active_0656_active_00656, 000049_active_0065_active_00065, 000462_active_0539_active_00539, 000385_active_0457_active_00457, 000533_active_0615_active_00615. The reference ligand was 000565_active_0656_active_00656. OpenFE completed 4 ligand edges and 8 total complex/solvent transformations on the CUDA OpenMM platform.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5450"/>
        <w:gridCol w:w="1100"/>
        <w:gridCol w:w="2110"/>
      </w:tblGrid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Rank</w:t>
            </w:r>
          </w:p>
        </w:tc>
        <w:tc>
          <w:tcPr>
            <w:tcW w:type="dxa" w:w="54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Ligand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Label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Relative ddG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5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000385_active_0457_active_00457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-7.1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5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000049_active_0065_active_00065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-5.8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5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000533_active_0615_active_00615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-3.7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5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000462_active_0539_active_00539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-3.3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5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000565_active_0656_active_00656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active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0.0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300"/>
        <w:gridCol w:w="800"/>
        <w:gridCol w:w="700"/>
        <w:gridCol w:w="900"/>
        <w:gridCol w:w="650"/>
        <w:gridCol w:w="171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Ligand 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Ligand B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ddG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Err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Tanimoto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MCS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Status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000049_active_0065_active_00065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000385_active_0457_active_00457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-1.3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0.690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40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completed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000385_active_0457_active_00457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000533_active_0615_active_00615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3.4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0.625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38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completed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000462_active_0539_active_00539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000385_active_0457_active_00457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-3.8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0.667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39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completed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000565_active_0656_active_00656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000462_active_0539_active_00539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-3.3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0.649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completed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80" w:type="dxa"/>
              <w:end w:w="18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FEP interpretation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202020"/>
                <w:sz w:val="20"/>
              </w:rPr>
              <w:t>The FEP network is chemically coherent for a workflow benchmark: three of four network edges have Tanimoto 0.625-0.690 and MCS 38-40, and all eight complex/solvent transformations completed. One edge still has MCS=1 despite Tanimoto 0.649, all gathered uncertainties are 0.0 kcal/mol, and the sampled production length is short. Treat this as an integrated congeneric RBFE workflow result and prioritization signal; final quantitative manuscript claims require longer replicate sampling and experimental affinity correlation.</w:t>
            </w:r>
          </w:p>
        </w:tc>
      </w:tr>
    </w:tbl>
    <w:p/>
    <w:p>
      <w:pPr>
        <w:pStyle w:val="Heading1"/>
      </w:pPr>
      <w:r>
        <w:t>Methods</w:t>
      </w:r>
    </w:p>
    <w:p>
      <w:pPr>
        <w:pStyle w:val="Heading2"/>
      </w:pPr>
      <w:r>
        <w:t>OSLabLambda platform</w:t>
      </w:r>
    </w:p>
    <w:p>
      <w:pPr>
        <w:spacing w:after="120" w:line="264" w:lineRule="auto"/>
      </w:pPr>
      <w:r>
        <w:t>OSLabLambda is a prompt-generated, terminal-driven drug-discovery workflow platform developed and configured through Codex-guided iterations. The platform separates the user interface from execution: the browser dashboard provides run launch controls, progress bars, live selections, reports, and result paths, while the terminal workflow performs the actual docking, refinement, MD/MM-GBSA, and OpenFE FEP commands.</w:t>
      </w:r>
    </w:p>
    <w:p>
      <w:pPr>
        <w:spacing w:after="120" w:line="264" w:lineRule="auto"/>
      </w:pPr>
      <w:r>
        <w:t>The service instance used here was exposed to the local browser at http://127.0.0.1:9878/ and stored working data under /data/oslab. The active code installation was mounted under /opt/oslab/current, with environment-specific tools in micromamba environments, including an OpenFE RBFE environment and an open-structure-lab execution environment. Runs were written under /data/oslab/runs/&lt;run-label&gt;/progress.json and result artifacts under /data/oslab/reports/&lt;run-label&gt;/, allowing every dashboard panel and manuscript table to be regenerated from machine-readable outputs.</w:t>
      </w:r>
    </w:p>
    <w:p>
      <w:pPr>
        <w:spacing w:after="120" w:line="264" w:lineRule="auto"/>
      </w:pPr>
      <w:r>
        <w:t>The Lambda service instance was provisioned with 8 NVIDIA A100 SXM 40 GB GPUs, 124 vCPUs, 1800 GiB RAM, and 5.8 TiB SSD. GPU execution was used for OpenMM/OpenFE where available through the CUDA platform. The FEP script exposed CUDA_VISIBLE_DEVICES=0,1,2,3,4,5,6,7 and used mixed precision unless overridden by environment variables.</w:t>
      </w:r>
    </w:p>
    <w:p>
      <w:pPr>
        <w:spacing w:after="120" w:line="264" w:lineRule="auto"/>
      </w:pPr>
      <w:r>
        <w:t>The installation package used for this report is included in the desktop result bundle at /Users/hlk/Desktop/kimlab-cdk2-enrichment-v2-completed-results-20260514-032817/installation_package/oslab-updated-scripts-install-package-20260514.zip. It contains the canonical CDK2 FEP cluster-run script, the CDK2 ligand-preparation workflow script, the OpenFE charge-metadata patch, and notes describing run parameters and QC metrics. The package is intended to reproduce the Block 4 configuration on an OSLabLambda instance with the same /data/oslab layout.</w:t>
      </w:r>
    </w:p>
    <w:p>
      <w:pPr>
        <w:pStyle w:val="Heading2"/>
      </w:pPr>
      <w:r>
        <w:t>Benchmark set and labels</w:t>
      </w:r>
    </w:p>
    <w:p>
      <w:pPr>
        <w:spacing w:after="120" w:line="264" w:lineRule="auto"/>
      </w:pPr>
      <w:r>
        <w:t>The benchmark used the CDK2 active/decoy library transferred into the OSLab instance. A total of 24,549 ligand records were present in the docking results: 631 labeled actives and 23,918 labeled decoys. Labels were inferred from ligand identifiers containing '_active_' or '_decoy_'. These labels were used only for retrospective benchmarking and not for ranking.</w:t>
      </w:r>
    </w:p>
    <w:p>
      <w:pPr>
        <w:spacing w:after="120" w:line="264" w:lineRule="auto"/>
      </w:pPr>
      <w:r>
        <w:t>The active/decoy benchmark statistics were calculated at each block using the ranked set available to that block. Docking metrics summarize the full transferred library. Hit-refinement and MD/MM-GBSA metrics are conditional on the selected subsets that advanced from prior stages. FEP metrics are active-only RBFE quality metrics because the FEP series was intentionally constrained to matched active analogs rather than a classifier-style active/decoy list.</w:t>
      </w:r>
    </w:p>
    <w:p>
      <w:pPr>
        <w:pStyle w:val="Heading2"/>
      </w:pPr>
      <w:r>
        <w:t>Docking</w:t>
      </w:r>
    </w:p>
    <w:p>
      <w:pPr>
        <w:spacing w:after="120" w:line="264" w:lineRule="auto"/>
      </w:pPr>
      <w:r>
        <w:t>Docking used receptor PDBQT input recorded at /data/oslab/runs/kimlab-cdk2-enrichment-v2-receptor-vina/receptor.pdbqt and ligand PDBQT files from the transferred CDK2 benchmark library. The binding site was defined by the ligand-centroid method with center coordinates (1.970, 27.560, 8.830) Angstrom and box dimensions (14.0, 14.0, 14.0) Angstrom. Vina parameters were exhaustiveness 12, num_modes 3, cpu 1, and seed 1. Compounds were ranked by best Vina score, with more negative scores considered better.</w:t>
      </w:r>
    </w:p>
    <w:p>
      <w:pPr>
        <w:pStyle w:val="Heading2"/>
      </w:pPr>
      <w:r>
        <w:t>Hit refinement</w:t>
      </w:r>
    </w:p>
    <w:p>
      <w:pPr>
        <w:spacing w:after="120" w:line="264" w:lineRule="auto"/>
      </w:pPr>
      <w:r>
        <w:t>The hit-refinement block selected 400 ligands from the first-pass docking list using OSLab's scaffold-aware hit selection and redocked each selected ligand across seeds 1, 2, 3. Redocking used exhaustiveness 16, num_modes 3, cpu 1, and 120 worker(s). PLIP interaction analysis was configured for the post-redocking composite top list with plip_top_n 20.</w:t>
      </w:r>
    </w:p>
    <w:p>
      <w:pPr>
        <w:spacing w:after="120" w:line="264" w:lineRule="auto"/>
      </w:pPr>
      <w:r>
        <w:t>For each ligand, redocking scores were summarized across seeds. The OSLab composite score used for ranking was: (-mean_score) + 0.25*(-best_score) + max(0, 1 - score_std) + (1/initial_refinement_rank) + 0.05*min(seed_count, 5). The formula rewards stronger mean Vina score, a strong best-seed pose, low seed-to-seed variance, high initial docking rank, and complete seed coverage.</w:t>
      </w:r>
    </w:p>
    <w:p>
      <w:pPr>
        <w:pStyle w:val="Heading2"/>
      </w:pPr>
      <w:r>
        <w:t>MD/MM-GBSA optimization</w:t>
      </w:r>
    </w:p>
    <w:p>
      <w:pPr>
        <w:spacing w:after="120" w:line="264" w:lineRule="auto"/>
      </w:pPr>
      <w:r>
        <w:t>The MD/MM-GBSA block selected the top 20 ligands from the hit-refinement per-ligand summary. Preparation used pH 7.4, water padding 1.2 nm, ionic strength 0.15 M, temperature 300.0 K, 1000 minimization steps, and SMIRNOFF force field openff-2.2.0. The prepared systems were cropped at 15.0 Angstrom with a maximum solvated-system size of 200,000 atoms.</w:t>
      </w:r>
    </w:p>
    <w:p>
      <w:pPr>
        <w:spacing w:after="120" w:line="264" w:lineRule="auto"/>
      </w:pPr>
      <w:r>
        <w:t>OpenMM simulations used a 2.0 fs timestep, temperature 300.0 K, 0.1 ns NVT equilibration, 0.1 ns NPT equilibration, 1.0 ns production, and trajectory saving every 5000 steps. The representative simulation record reported OpenMM 8.5.1.dev-f7fa0c2 on platform CUDA. MM/GBSA analysis was configured for 100 frames with force field openff-2.2.0; the representative record sampled 90 frames.</w:t>
      </w:r>
    </w:p>
    <w:p>
      <w:pPr>
        <w:pStyle w:val="Heading2"/>
      </w:pPr>
      <w:r>
        <w:t>FEP</w:t>
      </w:r>
    </w:p>
    <w:p>
      <w:pPr>
        <w:spacing w:after="120" w:line="264" w:lineRule="auto"/>
      </w:pPr>
      <w:r>
        <w:t>The FEP block used OpenFE 1.11.0 with 11 lambda windows, 25000 production steps per window, 5000 equilibration steps per window, and OpenMM platform cuda. Input ligands were written to /data/oslab/reports/kimlab-cdk2-enrichment-v2-fep/openfe/inputs/ligands_bound_frame.sdf; the protein input was a cropped MD-preparation-derived structure containing 189 residues and 3115 atoms. Coordinate checks showed minimum protein contacts from 2.901 to 2.811 Angstrom. Partial charges were assigned with nagl/rdkit; the OpenFE runner was patched so the generated transformation metadata records the same charge method used in planning.</w:t>
      </w:r>
    </w:p>
    <w:p>
      <w:pPr>
        <w:spacing w:after="120" w:line="264" w:lineRule="auto"/>
      </w:pPr>
      <w:r>
        <w:t>The generated OpenFE network used KartografAtomMapper with atom_max_distance 0.95 Angstrom, hydrogen mapping enabled, exact ring matches only, partial fused rings allowed, and bond breaking disabled. A minimal spanning network connected both non-reference ligands to the reference ligand. The generated OpenFE protocol object recorded amber/ff14SB.xml, amber/tip3p_standard.xml, amber/tip3p_HFE_multivalent.xml, amber/phosaa10.xml, amber/lipid17_merged.xml, small-molecule force field openff-2.2.1, PME nonbonded treatment with 0.9 nm cutoff, TIP3P dodecahedral solvation with 1.0 nm padding, 11 replicas/windows, replica exchange sampling, 5000 minimization steps, 0.02 ns equilibration, 0.10 ns production, 4 fs timestep, and CUDA compute.</w:t>
      </w:r>
    </w:p>
    <w:p>
      <w:pPr>
        <w:pStyle w:val="Heading2"/>
      </w:pPr>
      <w:r>
        <w:t>Benchmark metric definitions</w:t>
      </w:r>
    </w:p>
    <w:p>
      <w:pPr>
        <w:spacing w:after="120" w:line="264" w:lineRule="auto"/>
      </w:pPr>
      <w:r>
        <w:t>ROC-AUC was computed as the pairwise probability that a randomly chosen active ranked ahead of a randomly chosen decoy, assigning 0.5 credit for ties. Average precision was computed from the precision at each active-ligand rank. Enrichment factor at fraction x was computed as (actives in the top ceiling(N*x) / ceiling(N*x)) divided by the active fraction in the evaluated list. Downstream block metrics are conditional on each block's selected subset and should not be read as full-library metrics unless explicitly stated as cascade active fraction.</w:t>
      </w:r>
    </w:p>
    <w:p>
      <w:pPr>
        <w:pStyle w:val="Heading1"/>
      </w:pPr>
      <w:r>
        <w:t>Limitations and Publication Readiness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The docking and hit-refinement metrics are appropriate benchmark summaries for the screened CDK2 active/decoy library, but they still depend on the label quality and the pose/score assumptions of Vina.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The MD/MM-GBSA and FEP metrics are conditional on small selected subsets. They are useful for testing cascade behavior and prioritization, but they are not full-library validation metrics.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The canonical FEP block uses a chemically coherent active cluster and completed all planned transformations. It is still not definitive quantitative RBFE validation because all edge uncertainties are reported as 0.0 kcal/mol, estimator warnings occurred, one network edge has MCS=1, the run used a single repeat, and the production length was only 0.10 ns per window.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The OpenFE runner records the actual NAGL/RDKit charge method in the generated transformation metadata. AmberTools AM1-BCC was not available as an OpenFF toolkit backend on this instance.</w:t>
      </w:r>
    </w:p>
    <w:p>
      <w:pPr>
        <w:pStyle w:val="ListBullet"/>
        <w:spacing w:after="100"/>
      </w:pPr>
      <w:r>
        <w:rPr>
          <w:rFonts w:ascii="Calibri" w:hAnsi="Calibri"/>
          <w:sz w:val="21"/>
        </w:rPr>
        <w:t>A publication-ready FEP campaign would add experimental affinity values for the same congeneric series, production-length sampling, replicate repeats or independent seeds, cycle-closure edges, overlap/convergence diagnostics, explicit software version capture for Vina/PLIP/OpenMM/OpenFE/OpenFF, and a predefined acceptance criterion for excluding failed mappings.</w:t>
      </w:r>
    </w:p>
    <w:p>
      <w:pPr>
        <w:pStyle w:val="Heading1"/>
      </w:pPr>
      <w:r>
        <w:t>Source Files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Artifact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Path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Docking results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/data/oslab/reports/kimlab-cdk2-enrichment-v2-docking/report/vina_results.json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Hit refinement summary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/data/oslab/reports/kimlab-cdk2-enrichment-v2-hit-refinement/report/per_ligand_seed_summary.json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MD progress/results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/data/oslab/runs/kimlab-cdk2-enrichment-v2-md-optimization/progress.json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FEP results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/data/oslab/reports/kimlab-cdk2-enrichment-v2-fep/fep_results.json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FEP ddG TSV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/data/oslab/reports/kimlab-cdk2-enrichment-v2-fep/openfe/openfe_ddg.tsv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OSLabLambda dashboard screenshot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/Users/hlk/Desktop/oslab_cdk2_report_work/oslab_fep_dashboard_canonical.png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FEP 2D/3D structure figures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/Users/hlk/Desktop/oslab_cdk2_report_work/fep_2d_ligand_structures.png; /Users/hlk/Desktop/oslab_cdk2_report_work/fep_best_ligand_3d_pose.png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Installation package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/Users/hlk/Desktop/kimlab-cdk2-enrichment-v2-completed-results-20260514-032817/installation_package/oslab-updated-scripts-install-package-20260514.zip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Local metrics trace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/Users/hlk/Desktop/oslab_cdk2_report_work/benchmark_metrics_summary.json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color w:val="555555"/>
        <w:sz w:val="18"/>
      </w:rPr>
      <w:t>Generated from OSLab run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55555"/>
        <w:sz w:val="18"/>
      </w:rPr>
      <w:t>CDK2 OSLab Four-Block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CDK2 OSLab Four-Block Benchmark Report</dc:title>
  <dc:subject>OSLab docking, hit refinement, MD/MM-GBSA, and FEP benchmark metrics</dc:subject>
  <dc:creator>OpenAI Codex</dc:creator>
  <cp:keywords/>
  <dc:description>generated by python-docx</dc:description>
  <cp:lastModifiedBy/>
  <cp:revision>1</cp:revision>
  <dcterms:created xsi:type="dcterms:W3CDTF">2026-05-13T22:13:23Z</dcterms:created>
  <dcterms:modified xsi:type="dcterms:W3CDTF">2026-05-13T22:13:23Z</dcterms:modified>
  <cp:category/>
</cp:coreProperties>
</file>