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2024年第三季度，零售业务整体保持稳健增长，线上渠道贡献了主要的交易增量。</w:t>
      </w:r>
    </w:p>
    <w:p>
      <w:r>
        <w:t>客户结构方面，个人客户占比持续提升，小微企业贷款需求回暖明显。</w:t>
      </w:r>
    </w:p>
    <w:p>
      <w:r>
        <w:t>风险管理上，逾期率控制在合理区间，未发生重大信用风险事件。</w:t>
      </w:r>
    </w:p>
    <w:p>
      <w:r>
        <w:t>产品创新方面，本季度上线了两款面向小微客群的快捷贷款产品。</w:t>
      </w:r>
    </w:p>
    <w:p>
      <w:r>
        <w:t>渠道协同方面，线上线下一体化运营初见成效，交叉销售转化率提升。</w:t>
      </w:r>
    </w:p>
    <w:p>
      <w:r>
        <w:t>展望下季度，将继续优化风控模型，并扩大合作渠道的覆盖范围。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