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Лабораторная работа 5.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О сравнении качества оценок.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Для трех распределений  </w:t>
      </w:r>
      <m:oMath>
        <m:r>
          <w:rPr>
            <w:rFonts w:ascii="Cambria Math" w:cs="Cambria Math" w:eastAsia="Cambria Math" w:hAnsi="Cambria Math"/>
            <w:vertAlign w:val="superscript"/>
          </w:rPr>
          <m:t xml:space="preserve">X~N(a,σ</m:t>
        </m:r>
      </m:oMath>
      <w:r w:rsidDel="00000000" w:rsidR="00000000" w:rsidRPr="00000000">
        <w:rPr>
          <w:rtl w:val="0"/>
        </w:rPr>
        <w:t xml:space="preserve">),  </w:t>
      </w:r>
      <m:oMath>
        <m:r>
          <w:rPr>
            <w:rFonts w:ascii="Cambria Math" w:cs="Cambria Math" w:eastAsia="Cambria Math" w:hAnsi="Cambria Math"/>
            <w:vertAlign w:val="superscript"/>
          </w:rPr>
          <m:t xml:space="preserve">X~U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vertAlign w:val="superscript"/>
              </w:rPr>
            </m:ctrlPr>
          </m:dPr>
          <m:e>
            <m:r>
              <w:rPr>
                <w:rFonts w:ascii="Cambria Math" w:cs="Cambria Math" w:eastAsia="Cambria Math" w:hAnsi="Cambria Math"/>
                <w:vertAlign w:val="superscript"/>
              </w:rPr>
              <m:t xml:space="preserve">a-</m:t>
            </m:r>
            <m:f>
              <m:fPr>
                <m:ctrlPr>
                  <w:rPr>
                    <w:rFonts w:ascii="Cambria Math" w:cs="Cambria Math" w:eastAsia="Cambria Math" w:hAnsi="Cambria Math"/>
                    <w:vertAlign w:val="superscript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vertAlign w:val="superscript"/>
                  </w:rPr>
                  <m:t>δ</m:t>
                </m:r>
              </m:num>
              <m:den>
                <m:r>
                  <w:rPr>
                    <w:rFonts w:ascii="Cambria Math" w:cs="Cambria Math" w:eastAsia="Cambria Math" w:hAnsi="Cambria Math"/>
                    <w:vertAlign w:val="superscript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vertAlign w:val="superscript"/>
              </w:rPr>
              <m:t xml:space="preserve">,a+</m:t>
            </m:r>
            <m:f>
              <m:fPr>
                <m:ctrlPr>
                  <w:rPr>
                    <w:rFonts w:ascii="Cambria Math" w:cs="Cambria Math" w:eastAsia="Cambria Math" w:hAnsi="Cambria Math"/>
                    <w:vertAlign w:val="superscript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vertAlign w:val="superscript"/>
                  </w:rPr>
                  <m:t>δ</m:t>
                </m:r>
              </m:num>
              <m:den>
                <m:r>
                  <w:rPr>
                    <w:rFonts w:ascii="Cambria Math" w:cs="Cambria Math" w:eastAsia="Cambria Math" w:hAnsi="Cambria Math"/>
                    <w:vertAlign w:val="superscript"/>
                  </w:rPr>
                  <m:t xml:space="preserve">2</m:t>
                </m:r>
              </m:den>
            </m:f>
          </m:e>
        </m:d>
      </m:oMath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 и распределения Лапласа или двойного показательного – “L(a,u)= </w:t>
      </w:r>
      <m:oMath>
        <m:r>
          <w:rPr>
            <w:rFonts w:ascii="Cambria Math" w:cs="Cambria Math" w:eastAsia="Cambria Math" w:hAnsi="Cambria Math"/>
          </w:rPr>
          <m:t xml:space="preserve">a+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Exp</m:t>
            </m:r>
          </m:e>
          <m:sub>
            <m:r>
              <w:rPr>
                <w:rFonts w:ascii="Cambria Math" w:cs="Cambria Math" w:eastAsia="Cambria Math" w:hAnsi="Cambria Math"/>
              </w:rPr>
              <m:t>λ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Exp</m:t>
            </m:r>
          </m:e>
          <m:sub>
            <m:r>
              <w:rPr>
                <w:rFonts w:ascii="Cambria Math" w:cs="Cambria Math" w:eastAsia="Cambria Math" w:hAnsi="Cambria Math"/>
              </w:rPr>
              <m:t>λ</m:t>
            </m:r>
          </m:sub>
        </m:sSub>
        <m:r>
          <w:rPr>
            <w:rFonts w:ascii="Cambria Math" w:cs="Cambria Math" w:eastAsia="Cambria Math" w:hAnsi="Cambria Math"/>
          </w:rPr>
          <m:t xml:space="preserve">, λ=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u</m:t>
            </m:r>
          </m:den>
        </m:f>
      </m:oMath>
      <w:r w:rsidDel="00000000" w:rsidR="00000000" w:rsidRPr="00000000">
        <w:rPr>
          <w:rtl w:val="0"/>
        </w:rPr>
        <w:t xml:space="preserve">”  (суммируемые показательные распределения независимы).  Сравнить следующие оценки параметра a – математического ожидания и медианы всех распределений,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- выборочного среднего, </w:t>
      </w:r>
      <w:r w:rsidDel="00000000" w:rsidR="00000000" w:rsidRPr="00000000">
        <w:rPr>
          <w:i w:val="1"/>
          <w:rtl w:val="0"/>
        </w:rPr>
        <w:t xml:space="preserve">med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- выборочной медианы и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e>
                </m:d>
              </m:sub>
            </m:sSub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</m:d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- полусуммы </m:t>
        </m:r>
      </m:oMath>
      <w:r w:rsidDel="00000000" w:rsidR="00000000" w:rsidRPr="00000000">
        <w:rPr>
          <w:rtl w:val="0"/>
        </w:rPr>
        <w:t xml:space="preserve">минимума и максимума вариационного ряда. Все оценки не смещены. Сравнивать оценки нужно с точки зрения квадратичного риска (т. е. для несмещенных оценок одномерного параметра – дисперсии оценки). При n=100  – объем выборки, m=100 – количество выборок, построить 100 оценок каждого вида и сравнить их выборочные среднеквадратичные отклонения, повторить при n=10000, m=100.  Сравнить с теоретическими </w:t>
      </w:r>
      <w:r w:rsidDel="00000000" w:rsidR="00000000" w:rsidRPr="00000000">
        <w:rPr>
          <w:rtl w:val="0"/>
        </w:rPr>
        <w:t xml:space="preserve">среднеквадратичными</w:t>
      </w:r>
      <w:r w:rsidDel="00000000" w:rsidR="00000000" w:rsidRPr="00000000">
        <w:rPr>
          <w:rtl w:val="0"/>
        </w:rPr>
        <w:t xml:space="preserve"> отклонениями. Результат – 6 таблиц и вывод о том какая из оценок с точки зрения квадратичного риска является наилучшей.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/>
            </w:pPr>
            <m:oMath>
              <m:r>
                <w:rPr>
                  <w:rFonts w:ascii="Cambria Math" w:cs="Cambria Math" w:eastAsia="Cambria Math" w:hAnsi="Cambria Math"/>
                </w:rPr>
                <m:t xml:space="preserve">X~N(a,σ)</m:t>
              </m:r>
            </m:oMath>
            <w:r w:rsidDel="00000000" w:rsidR="00000000" w:rsidRPr="00000000">
              <w:rPr>
                <w:rtl w:val="0"/>
              </w:rPr>
              <w:t xml:space="preserve">, n=100, m=100.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med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e>
                  </m:d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</m:d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)/2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σ - теоретическое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σ - практическое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F1909"/>
    <w:pPr>
      <w:spacing w:after="200" w:line="276" w:lineRule="auto"/>
    </w:pPr>
    <w:rPr>
      <w:rFonts w:cs="Times New Roman" w:eastAsia="Times New Roman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F1909"/>
    <w:pPr>
      <w:ind w:left="720"/>
      <w:contextualSpacing w:val="1"/>
    </w:pPr>
  </w:style>
  <w:style w:type="character" w:styleId="a4">
    <w:name w:val="Placeholder Text"/>
    <w:basedOn w:val="a0"/>
    <w:uiPriority w:val="99"/>
    <w:semiHidden w:val="1"/>
    <w:rsid w:val="009F1909"/>
    <w:rPr>
      <w:color w:val="808080"/>
    </w:rPr>
  </w:style>
  <w:style w:type="table" w:styleId="a5">
    <w:name w:val="Table Grid"/>
    <w:basedOn w:val="a1"/>
    <w:uiPriority w:val="39"/>
    <w:rsid w:val="009F190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CmqHn2jo5eiwWgG8K/H88tzkFg==">AMUW2mU9hM9fROx+zI00bGtyi88aj3gU1IifryVzUXSdA3I7TB/sLkqLsMJQpDkGDTgNqdKR1VZ49xKaDq+sUWPdxq5lp6MnwSD+RpzCWogPFW4eQw3rN4G4KwBDNS5dwcVh9LyDyEVG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2020-04-29T19:46:00Z</dcterms:created>
  <dc:creator>Irina</dc:creator>
</cp:coreProperties>
</file>