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6.png" ContentType="image/png"/>
  <Override PartName="/word/media/rId40.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Accuracy-Preserving Stability Regularization for Large-Scale Retail Demand Forecasting</w:t>
      </w:r>
    </w:p>
    <w:p>
      <w:pPr>
        <w:pStyle w:val="Author"/>
      </w:pPr>
      <w:r>
        <w:t xml:space="preserve">Anonymous Authors</w:t>
      </w:r>
    </w:p>
    <w:p>
      <w:pPr>
        <w:pStyle w:val="AbstractTitle"/>
      </w:pPr>
      <w:r>
        <w:t xml:space="preserve">Abstract</w:t>
      </w:r>
    </w:p>
    <w:p>
      <w:pPr>
        <w:pStyle w:val="Abstract"/>
      </w:pPr>
      <w:r>
        <w:t xml:space="preserve">Large-scale retail demand forecasts are used in repeated planning cycles, where excessive forecast movement can create replenishment and capacity churn even when average error is acceptable. Prior work has already studied forecast-stability objectives for neural forecasting and model-agnostic post-processing. We therefore frame this paper as a focused empirical study of whether a tree-based retail forecasting pipeline can incorporate a training-time penalty on consecutive within-series forecast movement while preserving point-forecast accuracy. The method combines recent-demand embeddings with calendar, price, hierarchy, item, and store features before XGBoost prediction. On selected M5 demand series at 1000, 3000, and 4000-series scales, the stability-regularized model improves Forecast Stability Score over XGBoost by 6.91%, 6.66%, and 7.68%, respectively, while RMSE changes remain within 0.72% across three random seeds. Compared with post-hoc exponential smoothing, the training-time objective is less aggressive in reducing raw forecast movement but preserves accuracy better and performs favorably under normalized stability. These results support a cautious conclusion: stability can be represented as an explicit training criterion in a large-scale retail boosted-tree pipeline, but the contribution is an applied accuracy-stability trade-off study rather than a wholly new forecast-stability paradigm.</w:t>
      </w:r>
    </w:p>
    <w:bookmarkStart w:id="9" w:name="introduction"/>
    <w:p>
      <w:pPr>
        <w:pStyle w:val="Heading1"/>
      </w:pPr>
      <w:r>
        <w:t xml:space="preserve">Introduction</w:t>
      </w:r>
    </w:p>
    <w:p>
      <w:pPr>
        <w:pStyle w:val="FirstParagraph"/>
      </w:pPr>
      <w:r>
        <w:t xml:space="preserve">Demand forecasts are no longer passive reports in many supply chains. They feed replenishment systems, inventory policies, production schedules, labor rosters, and transportation plans</w:t>
      </w:r>
      <w:r>
        <w:t xml:space="preserve"> </w:t>
      </w:r>
      <w:r>
        <w:t xml:space="preserve">(Fildes et al. 2008; Fildes et al. 2022;</w:t>
      </w:r>
      <w:r>
        <w:t xml:space="preserve"> </w:t>
      </w:r>
      <w:r>
        <w:t xml:space="preserve">Petropoulos et al.</w:t>
      </w:r>
      <w:r>
        <w:t xml:space="preserve"> </w:t>
      </w:r>
      <w:r>
        <w:t xml:space="preserve">2022)</w:t>
      </w:r>
      <w:r>
        <w:t xml:space="preserve">. A model that changes its forecast sharply from one planning cycle to the next can therefore create operational churn even when its aggregate error is acceptable, a concern related to forecast stability and demand amplification in supply chains</w:t>
      </w:r>
      <w:r>
        <w:t xml:space="preserve"> </w:t>
      </w:r>
      <w:r>
        <w:t xml:space="preserve">(Lee et al. 1997; Chen et al. 2000; Godahewa et al. 2025)</w:t>
      </w:r>
      <w:r>
        <w:t xml:space="preserve">. For intermittent retail demand, where zeros, local spikes, promotions, and price changes are common, this distinction between statistical accuracy and operational stability becomes difficult to ignore</w:t>
      </w:r>
      <w:r>
        <w:t xml:space="preserve"> </w:t>
      </w:r>
      <w:r>
        <w:t xml:space="preserve">(Croston 1972; Syntetos and Boylan 2005; Makridakis et al. 2022)</w:t>
      </w:r>
      <w:r>
        <w:t xml:space="preserve">.</w:t>
      </w:r>
    </w:p>
    <w:p>
      <w:pPr>
        <w:pStyle w:val="BodyText"/>
      </w:pPr>
      <w:r>
        <w:t xml:space="preserve">Recent deep forecasting models have improved long-horizon sequence modeling through Transformer, MLP, and multiscale temporal architectures</w:t>
      </w:r>
      <w:r>
        <w:t xml:space="preserve"> </w:t>
      </w:r>
      <w:r>
        <w:t xml:space="preserve">(Wang et al. 2024; Nie et al. 2023; Zhou et al. 2021; Wu et al. 2021; Chen et al. 2023)</w:t>
      </w:r>
      <w:r>
        <w:t xml:space="preserve">. Retail demand forecasting, however, is not only a sequence modeling problem. Calendar effects, sell prices, events, product hierarchy, and store identity often carry information that is awkward to represent with temporal history alone. The M5 benchmark makes this tension explicit by combining item-store demand histories with calendar and price tables</w:t>
      </w:r>
      <w:r>
        <w:t xml:space="preserve"> </w:t>
      </w:r>
      <w:r>
        <w:t xml:space="preserve">(Makridakis et al. 2022)</w:t>
      </w:r>
      <w:r>
        <w:t xml:space="preserve">. Tree-based learners such as XGBoost are widely used for sparse, heterogeneous tabular prediction problems because boosted trees can model nonlinear feature interactions efficiently</w:t>
      </w:r>
      <w:r>
        <w:t xml:space="preserve"> </w:t>
      </w:r>
      <w:r>
        <w:t xml:space="preserve">(Chen and Guestrin 2016)</w:t>
      </w:r>
      <w:r>
        <w:t xml:space="preserve">; in retail forecasting, such models are often paired with engineered lag and rolling features</w:t>
      </w:r>
      <w:r>
        <w:t xml:space="preserve"> </w:t>
      </w:r>
      <w:r>
        <w:t xml:space="preserve">(Fildes et al. 2022; Makridakis et al. 2022)</w:t>
      </w:r>
      <w:r>
        <w:t xml:space="preserve">.</w:t>
      </w:r>
    </w:p>
    <w:p>
      <w:pPr>
        <w:pStyle w:val="BodyText"/>
      </w:pPr>
      <w:r>
        <w:t xml:space="preserve">This paper centers on stability regularization rather than on model combination alone. We ask whether a forecasting model can be trained to reduce excessive consecutive within-series forecast movement while remaining close to the accuracy profile of a strong structured baseline. The hybrid temporal-structured forecasting pipeline is the implementation vehicle for this question: a lightweight TimeMixer-style encoder summarizes recent demand history, structured operational features provide calendar, price, hierarchy, item, and store context, and an XGBoost layer produces point forecasts. The purpose is not to maximize smoothness at all costs, but to study a controlled accuracy-stability trade-off in a setting where simpler post-processing is an important competing explanation.</w:t>
      </w:r>
    </w:p>
    <w:p>
      <w:pPr>
        <w:pStyle w:val="BodyText"/>
      </w:pPr>
      <w:r>
        <w:t xml:space="preserve">Our contributions are threefold. First, we adapt an accuracy-plus-stability training objective to a boosted-tree retail forecasting pipeline and state explicitly how this differs from prior neural stability objectives and post-hoc stabilization methods. Second, we evaluate the objective in a hybrid temporal-structured M5 setup that uses temporal embeddings for recent demand history and structured calendar, price, hierarchy, item, and store features for tree-based prediction. Third, we systematically evaluate the accuracy-stability trade-off through smoothing baselines, normalized stability, seed robustness, leakage auditing, runtime analysis, and large-scale M5 experiments on 1000, 3000, and 4000 demand series. We avoid claiming state-of-the-art accuracy or a newly invented stability concept; the contribution is an operationally motivated stability-accuracy study for a practical boosted-tree retail pipeline.</w:t>
      </w:r>
    </w:p>
    <w:bookmarkEnd w:id="9"/>
    <w:bookmarkStart w:id="15" w:name="related-work"/>
    <w:p>
      <w:pPr>
        <w:pStyle w:val="Heading1"/>
      </w:pPr>
      <w:r>
        <w:t xml:space="preserve">Related Work</w:t>
      </w:r>
    </w:p>
    <w:bookmarkStart w:id="10" w:name="deep-time-series-forecasting"/>
    <w:p>
      <w:pPr>
        <w:pStyle w:val="Heading2"/>
      </w:pPr>
      <w:r>
        <w:t xml:space="preserve">Deep Time Series Forecasting</w:t>
      </w:r>
    </w:p>
    <w:p>
      <w:pPr>
        <w:pStyle w:val="FirstParagraph"/>
      </w:pPr>
      <w:r>
        <w:t xml:space="preserve">Recent deep forecasting research has developed specialized architectures for long-horizon temporal representation learning. TimeMixer models temporal variation through decomposable multiscale mixing, allowing information from different temporal resolutions to interact within a unified forecasting architecture</w:t>
      </w:r>
      <w:r>
        <w:t xml:space="preserve"> </w:t>
      </w:r>
      <w:r>
        <w:t xml:space="preserve">(Wang et al. 2024)</w:t>
      </w:r>
      <w:r>
        <w:t xml:space="preserve">. PatchTST introduced a patch-based Transformer formulation in which subseries patches serve as temporal tokens, improving long-context modeling while reducing sequence length</w:t>
      </w:r>
      <w:r>
        <w:t xml:space="preserve"> </w:t>
      </w:r>
      <w:r>
        <w:t xml:space="preserve">(Nie et al. 2023)</w:t>
      </w:r>
      <w:r>
        <w:t xml:space="preserve">. Informer addressed the computational burden of long-sequence forecasting through ProbSparse attention and a generative decoder</w:t>
      </w:r>
      <w:r>
        <w:t xml:space="preserve"> </w:t>
      </w:r>
      <w:r>
        <w:t xml:space="preserve">(Zhou et al. 2021)</w:t>
      </w:r>
      <w:r>
        <w:t xml:space="preserve">, while Autoformer incorporated decomposition and auto-correlation mechanisms for long-term forecasting</w:t>
      </w:r>
      <w:r>
        <w:t xml:space="preserve"> </w:t>
      </w:r>
      <w:r>
        <w:t xml:space="preserve">(Wu et al. 2021)</w:t>
      </w:r>
      <w:r>
        <w:t xml:space="preserve">. TSMixer showed that all-MLP time and feature mixing can be competitive with attention-based models, reinforcing that strong temporal models need not rely exclusively on self-attention</w:t>
      </w:r>
      <w:r>
        <w:t xml:space="preserve"> </w:t>
      </w:r>
      <w:r>
        <w:t xml:space="preserve">(Chen et al. 2023)</w:t>
      </w:r>
      <w:r>
        <w:t xml:space="preserve">.</w:t>
      </w:r>
    </w:p>
    <w:p>
      <w:pPr>
        <w:pStyle w:val="BodyText"/>
      </w:pPr>
      <w:r>
        <w:t xml:space="preserve">These architectures have reported strong long-horizon forecasting performance under standard benchmark protocols, but forecasting evaluations are still commonly organized around point-error metrics</w:t>
      </w:r>
      <w:r>
        <w:t xml:space="preserve"> </w:t>
      </w:r>
      <w:r>
        <w:t xml:space="preserve">(</w:t>
      </w:r>
      <w:r>
        <w:t xml:space="preserve">Petropoulos et al.</w:t>
      </w:r>
      <w:r>
        <w:t xml:space="preserve"> </w:t>
      </w:r>
      <w:r>
        <w:t xml:space="preserve">2022; Godahewa et al. 2025)</w:t>
      </w:r>
      <w:r>
        <w:t xml:space="preserve">. In retail and supply-chain settings, this can leave a gap between benchmark performance and operational usefulness. A forecast that is accurate on average but unstable across consecutive periods may still create planning churn</w:t>
      </w:r>
      <w:r>
        <w:t xml:space="preserve"> </w:t>
      </w:r>
      <w:r>
        <w:t xml:space="preserve">(Lee et al. 1997; Chen et al. 2000; Godahewa et al. 2025)</w:t>
      </w:r>
      <w:r>
        <w:t xml:space="preserve">. Moreover, temporal-only models may underuse structured operational signals such as price, calendar events, product hierarchy, and store identity, all of which are central to retail demand benchmarks and practice</w:t>
      </w:r>
      <w:r>
        <w:t xml:space="preserve"> </w:t>
      </w:r>
      <w:r>
        <w:t xml:space="preserve">(Makridakis et al. 2022; Fildes et al. 2022)</w:t>
      </w:r>
      <w:r>
        <w:t xml:space="preserve">.</w:t>
      </w:r>
    </w:p>
    <w:bookmarkEnd w:id="10"/>
    <w:bookmarkStart w:id="11" w:name="Xc72f46c715ccf9202f221114dfe8b3e4a450e14"/>
    <w:p>
      <w:pPr>
        <w:pStyle w:val="Heading2"/>
      </w:pPr>
      <w:r>
        <w:t xml:space="preserve">Supply Chain and Retail Demand Forecasting</w:t>
      </w:r>
    </w:p>
    <w:p>
      <w:pPr>
        <w:pStyle w:val="FirstParagraph"/>
      </w:pPr>
      <w:r>
        <w:t xml:space="preserve">Retail demand forecasting is a high-dimensional operational problem involving sparse SKU-store series, heterogeneous seasonality, pricing variation, promotional events, and hierarchy. Forecasting competitions have shaped empirical forecasting practice for decades</w:t>
      </w:r>
      <w:r>
        <w:t xml:space="preserve"> </w:t>
      </w:r>
      <w:r>
        <w:t xml:space="preserve">(Makridakis and Hibon 2000)</w:t>
      </w:r>
      <w:r>
        <w:t xml:space="preserve">; the M5 Accuracy Competition extended that tradition to large-scale retail demand using Walmart sales, calendar, and sell-price data</w:t>
      </w:r>
      <w:r>
        <w:t xml:space="preserve"> </w:t>
      </w:r>
      <w:r>
        <w:t xml:space="preserve">(Makridakis et al. 2022)</w:t>
      </w:r>
      <w:r>
        <w:t xml:space="preserve">. Retail forecasting practice requires methods that incorporate product, store, calendar, price, promotion, and replenishment-relevant signals at scale</w:t>
      </w:r>
      <w:r>
        <w:t xml:space="preserve"> </w:t>
      </w:r>
      <w:r>
        <w:t xml:space="preserve">(Fildes et al. 2022)</w:t>
      </w:r>
      <w:r>
        <w:t xml:space="preserve">. Work at the forecasting–operations interface also stresses that forecasting models should be evaluated in the decision contexts where they are deployed</w:t>
      </w:r>
      <w:r>
        <w:t xml:space="preserve"> </w:t>
      </w:r>
      <w:r>
        <w:t xml:space="preserve">(Fildes et al. 2008;</w:t>
      </w:r>
      <w:r>
        <w:t xml:space="preserve"> </w:t>
      </w:r>
      <w:r>
        <w:t xml:space="preserve">Petropoulos et al.</w:t>
      </w:r>
      <w:r>
        <w:t xml:space="preserve"> </w:t>
      </w:r>
      <w:r>
        <w:t xml:space="preserve">2022)</w:t>
      </w:r>
      <w:r>
        <w:t xml:space="preserve">.</w:t>
      </w:r>
    </w:p>
    <w:p>
      <w:pPr>
        <w:pStyle w:val="BodyText"/>
      </w:pPr>
      <w:r>
        <w:t xml:space="preserve">Tree-based machine learning remains a practical choice in such settings because structured demand drivers are often nonlinear and heterogeneous</w:t>
      </w:r>
      <w:r>
        <w:t xml:space="preserve"> </w:t>
      </w:r>
      <w:r>
        <w:t xml:space="preserve">(Fildes et al. 2022; Makridakis et al. 2022)</w:t>
      </w:r>
      <w:r>
        <w:t xml:space="preserve">. XGBoost provides scalable gradient-boosted trees with efficient handling of sparse features and nonlinear interactions</w:t>
      </w:r>
      <w:r>
        <w:t xml:space="preserve"> </w:t>
      </w:r>
      <w:r>
        <w:t xml:space="preserve">(Chen and Guestrin 2016)</w:t>
      </w:r>
      <w:r>
        <w:t xml:space="preserve">. In many retail forecasting pipelines, structured learners are paired with manually specified lag and rolling-window features</w:t>
      </w:r>
      <w:r>
        <w:t xml:space="preserve"> </w:t>
      </w:r>
      <w:r>
        <w:t xml:space="preserve">(Fildes et al. 2022)</w:t>
      </w:r>
      <w:r>
        <w:t xml:space="preserve">. This motivates hybrid models that retain the tabular strength of boosted trees while adding learned representations of recent demand history.</w:t>
      </w:r>
    </w:p>
    <w:bookmarkEnd w:id="11"/>
    <w:bookmarkStart w:id="12" w:name="hybrid-forecasting-frameworks"/>
    <w:p>
      <w:pPr>
        <w:pStyle w:val="Heading2"/>
      </w:pPr>
      <w:r>
        <w:t xml:space="preserve">Hybrid Forecasting Frameworks</w:t>
      </w:r>
    </w:p>
    <w:p>
      <w:pPr>
        <w:pStyle w:val="FirstParagraph"/>
      </w:pPr>
      <w:r>
        <w:t xml:space="preserve">Hybrid forecasting methods combine temporal representation learning with structured covariate modeling. Temporal encoders such as TimeMixer can learn multiscale demand patterns</w:t>
      </w:r>
      <w:r>
        <w:t xml:space="preserve"> </w:t>
      </w:r>
      <w:r>
        <w:t xml:space="preserve">(Wang et al. 2024)</w:t>
      </w:r>
      <w:r>
        <w:t xml:space="preserve">, while structured models such as XGBoost exploit price, calendar, event, and categorical covariates</w:t>
      </w:r>
      <w:r>
        <w:t xml:space="preserve"> </w:t>
      </w:r>
      <w:r>
        <w:t xml:space="preserve">(Chen and Guestrin 2016)</w:t>
      </w:r>
      <w:r>
        <w:t xml:space="preserve">. This motivation is consistent with work on explicit time-feature mixing in neural forecasting and with the exogenous covariates provided by realistic retail benchmarks such as M5</w:t>
      </w:r>
      <w:r>
        <w:t xml:space="preserve"> </w:t>
      </w:r>
      <w:r>
        <w:t xml:space="preserve">(Chen et al. 2023; Makridakis et al. 2022)</w:t>
      </w:r>
      <w:r>
        <w:t xml:space="preserve">.</w:t>
      </w:r>
    </w:p>
    <w:p>
      <w:pPr>
        <w:pStyle w:val="BodyText"/>
      </w:pPr>
      <w:r>
        <w:t xml:space="preserve">The present study uses this hybrid direction as a practical vehicle for stability regularization. Rather than treating temporal encoders and structured learners as competing alternatives, the pipeline uses temporal embeddings as learned demand-history summaries and combines them with structured operational features before tree-based prediction. The primary question, however, is not whether this particular combination is universally superior, but whether training-time regularization can improve forecast stability while preserving accuracy.</w:t>
      </w:r>
    </w:p>
    <w:bookmarkEnd w:id="12"/>
    <w:bookmarkStart w:id="13" w:name="X0dc1433e8789a41bcf298e2452e903f19329930"/>
    <w:p>
      <w:pPr>
        <w:pStyle w:val="Heading2"/>
      </w:pPr>
      <w:r>
        <w:t xml:space="preserve">Forecast Stability and Robust Forecasting</w:t>
      </w:r>
    </w:p>
    <w:p>
      <w:pPr>
        <w:pStyle w:val="FirstParagraph"/>
      </w:pPr>
      <w:r>
        <w:t xml:space="preserve">Supply chain planning is sensitive not only to forecast error but also to forecast instability</w:t>
      </w:r>
      <w:r>
        <w:t xml:space="preserve"> </w:t>
      </w:r>
      <w:r>
        <w:t xml:space="preserve">(Lee et al. 1997; Chen et al. 2000; Godahewa et al. 2025)</w:t>
      </w:r>
      <w:r>
        <w:t xml:space="preserve">. The operational cost of forecast volatility is related to the bullwhip effect, where distorted or amplified demand information propagates upstream and increases order variability</w:t>
      </w:r>
      <w:r>
        <w:t xml:space="preserve"> </w:t>
      </w:r>
      <w:r>
        <w:t xml:space="preserve">(Lee et al. 1997)</w:t>
      </w:r>
      <w:r>
        <w:t xml:space="preserve">. Forecasting and lead times contribute directly to bullwhip behavior</w:t>
      </w:r>
      <w:r>
        <w:t xml:space="preserve"> </w:t>
      </w:r>
      <w:r>
        <w:t xml:space="preserve">(Chen et al. 2000)</w:t>
      </w:r>
      <w:r>
        <w:t xml:space="preserve">, and forecasting method choice can affect demand amplification under replenishment policies</w:t>
      </w:r>
      <w:r>
        <w:t xml:space="preserve"> </w:t>
      </w:r>
      <w:r>
        <w:t xml:space="preserve">(Zhang 2004)</w:t>
      </w:r>
      <w:r>
        <w:t xml:space="preserve">. Intermittent demand has long been treated as an inventory-relevant forecasting problem, from Croston-style stock-control methods</w:t>
      </w:r>
      <w:r>
        <w:t xml:space="preserve"> </w:t>
      </w:r>
      <w:r>
        <w:t xml:space="preserve">(Croston 1972)</w:t>
      </w:r>
      <w:r>
        <w:t xml:space="preserve"> </w:t>
      </w:r>
      <w:r>
        <w:t xml:space="preserve">to later work on intermittent-demand accuracy and stock-control performance</w:t>
      </w:r>
      <w:r>
        <w:t xml:space="preserve"> </w:t>
      </w:r>
      <w:r>
        <w:t xml:space="preserve">(Syntetos and Boylan 2005, 2006)</w:t>
      </w:r>
      <w:r>
        <w:t xml:space="preserve">. Recent work formalizes forecast stability and the accuracy-stability trade-off</w:t>
      </w:r>
      <w:r>
        <w:t xml:space="preserve"> </w:t>
      </w:r>
      <w:r>
        <w:t xml:space="preserve">(Godahewa et al. 2025)</w:t>
      </w:r>
      <w:r>
        <w:t xml:space="preserve">. Robust forecasting emphasizes reliability under noise, outliers, and structural change</w:t>
      </w:r>
      <w:r>
        <w:t xml:space="preserve"> </w:t>
      </w:r>
      <w:r>
        <w:t xml:space="preserve">(Barrow et al. 2020)</w:t>
      </w:r>
      <w:r>
        <w:t xml:space="preserve">, while multi-step evaluation work shows that aggregate error metrics can hide forecast update behavior</w:t>
      </w:r>
      <w:r>
        <w:t xml:space="preserve"> </w:t>
      </w:r>
      <w:r>
        <w:t xml:space="preserve">(Strom and Gundersen 2024)</w:t>
      </w:r>
      <w:r>
        <w:t xml:space="preserve">.</w:t>
      </w:r>
    </w:p>
    <w:p>
      <w:pPr>
        <w:pStyle w:val="BodyText"/>
      </w:pPr>
      <w:r>
        <w:t xml:space="preserve">The closest prior work is central to the positioning of this paper. Van Belle et al. introduced a deep-learning approach that combines forecast error and forecast-instability terms in the training objective</w:t>
      </w:r>
      <w:r>
        <w:t xml:space="preserve"> </w:t>
      </w:r>
      <w:r>
        <w:t xml:space="preserve">(Belle et al. 2023)</w:t>
      </w:r>
      <w:r>
        <w:t xml:space="preserve">, and subsequent work investigates dynamic loss weighting for the same accuracy-stability tension</w:t>
      </w:r>
      <w:r>
        <w:t xml:space="preserve"> </w:t>
      </w:r>
      <w:r>
        <w:t xml:space="preserve">(Caljon et al. 2024)</w:t>
      </w:r>
      <w:r>
        <w:t xml:space="preserve">. Related probabilistic N-BEATS work also studies stability-motivated extensions to neural forecasting</w:t>
      </w:r>
      <w:r>
        <w:t xml:space="preserve"> </w:t>
      </w:r>
      <w:r>
        <w:t xml:space="preserve">(Belle et al. 2024)</w:t>
      </w:r>
      <w:r>
        <w:t xml:space="preserve">. In parallel, model-agnostic interpolation methods can stabilize the forecasts of a fitted base model, including tree-based forecasters, by moving along an explicit post-processing trade-off curve</w:t>
      </w:r>
      <w:r>
        <w:t xml:space="preserve"> </w:t>
      </w:r>
      <w:r>
        <w:t xml:space="preserve">(Godahewa et al. 2025)</w:t>
      </w:r>
      <w:r>
        <w:t xml:space="preserve">. These studies mean that a composite stability loss is not, by itself, a new forecasting idea. The narrower gap addressed here is empirical and implementation-oriented: we evaluate a training-time consecutive-movement penalty inside a boosted-tree retail forecasting pipeline and compare it directly with smoothing baselines under the same M5 experimental setup.</w:t>
      </w:r>
    </w:p>
    <w:bookmarkEnd w:id="13"/>
    <w:bookmarkStart w:id="14" w:name="cross-industry-motivation"/>
    <w:p>
      <w:pPr>
        <w:pStyle w:val="Heading2"/>
      </w:pPr>
      <w:r>
        <w:t xml:space="preserve">Cross-Industry Motivation</w:t>
      </w:r>
    </w:p>
    <w:p>
      <w:pPr>
        <w:pStyle w:val="FirstParagraph"/>
      </w:pPr>
      <w:r>
        <w:t xml:space="preserve">Although the experiments in this paper are restricted to retail demand, the motivation for forecast stability is broader. In supply-chain replenishment, unstable item-level forecasts can propagate into order changes and upstream variability</w:t>
      </w:r>
      <w:r>
        <w:t xml:space="preserve"> </w:t>
      </w:r>
      <w:r>
        <w:t xml:space="preserve">(Lee et al. 1997; Chen et al. 2000; Zhang 2004)</w:t>
      </w:r>
      <w:r>
        <w:t xml:space="preserve">. In spare-parts and maintenance settings, intermittent demand forecasts support inventory policies where unnecessary forecast churn may translate into excess stock or service risk</w:t>
      </w:r>
      <w:r>
        <w:t xml:space="preserve"> </w:t>
      </w:r>
      <w:r>
        <w:t xml:space="preserve">(Croston 1972; Syntetos and Boylan 2006)</w:t>
      </w:r>
      <w:r>
        <w:t xml:space="preserve">. In energy systems, load forecasts are inputs to operational planning, commitment, and capacity decisions, where repeated forecast revision can affect scheduling and procurement choices</w:t>
      </w:r>
      <w:r>
        <w:t xml:space="preserve"> </w:t>
      </w:r>
      <w:r>
        <w:t xml:space="preserve">(Carvallo et al. 2016)</w:t>
      </w:r>
      <w:r>
        <w:t xml:space="preserve">. In healthcare operations, demand forecasts are used for bed, staffing, and resource planning, where sudden forecast revisions can be costly even if average error is acceptable</w:t>
      </w:r>
      <w:r>
        <w:t xml:space="preserve"> </w:t>
      </w:r>
      <w:r>
        <w:t xml:space="preserve">(</w:t>
      </w:r>
      <w:r>
        <w:t xml:space="preserve">Tello et al.</w:t>
      </w:r>
      <w:r>
        <w:t xml:space="preserve"> </w:t>
      </w:r>
      <w:r>
        <w:t xml:space="preserve">2022)</w:t>
      </w:r>
      <w:r>
        <w:t xml:space="preserve">. These are motivating use cases, not additional empirical claims of this paper. They clarify why an accuracy-stability trade-off has academic and practical value beyond a single retail benchmark, while the evidence reported below remains limited to M5.</w:t>
      </w:r>
    </w:p>
    <w:bookmarkEnd w:id="14"/>
    <w:bookmarkEnd w:id="15"/>
    <w:bookmarkStart w:id="22" w:name="methodology"/>
    <w:p>
      <w:pPr>
        <w:pStyle w:val="Heading1"/>
      </w:pPr>
      <w:r>
        <w:t xml:space="preserve">Methodology</w:t>
      </w:r>
    </w:p>
    <w:bookmarkStart w:id="16" w:name="problem-formulation"/>
    <w:p>
      <w:pPr>
        <w:pStyle w:val="Heading2"/>
      </w:pPr>
      <w:r>
        <w:t xml:space="preserve">Problem Formulation</w:t>
      </w:r>
    </w:p>
    <w:p>
      <w:pPr>
        <w:pStyle w:val="FirstParagraph"/>
      </w:pPr>
      <w:r>
        <w:t xml:space="preserve">Let</w:t>
      </w:r>
      <w:r>
        <w:t xml:space="preserve"> </w:t>
      </w:r>
      <m:oMath>
        <m:sSub>
          <m:e>
            <m:r>
              <m:t>y</m:t>
            </m:r>
          </m:e>
          <m:sub>
            <m:r>
              <m:t>i</m:t>
            </m:r>
            <m:r>
              <m:rPr>
                <m:sty m:val="p"/>
              </m:rPr>
              <m:t>,</m:t>
            </m:r>
            <m:r>
              <m:t>t</m:t>
            </m:r>
          </m:sub>
        </m:sSub>
      </m:oMath>
      <w:r>
        <w:t xml:space="preserve"> </w:t>
      </w:r>
      <w:r>
        <w:t xml:space="preserve">denote observed demand for series</w:t>
      </w:r>
      <w:r>
        <w:t xml:space="preserve"> </w:t>
      </w:r>
      <m:oMath>
        <m:r>
          <m:t>i</m:t>
        </m:r>
      </m:oMath>
      <w:r>
        <w:t xml:space="preserve"> </w:t>
      </w:r>
      <w:r>
        <w:t xml:space="preserve">at time</w:t>
      </w:r>
      <w:r>
        <w:t xml:space="preserve"> </w:t>
      </w:r>
      <m:oMath>
        <m:r>
          <m:t>t</m:t>
        </m:r>
      </m:oMath>
      <w:r>
        <w:t xml:space="preserve">, where each series corresponds to an item-store demand stream. Given a historical window</w:t>
      </w:r>
      <w:r>
        <w:t xml:space="preserve"> </w:t>
      </w:r>
      <m:oMath>
        <m:sSub>
          <m:e>
            <m:r>
              <m:rPr>
                <m:sty m:val="bi"/>
              </m:rPr>
              <m:t>y</m:t>
            </m:r>
          </m:e>
          <m:sub>
            <m:r>
              <m:t>i</m:t>
            </m:r>
            <m:r>
              <m:rPr>
                <m:sty m:val="p"/>
              </m:rPr>
              <m:t>,</m:t>
            </m:r>
            <m:r>
              <m:t>t</m:t>
            </m:r>
            <m:r>
              <m:rPr>
                <m:sty m:val="p"/>
              </m:rPr>
              <m:t>−</m:t>
            </m:r>
            <m:r>
              <m:t>L</m:t>
            </m:r>
            <m:r>
              <m:rPr>
                <m:sty m:val="p"/>
              </m:rPr>
              <m:t>:</m:t>
            </m:r>
            <m:r>
              <m:t>t</m:t>
            </m:r>
            <m:r>
              <m:rPr>
                <m:sty m:val="p"/>
              </m:rPr>
              <m:t>−</m:t>
            </m:r>
            <m:r>
              <m:t>1</m:t>
            </m:r>
          </m:sub>
        </m:sSub>
      </m:oMath>
      <w:r>
        <w:t xml:space="preserve"> </w:t>
      </w:r>
      <w:r>
        <w:t xml:space="preserve">and structured covariates</w:t>
      </w:r>
      <w:r>
        <w:t xml:space="preserve"> </w:t>
      </w:r>
      <m:oMath>
        <m:sSub>
          <m:e>
            <m:r>
              <m:rPr>
                <m:sty m:val="bi"/>
              </m:rPr>
              <m:t>x</m:t>
            </m:r>
          </m:e>
          <m:sub>
            <m:r>
              <m:t>i</m:t>
            </m:r>
            <m:r>
              <m:rPr>
                <m:sty m:val="p"/>
              </m:rPr>
              <m:t>,</m:t>
            </m:r>
            <m:r>
              <m:t>t</m:t>
            </m:r>
          </m:sub>
        </m:sSub>
      </m:oMath>
      <w:r>
        <w:t xml:space="preserve"> </w:t>
      </w:r>
      <w:r>
        <w:t xml:space="preserve">containing calendar, price, event, category, and lag-derived information, the forecasting task is to estimate demand</w:t>
      </w:r>
      <w:r>
        <w:t xml:space="preserve"> </w:t>
      </w:r>
      <m:oMath>
        <m:sSub>
          <m:e>
            <m:acc>
              <m:accPr>
                <m:chr m:val="̂"/>
              </m:accPr>
              <m:e>
                <m:r>
                  <m:t>y</m:t>
                </m:r>
              </m:e>
            </m:acc>
          </m:e>
          <m:sub>
            <m:r>
              <m:t>i</m:t>
            </m:r>
            <m:r>
              <m:rPr>
                <m:sty m:val="p"/>
              </m:rPr>
              <m:t>,</m:t>
            </m:r>
            <m:r>
              <m:t>t</m:t>
            </m:r>
          </m:sub>
        </m:sSub>
      </m:oMath>
      <w:r>
        <w:t xml:space="preserve"> </w:t>
      </w:r>
      <w:r>
        <w:t xml:space="preserve">over a validation horizon.</w:t>
      </w:r>
    </w:p>
    <w:bookmarkEnd w:id="16"/>
    <w:bookmarkStart w:id="17" w:name="Xfceeeb562f97731574f5cc7c5701fc50733ff26"/>
    <w:p>
      <w:pPr>
        <w:pStyle w:val="Heading2"/>
      </w:pPr>
      <w:r>
        <w:t xml:space="preserve">Temporal Representation Learning and Feature Fusion</w:t>
      </w:r>
    </w:p>
    <w:p>
      <w:pPr>
        <w:pStyle w:val="FirstParagraph"/>
      </w:pPr>
      <w:r>
        <w:t xml:space="preserve">The temporal encoder maps historical demand sequences to compact embeddings:</w:t>
      </w:r>
    </w:p>
    <w:p>
      <w:pPr>
        <w:pStyle w:val="BodyText"/>
      </w:pPr>
      <m:oMathPara>
        <m:oMathParaPr>
          <m:jc m:val="center"/>
        </m:oMathParaPr>
        <m:oMath>
          <m:sSub>
            <m:e>
              <m:r>
                <m:rPr>
                  <m:sty m:val="bi"/>
                </m:rPr>
                <m:t>z</m:t>
              </m:r>
            </m:e>
            <m:sub>
              <m:r>
                <m:t>i</m:t>
              </m:r>
              <m:r>
                <m:rPr>
                  <m:sty m:val="p"/>
                </m:rPr>
                <m:t>,</m:t>
              </m:r>
              <m:r>
                <m:t>t</m:t>
              </m:r>
            </m:sub>
          </m:sSub>
          <m:r>
            <m:rPr>
              <m:sty m:val="p"/>
            </m:rPr>
            <m:t>=</m:t>
          </m:r>
          <m:sSub>
            <m:e>
              <m:r>
                <m:t>g</m:t>
              </m:r>
            </m:e>
            <m:sub>
              <m:r>
                <m:t>θ</m:t>
              </m:r>
            </m:sub>
          </m:sSub>
          <m:r>
            <m:rPr>
              <m:sty m:val="p"/>
            </m:rPr>
            <m:t>(</m:t>
          </m:r>
          <m:sSub>
            <m:e>
              <m:r>
                <m:rPr>
                  <m:sty m:val="bi"/>
                </m:rPr>
                <m:t>y</m:t>
              </m:r>
            </m:e>
            <m:sub>
              <m:r>
                <m:t>i</m:t>
              </m:r>
              <m:r>
                <m:rPr>
                  <m:sty m:val="p"/>
                </m:rPr>
                <m:t>,</m:t>
              </m:r>
              <m:r>
                <m:t>t</m:t>
              </m:r>
              <m:r>
                <m:rPr>
                  <m:sty m:val="p"/>
                </m:rPr>
                <m:t>−</m:t>
              </m:r>
              <m:r>
                <m:t>L</m:t>
              </m:r>
              <m:r>
                <m:rPr>
                  <m:sty m:val="p"/>
                </m:rPr>
                <m:t>:</m:t>
              </m:r>
              <m:r>
                <m:t>t</m:t>
              </m:r>
              <m:r>
                <m:rPr>
                  <m:sty m:val="p"/>
                </m:rPr>
                <m:t>−</m:t>
              </m:r>
              <m:r>
                <m:t>1</m:t>
              </m:r>
            </m:sub>
          </m:sSub>
          <m:r>
            <m:rPr>
              <m:sty m:val="p"/>
            </m:rPr>
            <m:t>)</m:t>
          </m:r>
          <m:r>
            <m:rPr>
              <m:sty m:val="p"/>
            </m:rPr>
            <m:t>,</m:t>
          </m:r>
        </m:oMath>
      </m:oMathPara>
    </w:p>
    <w:p>
      <w:pPr>
        <w:pStyle w:val="FirstParagraph"/>
      </w:pPr>
      <w:r>
        <w:t xml:space="preserve">where</w:t>
      </w:r>
      <w:r>
        <w:t xml:space="preserve"> </w:t>
      </w:r>
      <m:oMath>
        <m:sSub>
          <m:e>
            <m:r>
              <m:t>g</m:t>
            </m:r>
          </m:e>
          <m:sub>
            <m:r>
              <m:t>θ</m:t>
            </m:r>
          </m:sub>
        </m:sSub>
        <m:r>
          <m:rPr>
            <m:sty m:val="p"/>
          </m:rPr>
          <m:t>(</m:t>
        </m:r>
        <m:r>
          <m:rPr>
            <m:sty m:val="p"/>
          </m:rPr>
          <m:t>⋅</m:t>
        </m:r>
        <m:r>
          <m:rPr>
            <m:sty m:val="p"/>
          </m:rPr>
          <m:t>)</m:t>
        </m:r>
      </m:oMath>
      <w:r>
        <w:t xml:space="preserve"> </w:t>
      </w:r>
      <w:r>
        <w:t xml:space="preserve">denotes a lightweight TimeMixer-style encoder inspired by multiscale temporal mixing</w:t>
      </w:r>
      <w:r>
        <w:t xml:space="preserve"> </w:t>
      </w:r>
      <w:r>
        <w:t xml:space="preserve">(Wang et al. 2024)</w:t>
      </w:r>
      <w:r>
        <w:t xml:space="preserve">. In the implementation, this component is used as a temporal feature extractor rather than as a full end-to-end replacement for the forecasting model. For each item-store/date observation, a fixed 28-day historical demand window is transformed into multiscale summary features and passed through a compact neural encoder. The fitted encoder outputs embedding columns</w:t>
      </w:r>
      <w:r>
        <w:t xml:space="preserve"> </w:t>
      </w:r>
      <m:oMath>
        <m:sSub>
          <m:e>
            <m:r>
              <m:rPr>
                <m:sty m:val="bi"/>
              </m:rPr>
              <m:t>z</m:t>
            </m:r>
          </m:e>
          <m:sub>
            <m:r>
              <m:t>i</m:t>
            </m:r>
            <m:r>
              <m:rPr>
                <m:sty m:val="p"/>
              </m:rPr>
              <m:t>,</m:t>
            </m:r>
            <m:r>
              <m:t>t</m:t>
            </m:r>
          </m:sub>
        </m:sSub>
      </m:oMath>
      <w:r>
        <w:t xml:space="preserve"> </w:t>
      </w:r>
      <w:r>
        <w:t xml:space="preserve">that summarize recent demand history.</w:t>
      </w:r>
    </w:p>
    <w:p>
      <w:pPr>
        <w:pStyle w:val="BodyText"/>
      </w:pPr>
      <w:r>
        <w:t xml:space="preserve">The forecasting model concatenates temporal embeddings with lag, rolling, calendar, price, hierarchy, item, and store features:</w:t>
      </w:r>
    </w:p>
    <w:p>
      <w:pPr>
        <w:pStyle w:val="BodyText"/>
      </w:pPr>
      <m:oMathPara>
        <m:oMathParaPr>
          <m:jc m:val="center"/>
        </m:oMathParaPr>
        <m:oMath>
          <m:sSub>
            <m:e>
              <m:r>
                <m:rPr>
                  <m:sty m:val="bi"/>
                </m:rPr>
                <m:t>h</m:t>
              </m:r>
            </m:e>
            <m:sub>
              <m:r>
                <m:t>i</m:t>
              </m:r>
              <m:r>
                <m:rPr>
                  <m:sty m:val="p"/>
                </m:rPr>
                <m:t>,</m:t>
              </m:r>
              <m:r>
                <m:t>t</m:t>
              </m:r>
            </m:sub>
          </m:sSub>
          <m:r>
            <m:rPr>
              <m:sty m:val="p"/>
            </m:rPr>
            <m:t>=</m:t>
          </m:r>
          <m:r>
            <m:rPr>
              <m:sty m:val="p"/>
            </m:rPr>
            <m:t>[</m:t>
          </m:r>
          <m:sSub>
            <m:e>
              <m:r>
                <m:rPr>
                  <m:sty m:val="bi"/>
                </m:rPr>
                <m:t>z</m:t>
              </m:r>
            </m:e>
            <m:sub>
              <m:r>
                <m:t>i</m:t>
              </m:r>
              <m:r>
                <m:rPr>
                  <m:sty m:val="p"/>
                </m:rPr>
                <m:t>,</m:t>
              </m:r>
              <m:r>
                <m:t>t</m:t>
              </m:r>
            </m:sub>
          </m:sSub>
          <m:r>
            <m:rPr>
              <m:sty m:val="p"/>
            </m:rPr>
            <m:t>;</m:t>
          </m:r>
          <m:sSub>
            <m:e>
              <m:r>
                <m:rPr>
                  <m:sty m:val="bi"/>
                </m:rPr>
                <m:t>x</m:t>
              </m:r>
            </m:e>
            <m:sub>
              <m:r>
                <m:t>i</m:t>
              </m:r>
              <m:r>
                <m:rPr>
                  <m:sty m:val="p"/>
                </m:rPr>
                <m:t>,</m:t>
              </m:r>
              <m:r>
                <m:t>t</m:t>
              </m:r>
            </m:sub>
          </m:sSub>
          <m:r>
            <m:rPr>
              <m:sty m:val="p"/>
            </m:rPr>
            <m:t>]</m:t>
          </m:r>
          <m:r>
            <m:rPr>
              <m:sty m:val="p"/>
            </m:rPr>
            <m:t>,</m:t>
          </m:r>
        </m:oMath>
      </m:oMathPara>
    </w:p>
    <w:p>
      <w:pPr>
        <w:pStyle w:val="FirstParagraph"/>
      </w:pPr>
      <w:r>
        <w:t xml:space="preserve">and passes the fused representation to a gradient-boosted forecasting layer</w:t>
      </w:r>
      <w:r>
        <w:t xml:space="preserve"> </w:t>
      </w:r>
      <w:r>
        <w:t xml:space="preserve">(Chen and Guestrin 2016)</w:t>
      </w:r>
      <w:r>
        <w:t xml:space="preserve">:</w:t>
      </w:r>
    </w:p>
    <w:p>
      <w:pPr>
        <w:pStyle w:val="BodyText"/>
      </w:pPr>
      <m:oMathPara>
        <m:oMathParaPr>
          <m:jc m:val="center"/>
        </m:oMathParaPr>
        <m:oMath>
          <m:sSub>
            <m:e>
              <m:acc>
                <m:accPr>
                  <m:chr m:val="̂"/>
                </m:accPr>
                <m:e>
                  <m:r>
                    <m:t>y</m:t>
                  </m:r>
                </m:e>
              </m:acc>
            </m:e>
            <m:sub>
              <m:r>
                <m:t>i</m:t>
              </m:r>
              <m:r>
                <m:rPr>
                  <m:sty m:val="p"/>
                </m:rPr>
                <m:t>,</m:t>
              </m:r>
              <m:r>
                <m:t>t</m:t>
              </m:r>
            </m:sub>
          </m:sSub>
          <m:r>
            <m:rPr>
              <m:sty m:val="p"/>
            </m:rPr>
            <m:t>=</m:t>
          </m:r>
          <m:sSub>
            <m:e>
              <m:r>
                <m:t>f</m:t>
              </m:r>
            </m:e>
            <m:sub>
              <m:r>
                <m:t>ϕ</m:t>
              </m:r>
            </m:sub>
          </m:sSub>
          <m:r>
            <m:rPr>
              <m:sty m:val="p"/>
            </m:rPr>
            <m:t>(</m:t>
          </m:r>
          <m:sSub>
            <m:e>
              <m:r>
                <m:rPr>
                  <m:sty m:val="bi"/>
                </m:rPr>
                <m:t>h</m:t>
              </m:r>
            </m:e>
            <m:sub>
              <m:r>
                <m:t>i</m:t>
              </m:r>
              <m:r>
                <m:rPr>
                  <m:sty m:val="p"/>
                </m:rPr>
                <m:t>,</m:t>
              </m:r>
              <m:r>
                <m:t>t</m:t>
              </m:r>
            </m:sub>
          </m:sSub>
          <m:r>
            <m:rPr>
              <m:sty m:val="p"/>
            </m:rPr>
            <m:t>)</m:t>
          </m:r>
          <m:r>
            <m:rPr>
              <m:sty m:val="p"/>
            </m:rPr>
            <m:t>.</m:t>
          </m:r>
        </m:oMath>
      </m:oMathPara>
    </w:p>
    <w:p>
      <w:pPr>
        <w:pStyle w:val="FirstParagraph"/>
      </w:pPr>
      <w:r>
        <w:t xml:space="preserve">The temporal encoder’s scaler and model are fit on training-window history sequences only. Validation observations are transformed with the train-fitted encoder and scaler, and demand lag/rolling features are computed from shifted historical demand. This design allows sequence dynamics and tabular operational context to contribute jointly to each forecast while preserving the chronological validation setup.</w:t>
      </w:r>
    </w:p>
    <w:bookmarkEnd w:id="17"/>
    <w:bookmarkStart w:id="18" w:name="stability-aware-objective"/>
    <w:p>
      <w:pPr>
        <w:pStyle w:val="Heading2"/>
      </w:pPr>
      <w:r>
        <w:t xml:space="preserve">Stability-Aware Objective</w:t>
      </w:r>
    </w:p>
    <w:p>
      <w:pPr>
        <w:pStyle w:val="FirstParagraph"/>
      </w:pPr>
      <w:r>
        <w:t xml:space="preserve">The forecast loss is mean squared error:</w:t>
      </w:r>
    </w:p>
    <w:p>
      <w:pPr>
        <w:pStyle w:val="BodyText"/>
      </w:pPr>
      <m:oMathPara>
        <m:oMathParaPr>
          <m:jc m:val="center"/>
        </m:oMathParaPr>
        <m:oMath>
          <m:sSub>
            <m:e>
              <m:r>
                <m:rPr>
                  <m:scr m:val="script"/>
                  <m:sty m:val="p"/>
                </m:rPr>
                <m:t>L</m:t>
              </m:r>
            </m:e>
            <m:sub>
              <m:r>
                <m:rPr>
                  <m:sty m:val="p"/>
                </m:rPr>
                <m:t>f</m:t>
              </m:r>
              <m:r>
                <m:rPr>
                  <m:sty m:val="p"/>
                </m:rPr>
                <m:t>o</m:t>
              </m:r>
              <m:r>
                <m:rPr>
                  <m:sty m:val="p"/>
                </m:rPr>
                <m:t>r</m:t>
              </m:r>
              <m:r>
                <m:rPr>
                  <m:sty m:val="p"/>
                </m:rPr>
                <m:t>e</m:t>
              </m:r>
              <m:r>
                <m:rPr>
                  <m:sty m:val="p"/>
                </m:rPr>
                <m:t>c</m:t>
              </m:r>
              <m:r>
                <m:rPr>
                  <m:sty m:val="p"/>
                </m:rPr>
                <m:t>a</m:t>
              </m:r>
              <m:r>
                <m:rPr>
                  <m:sty m:val="p"/>
                </m:rPr>
                <m:t>s</m:t>
              </m:r>
              <m:r>
                <m:rPr>
                  <m:sty m:val="p"/>
                </m:rPr>
                <m:t>t</m:t>
              </m:r>
            </m:sub>
          </m:sSub>
          <m:r>
            <m:rPr>
              <m:sty m:val="p"/>
            </m:rPr>
            <m:t>=</m:t>
          </m:r>
          <m:f>
            <m:fPr>
              <m:type m:val="bar"/>
            </m:fPr>
            <m:num>
              <m:r>
                <m:t>1</m:t>
              </m:r>
            </m:num>
            <m:den>
              <m:r>
                <m:t>N</m:t>
              </m:r>
            </m:den>
          </m:f>
          <m:nary>
            <m:naryPr>
              <m:chr m:val="∑"/>
              <m:limLoc m:val="undOvr"/>
              <m:subHide m:val="off"/>
              <m:supHide m:val="on"/>
            </m:naryPr>
            <m:sub>
              <m:r>
                <m:t>i</m:t>
              </m:r>
              <m:r>
                <m:rPr>
                  <m:sty m:val="p"/>
                </m:rPr>
                <m:t>,</m:t>
              </m:r>
              <m:r>
                <m:t>t</m:t>
              </m:r>
            </m:sub>
            <m:sup>
              <m:r>
                <m:t>​</m:t>
              </m:r>
            </m:sup>
            <m:e>
              <m:r>
                <m:rPr>
                  <m:sty m:val="p"/>
                </m:rPr>
                <m:t>(</m:t>
              </m:r>
            </m:e>
          </m:nary>
          <m:sSub>
            <m:e>
              <m:r>
                <m:t>y</m:t>
              </m:r>
            </m:e>
            <m:sub>
              <m:r>
                <m:t>i</m:t>
              </m:r>
              <m:r>
                <m:rPr>
                  <m:sty m:val="p"/>
                </m:rPr>
                <m:t>,</m:t>
              </m:r>
              <m:r>
                <m:t>t</m:t>
              </m:r>
            </m:sub>
          </m:sSub>
          <m:r>
            <m:rPr>
              <m:sty m:val="p"/>
            </m:rPr>
            <m:t>−</m:t>
          </m:r>
          <m:sSub>
            <m:e>
              <m:acc>
                <m:accPr>
                  <m:chr m:val="̂"/>
                </m:accPr>
                <m:e>
                  <m:r>
                    <m:t>y</m:t>
                  </m:r>
                </m:e>
              </m:acc>
            </m:e>
            <m:sub>
              <m:r>
                <m:t>i</m:t>
              </m:r>
              <m:r>
                <m:rPr>
                  <m:sty m:val="p"/>
                </m:rPr>
                <m:t>,</m:t>
              </m:r>
              <m:r>
                <m:t>t</m:t>
              </m:r>
            </m:sub>
          </m:sSub>
          <m:sSup>
            <m:e>
              <m:r>
                <m:rPr>
                  <m:sty m:val="p"/>
                </m:rPr>
                <m:t>)</m:t>
              </m:r>
            </m:e>
            <m:sup>
              <m:r>
                <m:t>2</m:t>
              </m:r>
            </m:sup>
          </m:sSup>
          <m:r>
            <m:rPr>
              <m:sty m:val="p"/>
            </m:rPr>
            <m:t>.</m:t>
          </m:r>
        </m:oMath>
      </m:oMathPara>
    </w:p>
    <w:p>
      <w:pPr>
        <w:pStyle w:val="FirstParagraph"/>
      </w:pPr>
      <w:r>
        <w:t xml:space="preserve">The stability loss penalizes consecutive forecast changes within each demand series:</w:t>
      </w:r>
    </w:p>
    <w:p>
      <w:pPr>
        <w:pStyle w:val="BodyText"/>
      </w:pPr>
      <m:oMathPara>
        <m:oMathParaPr>
          <m:jc m:val="center"/>
        </m:oMathParaPr>
        <m:oMath>
          <m:sSub>
            <m:e>
              <m:r>
                <m:rPr>
                  <m:scr m:val="script"/>
                  <m:sty m:val="p"/>
                </m:rPr>
                <m:t>L</m:t>
              </m:r>
            </m:e>
            <m:sub>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sub>
          </m:sSub>
          <m:r>
            <m:rPr>
              <m:sty m:val="p"/>
            </m:rPr>
            <m:t>=</m:t>
          </m:r>
          <m:f>
            <m:fPr>
              <m:type m:val="bar"/>
            </m:fPr>
            <m:num>
              <m:r>
                <m:t>1</m:t>
              </m:r>
            </m:num>
            <m:den>
              <m:sSub>
                <m:e>
                  <m:r>
                    <m:t>N</m:t>
                  </m:r>
                </m:e>
                <m:sub>
                  <m:r>
                    <m:t>s</m:t>
                  </m:r>
                </m:sub>
              </m:sSub>
            </m:den>
          </m:f>
          <m:nary>
            <m:naryPr>
              <m:chr m:val="∑"/>
              <m:limLoc m:val="undOvr"/>
              <m:subHide m:val="off"/>
              <m:supHide m:val="on"/>
            </m:naryPr>
            <m:sub>
              <m:r>
                <m:t>i</m:t>
              </m:r>
            </m:sub>
            <m:sup>
              <m:r>
                <m:t>​</m:t>
              </m:r>
            </m:sup>
            <m:e>
              <m:nary>
                <m:naryPr>
                  <m:chr m:val="∑"/>
                  <m:limLoc m:val="undOvr"/>
                  <m:subHide m:val="off"/>
                  <m:supHide m:val="on"/>
                </m:naryPr>
                <m:sub>
                  <m:r>
                    <m:t>t</m:t>
                  </m:r>
                  <m:r>
                    <m:rPr>
                      <m:sty m:val="p"/>
                    </m:rPr>
                    <m:t>&gt;</m:t>
                  </m:r>
                  <m:r>
                    <m:t>1</m:t>
                  </m:r>
                </m:sub>
                <m:sup>
                  <m:r>
                    <m:t>​</m:t>
                  </m:r>
                </m:sup>
                <m:e>
                  <m:d>
                    <m:dPr>
                      <m:begChr m:val="|"/>
                      <m:sepChr m:val=""/>
                      <m:endChr m:val="|"/>
                      <m:grow/>
                    </m:dPr>
                    <m:e>
                      <m:sSub>
                        <m:e>
                          <m:acc>
                            <m:accPr>
                              <m:chr m:val="̂"/>
                            </m:accPr>
                            <m:e>
                              <m:r>
                                <m:t>y</m:t>
                              </m:r>
                            </m:e>
                          </m:acc>
                        </m:e>
                        <m:sub>
                          <m:r>
                            <m:t>i</m:t>
                          </m:r>
                          <m:r>
                            <m:rPr>
                              <m:sty m:val="p"/>
                            </m:rPr>
                            <m:t>,</m:t>
                          </m:r>
                          <m:r>
                            <m:t>t</m:t>
                          </m:r>
                        </m:sub>
                      </m:sSub>
                      <m:r>
                        <m:rPr>
                          <m:sty m:val="p"/>
                        </m:rPr>
                        <m:t>−</m:t>
                      </m:r>
                      <m:sSub>
                        <m:e>
                          <m:acc>
                            <m:accPr>
                              <m:chr m:val="̂"/>
                            </m:accPr>
                            <m:e>
                              <m:r>
                                <m:t>y</m:t>
                              </m:r>
                            </m:e>
                          </m:acc>
                        </m:e>
                        <m:sub>
                          <m:r>
                            <m:t>i</m:t>
                          </m:r>
                          <m:r>
                            <m:rPr>
                              <m:sty m:val="p"/>
                            </m:rPr>
                            <m:t>,</m:t>
                          </m:r>
                          <m:r>
                            <m:t>t</m:t>
                          </m:r>
                          <m:r>
                            <m:rPr>
                              <m:sty m:val="p"/>
                            </m:rPr>
                            <m:t>−</m:t>
                          </m:r>
                          <m:r>
                            <m:t>1</m:t>
                          </m:r>
                        </m:sub>
                      </m:sSub>
                    </m:e>
                  </m:d>
                </m:e>
              </m:nary>
            </m:e>
          </m:nary>
          <m:r>
            <m:rPr>
              <m:sty m:val="p"/>
            </m:rPr>
            <m:t>,</m:t>
          </m:r>
        </m:oMath>
      </m:oMathPara>
    </w:p>
    <w:p>
      <w:pPr>
        <w:pStyle w:val="FirstParagraph"/>
      </w:pPr>
      <w:r>
        <w:t xml:space="preserve">where</w:t>
      </w:r>
      <w:r>
        <w:t xml:space="preserve"> </w:t>
      </w:r>
      <m:oMath>
        <m:sSub>
          <m:e>
            <m:r>
              <m:t>N</m:t>
            </m:r>
          </m:e>
          <m:sub>
            <m:r>
              <m:t>s</m:t>
            </m:r>
          </m:sub>
        </m:sSub>
      </m:oMath>
      <w:r>
        <w:t xml:space="preserve"> </w:t>
      </w:r>
      <w:r>
        <w:t xml:space="preserve">is the number of valid adjacent same-series prediction pairs. The total objective is</w:t>
      </w:r>
    </w:p>
    <w:p>
      <w:pPr>
        <w:pStyle w:val="BodyText"/>
      </w:pPr>
      <m:oMathPara>
        <m:oMathParaPr>
          <m:jc m:val="center"/>
        </m:oMathParaPr>
        <m:oMath>
          <m:sSub>
            <m:e>
              <m:r>
                <m:rPr>
                  <m:scr m:val="script"/>
                  <m:sty m:val="p"/>
                </m:rPr>
                <m:t>L</m:t>
              </m:r>
            </m:e>
            <m:sub>
              <m:r>
                <m:rPr>
                  <m:sty m:val="p"/>
                </m:rPr>
                <m:t>t</m:t>
              </m:r>
              <m:r>
                <m:rPr>
                  <m:sty m:val="p"/>
                </m:rPr>
                <m:t>o</m:t>
              </m:r>
              <m:r>
                <m:rPr>
                  <m:sty m:val="p"/>
                </m:rPr>
                <m:t>t</m:t>
              </m:r>
              <m:r>
                <m:rPr>
                  <m:sty m:val="p"/>
                </m:rPr>
                <m:t>a</m:t>
              </m:r>
              <m:r>
                <m:rPr>
                  <m:sty m:val="p"/>
                </m:rPr>
                <m:t>l</m:t>
              </m:r>
            </m:sub>
          </m:sSub>
          <m:r>
            <m:rPr>
              <m:sty m:val="p"/>
            </m:rPr>
            <m:t>=</m:t>
          </m:r>
          <m:sSub>
            <m:e>
              <m:r>
                <m:rPr>
                  <m:scr m:val="script"/>
                  <m:sty m:val="p"/>
                </m:rPr>
                <m:t>L</m:t>
              </m:r>
            </m:e>
            <m:sub>
              <m:r>
                <m:rPr>
                  <m:sty m:val="p"/>
                </m:rPr>
                <m:t>f</m:t>
              </m:r>
              <m:r>
                <m:rPr>
                  <m:sty m:val="p"/>
                </m:rPr>
                <m:t>o</m:t>
              </m:r>
              <m:r>
                <m:rPr>
                  <m:sty m:val="p"/>
                </m:rPr>
                <m:t>r</m:t>
              </m:r>
              <m:r>
                <m:rPr>
                  <m:sty m:val="p"/>
                </m:rPr>
                <m:t>e</m:t>
              </m:r>
              <m:r>
                <m:rPr>
                  <m:sty m:val="p"/>
                </m:rPr>
                <m:t>c</m:t>
              </m:r>
              <m:r>
                <m:rPr>
                  <m:sty m:val="p"/>
                </m:rPr>
                <m:t>a</m:t>
              </m:r>
              <m:r>
                <m:rPr>
                  <m:sty m:val="p"/>
                </m:rPr>
                <m:t>s</m:t>
              </m:r>
              <m:r>
                <m:rPr>
                  <m:sty m:val="p"/>
                </m:rPr>
                <m:t>t</m:t>
              </m:r>
            </m:sub>
          </m:sSub>
          <m:r>
            <m:rPr>
              <m:sty m:val="p"/>
            </m:rPr>
            <m:t>+</m:t>
          </m:r>
          <m:r>
            <m:t>λ</m:t>
          </m:r>
          <m:sSub>
            <m:e>
              <m:r>
                <m:rPr>
                  <m:scr m:val="script"/>
                  <m:sty m:val="p"/>
                </m:rPr>
                <m:t>L</m:t>
              </m:r>
            </m:e>
            <m:sub>
              <m:r>
                <m:rPr>
                  <m:sty m:val="p"/>
                </m:rPr>
                <m:t>s</m:t>
              </m:r>
              <m:r>
                <m:rPr>
                  <m:sty m:val="p"/>
                </m:rPr>
                <m:t>t</m:t>
              </m:r>
              <m:r>
                <m:rPr>
                  <m:sty m:val="p"/>
                </m:rPr>
                <m:t>a</m:t>
              </m:r>
              <m:r>
                <m:rPr>
                  <m:sty m:val="p"/>
                </m:rPr>
                <m:t>b</m:t>
              </m:r>
              <m:r>
                <m:rPr>
                  <m:sty m:val="p"/>
                </m:rPr>
                <m:t>i</m:t>
              </m:r>
              <m:r>
                <m:rPr>
                  <m:sty m:val="p"/>
                </m:rPr>
                <m:t>l</m:t>
              </m:r>
              <m:r>
                <m:rPr>
                  <m:sty m:val="p"/>
                </m:rPr>
                <m:t>i</m:t>
              </m:r>
              <m:r>
                <m:rPr>
                  <m:sty m:val="p"/>
                </m:rPr>
                <m:t>t</m:t>
              </m:r>
              <m:r>
                <m:rPr>
                  <m:sty m:val="p"/>
                </m:rPr>
                <m:t>y</m:t>
              </m:r>
            </m:sub>
          </m:sSub>
          <m:r>
            <m:rPr>
              <m:sty m:val="p"/>
            </m:rPr>
            <m:t>,</m:t>
          </m:r>
        </m:oMath>
      </m:oMathPara>
    </w:p>
    <w:p>
      <w:pPr>
        <w:pStyle w:val="FirstParagraph"/>
      </w:pPr>
      <w:r>
        <w:t xml:space="preserve">where</w:t>
      </w:r>
      <w:r>
        <w:t xml:space="preserve"> </w:t>
      </w:r>
      <m:oMath>
        <m:r>
          <m:t>λ</m:t>
        </m:r>
      </m:oMath>
      <w:r>
        <w:t xml:space="preserve"> </w:t>
      </w:r>
      <w:r>
        <w:t xml:space="preserve">controls the stability-accuracy trade-off. We evaluate</w:t>
      </w:r>
      <w:r>
        <w:t xml:space="preserve"> </w:t>
      </w:r>
      <m:oMath>
        <m:r>
          <m:t>λ</m:t>
        </m:r>
        <m:r>
          <m:rPr>
            <m:sty m:val="p"/>
          </m:rPr>
          <m:t>∈</m:t>
        </m:r>
        <m:r>
          <m:rPr>
            <m:sty m:val="p"/>
          </m:rPr>
          <m:t>{</m:t>
        </m:r>
        <m:r>
          <m:t>0</m:t>
        </m:r>
        <m:r>
          <m:rPr>
            <m:sty m:val="p"/>
          </m:rPr>
          <m:t>,</m:t>
        </m:r>
        <m:r>
          <m:t>0.01</m:t>
        </m:r>
        <m:r>
          <m:rPr>
            <m:sty m:val="p"/>
          </m:rPr>
          <m:t>,</m:t>
        </m:r>
        <m:r>
          <m:t>0.05</m:t>
        </m:r>
        <m:r>
          <m:rPr>
            <m:sty m:val="p"/>
          </m:rPr>
          <m:t>,</m:t>
        </m:r>
        <m:r>
          <m:t>0.1</m:t>
        </m:r>
        <m:r>
          <m:rPr>
            <m:sty m:val="p"/>
          </m:rPr>
          <m:t>,</m:t>
        </m:r>
        <m:r>
          <m:t>0.5</m:t>
        </m:r>
        <m:r>
          <m:rPr>
            <m:sty m:val="p"/>
          </m:rPr>
          <m:t>}</m:t>
        </m:r>
      </m:oMath>
      <w:r>
        <w:t xml:space="preserve"> </w:t>
      </w:r>
      <w:r>
        <w:t xml:space="preserve">and use</w:t>
      </w:r>
      <w:r>
        <w:t xml:space="preserve"> </w:t>
      </w:r>
      <m:oMath>
        <m:r>
          <m:t>λ</m:t>
        </m:r>
        <m:r>
          <m:rPr>
            <m:sty m:val="p"/>
          </m:rPr>
          <m:t>=</m:t>
        </m:r>
        <m:r>
          <m:t>0.05</m:t>
        </m:r>
      </m:oMath>
      <w:r>
        <w:t xml:space="preserve"> </w:t>
      </w:r>
      <w:r>
        <w:t xml:space="preserve">for the final model.</w:t>
      </w:r>
    </w:p>
    <w:bookmarkEnd w:id="18"/>
    <w:bookmarkStart w:id="19" w:name="Xbe6978948b6729aa4daa3630b45af4823dd852f"/>
    <w:p>
      <w:pPr>
        <w:pStyle w:val="Heading2"/>
      </w:pPr>
      <w:r>
        <w:t xml:space="preserve">Implementation of the Stability-Aware XGBoost Objective</w:t>
      </w:r>
    </w:p>
    <w:p>
      <w:pPr>
        <w:pStyle w:val="FirstParagraph"/>
      </w:pPr>
      <w:r>
        <w:t xml:space="preserve">The stability-aware objective is implemented through the XGBoost custom-objective interface, which requires row-level gradients and Hessians. The MSE component contributes the standard squared-error gradient</w:t>
      </w:r>
      <w:r>
        <w:t xml:space="preserve"> </w:t>
      </w:r>
      <m:oMath>
        <m:r>
          <m:t>2</m:t>
        </m:r>
        <m:r>
          <m:rPr>
            <m:sty m:val="p"/>
          </m:rPr>
          <m:t>(</m:t>
        </m:r>
        <m:sSub>
          <m:e>
            <m:acc>
              <m:accPr>
                <m:chr m:val="̂"/>
              </m:accPr>
              <m:e>
                <m:r>
                  <m:t>y</m:t>
                </m:r>
              </m:e>
            </m:acc>
          </m:e>
          <m:sub>
            <m:r>
              <m:t>i</m:t>
            </m:r>
            <m:r>
              <m:rPr>
                <m:sty m:val="p"/>
              </m:rPr>
              <m:t>,</m:t>
            </m:r>
            <m:r>
              <m:t>t</m:t>
            </m:r>
          </m:sub>
        </m:sSub>
        <m:r>
          <m:rPr>
            <m:sty m:val="p"/>
          </m:rPr>
          <m:t>−</m:t>
        </m:r>
        <m:sSub>
          <m:e>
            <m:r>
              <m:t>y</m:t>
            </m:r>
          </m:e>
          <m:sub>
            <m:r>
              <m:t>i</m:t>
            </m:r>
            <m:r>
              <m:rPr>
                <m:sty m:val="p"/>
              </m:rPr>
              <m:t>,</m:t>
            </m:r>
            <m:r>
              <m:t>t</m:t>
            </m:r>
          </m:sub>
        </m:sSub>
        <m:r>
          <m:rPr>
            <m:sty m:val="p"/>
          </m:rPr>
          <m:t>)</m:t>
        </m:r>
      </m:oMath>
      <w:r>
        <w:t xml:space="preserve"> </w:t>
      </w:r>
      <w:r>
        <w:t xml:space="preserve">and a positive Hessian of 2 for each training row. The stability context is built after sorting the training frame by item-store series and day index. Adjacent prediction differences are then computed only for consecutive rows belonging to the same series and consecutive days.</w:t>
      </w:r>
    </w:p>
    <w:p>
      <w:pPr>
        <w:pStyle w:val="BodyText"/>
      </w:pPr>
      <w:r>
        <w:t xml:space="preserve">For each valid adjacent pair, the absolute-change penalty contributes a sign subgradient to the later observation and the opposite subgradient to the preceding observation. Interior observations can therefore receive contributions from both neighboring same-series prediction differences, while boundary observations receive only one adjacent contribution. In the implementation, the sign term is numerically stabilized by dividing each difference by</w:t>
      </w:r>
      <w:r>
        <w:t xml:space="preserve"> </w:t>
      </w:r>
      <m:oMath>
        <m:r>
          <m:rPr>
            <m:sty m:val="p"/>
          </m:rPr>
          <m:t>max</m:t>
        </m:r>
        <m:r>
          <m:rPr>
            <m:sty m:val="p"/>
          </m:rPr>
          <m:t>(</m:t>
        </m:r>
        <m:r>
          <m:rPr>
            <m:sty m:val="p"/>
          </m:rPr>
          <m:t>|</m:t>
        </m:r>
        <m:r>
          <m:rPr>
            <m:sty m:val="p"/>
          </m:rPr>
          <m:t>Δ</m:t>
        </m:r>
        <m:r>
          <m:rPr>
            <m:sty m:val="p"/>
          </m:rPr>
          <m:t>|</m:t>
        </m:r>
        <m:r>
          <m:rPr>
            <m:sty m:val="p"/>
          </m:rPr>
          <m:t>,</m:t>
        </m:r>
        <m:r>
          <m:t>ϵ</m:t>
        </m:r>
        <m:r>
          <m:rPr>
            <m:sty m:val="p"/>
          </m:rPr>
          <m:t>)</m:t>
        </m:r>
      </m:oMath>
      <w:r>
        <w:t xml:space="preserve">, and the Hessian is kept positive by adding a small</w:t>
      </w:r>
      <w:r>
        <w:t xml:space="preserve"> </w:t>
      </w:r>
      <m:oMath>
        <m:r>
          <m:t>λ</m:t>
        </m:r>
        <m:r>
          <m:t>ϵ</m:t>
        </m:r>
      </m:oMath>
      <w:r>
        <w:t xml:space="preserve"> </w:t>
      </w:r>
      <w:r>
        <w:t xml:space="preserve">term. The stability term is formed from training-window predictions only; validation and test targets are not used when constructing the objective. The regularizer therefore acts as training-time within-series movement control, not as post-hoc smoothing or global smoothing across unrelated products or stores. The leakage-audit appendix table confirms the time-based train-validation separation, shifted lag and rolling features, train-fitted encoders, and same-series training-only stability pairs.</w:t>
      </w:r>
    </w:p>
    <w:bookmarkEnd w:id="19"/>
    <w:bookmarkStart w:id="20" w:name="post-processing-smoothing-baseline"/>
    <w:p>
      <w:pPr>
        <w:pStyle w:val="Heading2"/>
      </w:pPr>
      <w:r>
        <w:t xml:space="preserve">Post-Processing Smoothing Baseline</w:t>
      </w:r>
    </w:p>
    <w:p>
      <w:pPr>
        <w:pStyle w:val="FirstParagraph"/>
      </w:pPr>
      <w:r>
        <w:t xml:space="preserve">To separate training-time stability regularization from post-hoc smoothing, we also evaluate exponential smoothing applied after prediction, following the broad use of exponential-smoothing ideas in forecasting and robust forecasting</w:t>
      </w:r>
      <w:r>
        <w:t xml:space="preserve"> </w:t>
      </w:r>
      <w:r>
        <w:t xml:space="preserve">(Barrow et al. 2020;</w:t>
      </w:r>
      <w:r>
        <w:t xml:space="preserve"> </w:t>
      </w:r>
      <w:r>
        <w:t xml:space="preserve">Petropoulos et al.</w:t>
      </w:r>
      <w:r>
        <w:t xml:space="preserve"> </w:t>
      </w:r>
      <w:r>
        <w:t xml:space="preserve">2022)</w:t>
      </w:r>
      <w:r>
        <w:t xml:space="preserve">:</w:t>
      </w:r>
    </w:p>
    <w:p>
      <w:pPr>
        <w:pStyle w:val="BodyText"/>
      </w:pPr>
      <m:oMathPara>
        <m:oMathParaPr>
          <m:jc m:val="center"/>
        </m:oMathParaPr>
        <m:oMath>
          <m:sSub>
            <m:e>
              <m:acc>
                <m:accPr>
                  <m:chr m:val="̃"/>
                </m:accPr>
                <m:e>
                  <m:r>
                    <m:t>y</m:t>
                  </m:r>
                </m:e>
              </m:acc>
            </m:e>
            <m:sub>
              <m:r>
                <m:t>i</m:t>
              </m:r>
              <m:r>
                <m:rPr>
                  <m:sty m:val="p"/>
                </m:rPr>
                <m:t>,</m:t>
              </m:r>
              <m:r>
                <m:t>t</m:t>
              </m:r>
            </m:sub>
          </m:sSub>
          <m:r>
            <m:rPr>
              <m:sty m:val="p"/>
            </m:rPr>
            <m:t>=</m:t>
          </m:r>
          <m:r>
            <m:t>α</m:t>
          </m:r>
          <m:sSub>
            <m:e>
              <m:acc>
                <m:accPr>
                  <m:chr m:val="̂"/>
                </m:accPr>
                <m:e>
                  <m:r>
                    <m:t>y</m:t>
                  </m:r>
                </m:e>
              </m:acc>
            </m:e>
            <m:sub>
              <m:r>
                <m:t>i</m:t>
              </m:r>
              <m:r>
                <m:rPr>
                  <m:sty m:val="p"/>
                </m:rPr>
                <m:t>,</m:t>
              </m:r>
              <m:r>
                <m:t>t</m:t>
              </m:r>
            </m:sub>
          </m:sSub>
          <m:r>
            <m:rPr>
              <m:sty m:val="p"/>
            </m:rPr>
            <m:t>+</m:t>
          </m:r>
          <m:r>
            <m:rPr>
              <m:sty m:val="p"/>
            </m:rPr>
            <m:t>(</m:t>
          </m:r>
          <m:r>
            <m:t>1</m:t>
          </m:r>
          <m:r>
            <m:rPr>
              <m:sty m:val="p"/>
            </m:rPr>
            <m:t>−</m:t>
          </m:r>
          <m:r>
            <m:t>α</m:t>
          </m:r>
          <m:r>
            <m:rPr>
              <m:sty m:val="p"/>
            </m:rPr>
            <m:t>)</m:t>
          </m:r>
          <m:sSub>
            <m:e>
              <m:acc>
                <m:accPr>
                  <m:chr m:val="̃"/>
                </m:accPr>
                <m:e>
                  <m:r>
                    <m:t>y</m:t>
                  </m:r>
                </m:e>
              </m:acc>
            </m:e>
            <m:sub>
              <m:r>
                <m:t>i</m:t>
              </m:r>
              <m:r>
                <m:rPr>
                  <m:sty m:val="p"/>
                </m:rPr>
                <m:t>,</m:t>
              </m:r>
              <m:r>
                <m:t>t</m:t>
              </m:r>
              <m:r>
                <m:rPr>
                  <m:sty m:val="p"/>
                </m:rPr>
                <m:t>−</m:t>
              </m:r>
              <m:r>
                <m:t>1</m:t>
              </m:r>
            </m:sub>
          </m:sSub>
          <m:r>
            <m:rPr>
              <m:sty m:val="p"/>
            </m:rPr>
            <m:t>,</m:t>
          </m:r>
        </m:oMath>
      </m:oMathPara>
    </w:p>
    <w:p>
      <w:pPr>
        <w:pStyle w:val="FirstParagraph"/>
      </w:pPr>
      <w:r>
        <w:t xml:space="preserve">with</w:t>
      </w:r>
      <w:r>
        <w:t xml:space="preserve"> </w:t>
      </w:r>
      <m:oMath>
        <m:r>
          <m:t>α</m:t>
        </m:r>
        <m:r>
          <m:rPr>
            <m:sty m:val="p"/>
          </m:rPr>
          <m:t>∈</m:t>
        </m:r>
        <m:r>
          <m:rPr>
            <m:sty m:val="p"/>
          </m:rPr>
          <m:t>{</m:t>
        </m:r>
        <m:r>
          <m:t>0.5</m:t>
        </m:r>
        <m:r>
          <m:rPr>
            <m:sty m:val="p"/>
          </m:rPr>
          <m:t>,</m:t>
        </m:r>
        <m:r>
          <m:t>0.7</m:t>
        </m:r>
        <m:r>
          <m:rPr>
            <m:sty m:val="p"/>
          </m:rPr>
          <m:t>,</m:t>
        </m:r>
        <m:r>
          <m:t>0.9</m:t>
        </m:r>
        <m:r>
          <m:rPr>
            <m:sty m:val="p"/>
          </m:rPr>
          <m:t>}</m:t>
        </m:r>
      </m:oMath>
      <w:r>
        <w:t xml:space="preserve">. Smoothing is applied independently within each demand series and only to model predictions. It does not change the fitted forecasting model or use validation targets.</w:t>
      </w:r>
    </w:p>
    <w:bookmarkEnd w:id="20"/>
    <w:bookmarkStart w:id="21" w:name="evaluation-metrics"/>
    <w:p>
      <w:pPr>
        <w:pStyle w:val="Heading2"/>
      </w:pPr>
      <w:r>
        <w:t xml:space="preserve">Evaluation Metrics</w:t>
      </w:r>
    </w:p>
    <w:p>
      <w:pPr>
        <w:pStyle w:val="FirstParagraph"/>
      </w:pPr>
      <w:r>
        <w:t xml:space="preserve">We report MAE, RMSE, WAPE, Forecast Stability Score (FSS), normalized FSS (nFSS), forecast volatility, runtime, and relative changes against XGBoost. Following forecasting-metric guidance for scale-dependent and percentage error measures</w:t>
      </w:r>
      <w:r>
        <w:t xml:space="preserve"> </w:t>
      </w:r>
      <w:r>
        <w:t xml:space="preserve">(Hyndman and Koehler 2006;</w:t>
      </w:r>
      <w:r>
        <w:t xml:space="preserve"> </w:t>
      </w:r>
      <w:r>
        <w:t xml:space="preserve">Petropoulos et al.</w:t>
      </w:r>
      <w:r>
        <w:t xml:space="preserve"> </w:t>
      </w:r>
      <w:r>
        <w:t xml:space="preserve">2022)</w:t>
      </w:r>
      <w:r>
        <w:t xml:space="preserve">, WAPE is defined as</w:t>
      </w:r>
    </w:p>
    <w:p>
      <w:pPr>
        <w:pStyle w:val="BodyText"/>
      </w:pPr>
      <m:oMathPara>
        <m:oMathParaPr>
          <m:jc m:val="center"/>
        </m:oMathParaPr>
        <m:oMath>
          <m:r>
            <m:rPr>
              <m:sty m:val="p"/>
            </m:rPr>
            <m:t>W</m:t>
          </m:r>
          <m:r>
            <m:rPr>
              <m:sty m:val="p"/>
            </m:rPr>
            <m:t>A</m:t>
          </m:r>
          <m:r>
            <m:rPr>
              <m:sty m:val="p"/>
            </m:rPr>
            <m:t>P</m:t>
          </m:r>
          <m:r>
            <m:rPr>
              <m:sty m:val="p"/>
            </m:rPr>
            <m:t>E</m:t>
          </m:r>
          <m:r>
            <m:rPr>
              <m:sty m:val="p"/>
            </m:rPr>
            <m:t>=</m:t>
          </m:r>
          <m:r>
            <m:t>100</m:t>
          </m:r>
          <m:r>
            <m:rPr>
              <m:sty m:val="p"/>
            </m:rPr>
            <m:t>×</m:t>
          </m:r>
          <m:f>
            <m:fPr>
              <m:type m:val="bar"/>
            </m:fPr>
            <m:num>
              <m:nary>
                <m:naryPr>
                  <m:chr m:val="∑"/>
                  <m:limLoc m:val="undOvr"/>
                  <m:subHide m:val="off"/>
                  <m:supHide m:val="on"/>
                </m:naryPr>
                <m:sub>
                  <m:r>
                    <m:t>i</m:t>
                  </m:r>
                  <m:r>
                    <m:rPr>
                      <m:sty m:val="p"/>
                    </m:rPr>
                    <m:t>,</m:t>
                  </m:r>
                  <m:r>
                    <m:t>t</m:t>
                  </m:r>
                </m:sub>
                <m:sup>
                  <m:r>
                    <m:t>​</m:t>
                  </m:r>
                </m:sup>
                <m:e>
                  <m:r>
                    <m:rPr>
                      <m:sty m:val="p"/>
                    </m:rPr>
                    <m:t>|</m:t>
                  </m:r>
                </m:e>
              </m:nary>
              <m:sSub>
                <m:e>
                  <m:r>
                    <m:t>y</m:t>
                  </m:r>
                </m:e>
                <m:sub>
                  <m:r>
                    <m:t>i</m:t>
                  </m:r>
                  <m:r>
                    <m:rPr>
                      <m:sty m:val="p"/>
                    </m:rPr>
                    <m:t>,</m:t>
                  </m:r>
                  <m:r>
                    <m:t>t</m:t>
                  </m:r>
                </m:sub>
              </m:sSub>
              <m:r>
                <m:rPr>
                  <m:sty m:val="p"/>
                </m:rPr>
                <m:t>−</m:t>
              </m:r>
              <m:sSub>
                <m:e>
                  <m:acc>
                    <m:accPr>
                      <m:chr m:val="̂"/>
                    </m:accPr>
                    <m:e>
                      <m:r>
                        <m:t>y</m:t>
                      </m:r>
                    </m:e>
                  </m:acc>
                </m:e>
                <m:sub>
                  <m:r>
                    <m:t>i</m:t>
                  </m:r>
                  <m:r>
                    <m:rPr>
                      <m:sty m:val="p"/>
                    </m:rPr>
                    <m:t>,</m:t>
                  </m:r>
                  <m:r>
                    <m:t>t</m:t>
                  </m:r>
                </m:sub>
              </m:sSub>
              <m:r>
                <m:rPr>
                  <m:sty m:val="p"/>
                </m:rPr>
                <m:t>|</m:t>
              </m:r>
            </m:num>
            <m:den>
              <m:nary>
                <m:naryPr>
                  <m:chr m:val="∑"/>
                  <m:limLoc m:val="undOvr"/>
                  <m:subHide m:val="off"/>
                  <m:supHide m:val="on"/>
                </m:naryPr>
                <m:sub>
                  <m:r>
                    <m:t>i</m:t>
                  </m:r>
                  <m:r>
                    <m:rPr>
                      <m:sty m:val="p"/>
                    </m:rPr>
                    <m:t>,</m:t>
                  </m:r>
                  <m:r>
                    <m:t>t</m:t>
                  </m:r>
                </m:sub>
                <m:sup>
                  <m:r>
                    <m:t>​</m:t>
                  </m:r>
                </m:sup>
                <m:e>
                  <m:r>
                    <m:rPr>
                      <m:sty m:val="p"/>
                    </m:rPr>
                    <m:t>|</m:t>
                  </m:r>
                </m:e>
              </m:nary>
              <m:sSub>
                <m:e>
                  <m:r>
                    <m:t>y</m:t>
                  </m:r>
                </m:e>
                <m:sub>
                  <m:r>
                    <m:t>i</m:t>
                  </m:r>
                  <m:r>
                    <m:rPr>
                      <m:sty m:val="p"/>
                    </m:rPr>
                    <m:t>,</m:t>
                  </m:r>
                  <m:r>
                    <m:t>t</m:t>
                  </m:r>
                </m:sub>
              </m:sSub>
              <m:r>
                <m:rPr>
                  <m:sty m:val="p"/>
                </m:rPr>
                <m:t>|</m:t>
              </m:r>
            </m:den>
          </m:f>
          <m:r>
            <m:rPr>
              <m:sty m:val="p"/>
            </m:rPr>
            <m:t>.</m:t>
          </m:r>
        </m:oMath>
      </m:oMathPara>
    </w:p>
    <w:p>
      <w:pPr>
        <w:pStyle w:val="FirstParagraph"/>
      </w:pPr>
      <w:r>
        <w:t xml:space="preserve">FSS is defined as</w:t>
      </w:r>
    </w:p>
    <w:p>
      <w:pPr>
        <w:pStyle w:val="BodyText"/>
      </w:pPr>
      <m:oMathPara>
        <m:oMathParaPr>
          <m:jc m:val="center"/>
        </m:oMathParaPr>
        <m:oMath>
          <m:r>
            <m:rPr>
              <m:sty m:val="p"/>
            </m:rPr>
            <m:t>F</m:t>
          </m:r>
          <m:r>
            <m:rPr>
              <m:sty m:val="p"/>
            </m:rPr>
            <m:t>S</m:t>
          </m:r>
          <m:r>
            <m:rPr>
              <m:sty m:val="p"/>
            </m:rPr>
            <m:t>S</m:t>
          </m:r>
          <m:r>
            <m:rPr>
              <m:sty m:val="p"/>
            </m:rPr>
            <m:t>=</m:t>
          </m:r>
          <m:f>
            <m:fPr>
              <m:type m:val="bar"/>
            </m:fPr>
            <m:num>
              <m:r>
                <m:t>1</m:t>
              </m:r>
            </m:num>
            <m:den>
              <m:sSub>
                <m:e>
                  <m:r>
                    <m:t>N</m:t>
                  </m:r>
                </m:e>
                <m:sub>
                  <m:r>
                    <m:t>s</m:t>
                  </m:r>
                </m:sub>
              </m:sSub>
            </m:den>
          </m:f>
          <m:nary>
            <m:naryPr>
              <m:chr m:val="∑"/>
              <m:limLoc m:val="undOvr"/>
              <m:subHide m:val="off"/>
              <m:supHide m:val="on"/>
            </m:naryPr>
            <m:sub>
              <m:r>
                <m:t>i</m:t>
              </m:r>
            </m:sub>
            <m:sup>
              <m:r>
                <m:t>​</m:t>
              </m:r>
            </m:sup>
            <m:e>
              <m:nary>
                <m:naryPr>
                  <m:chr m:val="∑"/>
                  <m:limLoc m:val="undOvr"/>
                  <m:subHide m:val="off"/>
                  <m:supHide m:val="on"/>
                </m:naryPr>
                <m:sub>
                  <m:r>
                    <m:t>t</m:t>
                  </m:r>
                  <m:r>
                    <m:rPr>
                      <m:sty m:val="p"/>
                    </m:rPr>
                    <m:t>&gt;</m:t>
                  </m:r>
                  <m:r>
                    <m:t>1</m:t>
                  </m:r>
                </m:sub>
                <m:sup>
                  <m:r>
                    <m:t>​</m:t>
                  </m:r>
                </m:sup>
                <m:e>
                  <m:d>
                    <m:dPr>
                      <m:begChr m:val="|"/>
                      <m:sepChr m:val=""/>
                      <m:endChr m:val="|"/>
                      <m:grow/>
                    </m:dPr>
                    <m:e>
                      <m:sSub>
                        <m:e>
                          <m:acc>
                            <m:accPr>
                              <m:chr m:val="̂"/>
                            </m:accPr>
                            <m:e>
                              <m:r>
                                <m:t>y</m:t>
                              </m:r>
                            </m:e>
                          </m:acc>
                        </m:e>
                        <m:sub>
                          <m:r>
                            <m:t>i</m:t>
                          </m:r>
                          <m:r>
                            <m:rPr>
                              <m:sty m:val="p"/>
                            </m:rPr>
                            <m:t>,</m:t>
                          </m:r>
                          <m:r>
                            <m:t>t</m:t>
                          </m:r>
                        </m:sub>
                      </m:sSub>
                      <m:r>
                        <m:rPr>
                          <m:sty m:val="p"/>
                        </m:rPr>
                        <m:t>−</m:t>
                      </m:r>
                      <m:sSub>
                        <m:e>
                          <m:acc>
                            <m:accPr>
                              <m:chr m:val="̂"/>
                            </m:accPr>
                            <m:e>
                              <m:r>
                                <m:t>y</m:t>
                              </m:r>
                            </m:e>
                          </m:acc>
                        </m:e>
                        <m:sub>
                          <m:r>
                            <m:t>i</m:t>
                          </m:r>
                          <m:r>
                            <m:rPr>
                              <m:sty m:val="p"/>
                            </m:rPr>
                            <m:t>,</m:t>
                          </m:r>
                          <m:r>
                            <m:t>t</m:t>
                          </m:r>
                          <m:r>
                            <m:rPr>
                              <m:sty m:val="p"/>
                            </m:rPr>
                            <m:t>−</m:t>
                          </m:r>
                          <m:r>
                            <m:t>1</m:t>
                          </m:r>
                        </m:sub>
                      </m:sSub>
                    </m:e>
                  </m:d>
                </m:e>
              </m:nary>
            </m:e>
          </m:nary>
          <m:r>
            <m:rPr>
              <m:sty m:val="p"/>
            </m:rPr>
            <m:t>.</m:t>
          </m:r>
        </m:oMath>
      </m:oMathPara>
    </w:p>
    <w:p>
      <w:pPr>
        <w:pStyle w:val="FirstParagraph"/>
      </w:pPr>
      <w:r>
        <w:t xml:space="preserve">Lower FSS indicates smoother consecutive forecasts. To reduce sensitivity to demand scale, we also report a normalized series-level score:</w:t>
      </w:r>
    </w:p>
    <w:p>
      <w:pPr>
        <w:pStyle w:val="BodyText"/>
      </w:pPr>
      <m:oMathPara>
        <m:oMathParaPr>
          <m:jc m:val="center"/>
        </m:oMathParaPr>
        <m:oMath>
          <m:sSub>
            <m:e>
              <m:r>
                <m:rPr>
                  <m:sty m:val="p"/>
                </m:rPr>
                <m:t>n</m:t>
              </m:r>
              <m:r>
                <m:rPr>
                  <m:sty m:val="p"/>
                </m:rPr>
                <m:t>F</m:t>
              </m:r>
              <m:r>
                <m:rPr>
                  <m:sty m:val="p"/>
                </m:rPr>
                <m:t>S</m:t>
              </m:r>
              <m:r>
                <m:rPr>
                  <m:sty m:val="p"/>
                </m:rPr>
                <m:t>S</m:t>
              </m:r>
            </m:e>
            <m:sub>
              <m:r>
                <m:t>i</m:t>
              </m:r>
            </m:sub>
          </m:sSub>
          <m:r>
            <m:rPr>
              <m:sty m:val="p"/>
            </m:rPr>
            <m:t>=</m:t>
          </m:r>
          <m:f>
            <m:fPr>
              <m:type m:val="bar"/>
            </m:fPr>
            <m:num>
              <m:f>
                <m:fPr>
                  <m:type m:val="bar"/>
                </m:fPr>
                <m:num>
                  <m:r>
                    <m:t>1</m:t>
                  </m:r>
                </m:num>
                <m:den>
                  <m:sSub>
                    <m:e>
                      <m:r>
                        <m:t>T</m:t>
                      </m:r>
                    </m:e>
                    <m:sub>
                      <m:r>
                        <m:t>i</m:t>
                      </m:r>
                    </m:sub>
                  </m:sSub>
                  <m:r>
                    <m:rPr>
                      <m:sty m:val="p"/>
                    </m:rPr>
                    <m:t>−</m:t>
                  </m:r>
                  <m:r>
                    <m:t>1</m:t>
                  </m:r>
                </m:den>
              </m:f>
              <m:nary>
                <m:naryPr>
                  <m:chr m:val="∑"/>
                  <m:limLoc m:val="undOvr"/>
                  <m:subHide m:val="off"/>
                  <m:supHide m:val="on"/>
                </m:naryPr>
                <m:sub>
                  <m:r>
                    <m:t>t</m:t>
                  </m:r>
                  <m:r>
                    <m:rPr>
                      <m:sty m:val="p"/>
                    </m:rPr>
                    <m:t>&gt;</m:t>
                  </m:r>
                  <m:r>
                    <m:t>1</m:t>
                  </m:r>
                </m:sub>
                <m:sup>
                  <m:r>
                    <m:t>​</m:t>
                  </m:r>
                </m:sup>
                <m:e>
                  <m:d>
                    <m:dPr>
                      <m:begChr m:val="|"/>
                      <m:sepChr m:val=""/>
                      <m:endChr m:val="|"/>
                      <m:grow/>
                    </m:dPr>
                    <m:e>
                      <m:sSub>
                        <m:e>
                          <m:acc>
                            <m:accPr>
                              <m:chr m:val="̂"/>
                            </m:accPr>
                            <m:e>
                              <m:r>
                                <m:t>y</m:t>
                              </m:r>
                            </m:e>
                          </m:acc>
                        </m:e>
                        <m:sub>
                          <m:r>
                            <m:t>i</m:t>
                          </m:r>
                          <m:r>
                            <m:rPr>
                              <m:sty m:val="p"/>
                            </m:rPr>
                            <m:t>,</m:t>
                          </m:r>
                          <m:r>
                            <m:t>t</m:t>
                          </m:r>
                        </m:sub>
                      </m:sSub>
                      <m:r>
                        <m:rPr>
                          <m:sty m:val="p"/>
                        </m:rPr>
                        <m:t>−</m:t>
                      </m:r>
                      <m:sSub>
                        <m:e>
                          <m:acc>
                            <m:accPr>
                              <m:chr m:val="̂"/>
                            </m:accPr>
                            <m:e>
                              <m:r>
                                <m:t>y</m:t>
                              </m:r>
                            </m:e>
                          </m:acc>
                        </m:e>
                        <m:sub>
                          <m:r>
                            <m:t>i</m:t>
                          </m:r>
                          <m:r>
                            <m:rPr>
                              <m:sty m:val="p"/>
                            </m:rPr>
                            <m:t>,</m:t>
                          </m:r>
                          <m:r>
                            <m:t>t</m:t>
                          </m:r>
                          <m:r>
                            <m:rPr>
                              <m:sty m:val="p"/>
                            </m:rPr>
                            <m:t>−</m:t>
                          </m:r>
                          <m:r>
                            <m:t>1</m:t>
                          </m:r>
                        </m:sub>
                      </m:sSub>
                    </m:e>
                  </m:d>
                </m:e>
              </m:nary>
            </m:num>
            <m:den>
              <m:f>
                <m:fPr>
                  <m:type m:val="bar"/>
                </m:fPr>
                <m:num>
                  <m:r>
                    <m:t>1</m:t>
                  </m:r>
                </m:num>
                <m:den>
                  <m:sSub>
                    <m:e>
                      <m:r>
                        <m:t>T</m:t>
                      </m:r>
                    </m:e>
                    <m:sub>
                      <m:r>
                        <m:t>i</m:t>
                      </m:r>
                    </m:sub>
                  </m:sSub>
                </m:den>
              </m:f>
              <m:nary>
                <m:naryPr>
                  <m:chr m:val="∑"/>
                  <m:limLoc m:val="undOvr"/>
                  <m:subHide m:val="off"/>
                  <m:supHide m:val="on"/>
                </m:naryPr>
                <m:sub>
                  <m:r>
                    <m:t>t</m:t>
                  </m:r>
                </m:sub>
                <m:sup>
                  <m:r>
                    <m:t>​</m:t>
                  </m:r>
                </m:sup>
                <m:e>
                  <m:r>
                    <m:rPr>
                      <m:sty m:val="p"/>
                    </m:rPr>
                    <m:t>|</m:t>
                  </m:r>
                </m:e>
              </m:nary>
              <m:sSub>
                <m:e>
                  <m:r>
                    <m:t>y</m:t>
                  </m:r>
                </m:e>
                <m:sub>
                  <m:r>
                    <m:t>i</m:t>
                  </m:r>
                  <m:r>
                    <m:rPr>
                      <m:sty m:val="p"/>
                    </m:rPr>
                    <m:t>,</m:t>
                  </m:r>
                  <m:r>
                    <m:t>t</m:t>
                  </m:r>
                </m:sub>
              </m:sSub>
              <m:r>
                <m:rPr>
                  <m:sty m:val="p"/>
                </m:rPr>
                <m:t>|</m:t>
              </m:r>
              <m:r>
                <m:rPr>
                  <m:sty m:val="p"/>
                </m:rPr>
                <m:t>+</m:t>
              </m:r>
              <m:r>
                <m:t>ϵ</m:t>
              </m:r>
            </m:den>
          </m:f>
          <m:r>
            <m:rPr>
              <m:sty m:val="p"/>
            </m:rPr>
            <m:t>,</m:t>
          </m:r>
        </m:oMath>
      </m:oMathPara>
    </w:p>
    <w:p>
      <w:pPr>
        <w:pStyle w:val="FirstParagraph"/>
      </w:pPr>
      <m:oMathPara>
        <m:oMathParaPr>
          <m:jc m:val="center"/>
        </m:oMathParaPr>
        <m:oMath>
          <m:r>
            <m:rPr>
              <m:sty m:val="p"/>
            </m:rPr>
            <m:t>n</m:t>
          </m:r>
          <m:r>
            <m:rPr>
              <m:sty m:val="p"/>
            </m:rPr>
            <m:t>F</m:t>
          </m:r>
          <m:r>
            <m:rPr>
              <m:sty m:val="p"/>
            </m:rPr>
            <m:t>S</m:t>
          </m:r>
          <m:r>
            <m:rPr>
              <m:sty m:val="p"/>
            </m:rPr>
            <m:t>S</m:t>
          </m:r>
          <m:r>
            <m:rPr>
              <m:sty m:val="p"/>
            </m:rPr>
            <m:t>=</m:t>
          </m:r>
          <m:f>
            <m:fPr>
              <m:type m:val="bar"/>
            </m:fPr>
            <m:num>
              <m:r>
                <m:t>1</m:t>
              </m:r>
            </m:num>
            <m:den>
              <m:r>
                <m:t>M</m:t>
              </m:r>
            </m:den>
          </m:f>
          <m:nary>
            <m:naryPr>
              <m:chr m:val="∑"/>
              <m:limLoc m:val="undOvr"/>
              <m:subHide m:val="off"/>
              <m:supHide m:val="off"/>
            </m:naryPr>
            <m:sub>
              <m:r>
                <m:t>i</m:t>
              </m:r>
              <m:r>
                <m:rPr>
                  <m:sty m:val="p"/>
                </m:rPr>
                <m:t>=</m:t>
              </m:r>
              <m:r>
                <m:t>1</m:t>
              </m:r>
            </m:sub>
            <m:sup>
              <m:r>
                <m:t>M</m:t>
              </m:r>
            </m:sup>
            <m:e>
              <m:sSub>
                <m:e>
                  <m:r>
                    <m:rPr>
                      <m:sty m:val="p"/>
                    </m:rPr>
                    <m:t>n</m:t>
                  </m:r>
                  <m:r>
                    <m:rPr>
                      <m:sty m:val="p"/>
                    </m:rPr>
                    <m:t>F</m:t>
                  </m:r>
                  <m:r>
                    <m:rPr>
                      <m:sty m:val="p"/>
                    </m:rPr>
                    <m:t>S</m:t>
                  </m:r>
                  <m:r>
                    <m:rPr>
                      <m:sty m:val="p"/>
                    </m:rPr>
                    <m:t>S</m:t>
                  </m:r>
                </m:e>
                <m:sub>
                  <m:r>
                    <m:t>i</m:t>
                  </m:r>
                </m:sub>
              </m:sSub>
            </m:e>
          </m:nary>
          <m:r>
            <m:rPr>
              <m:sty m:val="p"/>
            </m:rPr>
            <m:t>,</m:t>
          </m:r>
        </m:oMath>
      </m:oMathPara>
    </w:p>
    <w:p>
      <w:pPr>
        <w:pStyle w:val="FirstParagraph"/>
      </w:pPr>
      <w:r>
        <w:t xml:space="preserve">where</w:t>
      </w:r>
      <w:r>
        <w:t xml:space="preserve"> </w:t>
      </w:r>
      <m:oMath>
        <m:r>
          <m:t>ϵ</m:t>
        </m:r>
        <m:r>
          <m:rPr>
            <m:sty m:val="p"/>
          </m:rPr>
          <m:t>=</m:t>
        </m:r>
        <m:sSup>
          <m:e>
            <m:r>
              <m:t>10</m:t>
            </m:r>
          </m:e>
          <m:sup>
            <m:r>
              <m:rPr>
                <m:sty m:val="p"/>
              </m:rPr>
              <m:t>−</m:t>
            </m:r>
            <m:r>
              <m:t>6</m:t>
            </m:r>
          </m:sup>
        </m:sSup>
      </m:oMath>
      <w:r>
        <w:t xml:space="preserve">. The nFSS metric prevents high-volume series from dominating the stability estimate, although intermittent zero-demand series can still lead to large absolute normalized values.</w:t>
      </w:r>
      <w:r>
        <w:t xml:space="preserve"> </w:t>
      </w:r>
      <w:r>
        <w:t xml:space="preserve">Our FSS is a consecutive-prediction movement metric within a validation horizon. It is related to, but not identical with, rolling-origin forecast instability as used in prior forecast-stability literature, where forecasts for the same target period are compared as the forecast origin moves</w:t>
      </w:r>
      <w:r>
        <w:t xml:space="preserve"> </w:t>
      </w:r>
      <w:r>
        <w:t xml:space="preserve">(Belle et al. 2023; Godahewa et al. 2025)</w:t>
      </w:r>
      <w:r>
        <w:t xml:space="preserve">. This distinction matters for interpretation: the reported experiments test whether the fitted model reduces within-series forecast movement across adjacent validation dates, not whether it minimizes every form of forecast revision instability under repeated refitting.</w:t>
      </w:r>
    </w:p>
    <w:bookmarkEnd w:id="21"/>
    <w:bookmarkEnd w:id="22"/>
    <w:bookmarkStart w:id="47" w:name="experiments"/>
    <w:p>
      <w:pPr>
        <w:pStyle w:val="Heading1"/>
      </w:pPr>
      <w:r>
        <w:t xml:space="preserve">Experiments</w:t>
      </w:r>
    </w:p>
    <w:bookmarkStart w:id="23" w:name="dataset-and-setup"/>
    <w:p>
      <w:pPr>
        <w:pStyle w:val="Heading2"/>
      </w:pPr>
      <w:r>
        <w:t xml:space="preserve">Dataset and Setup</w:t>
      </w:r>
    </w:p>
    <w:p>
      <w:pPr>
        <w:pStyle w:val="FirstParagraph"/>
      </w:pPr>
      <w:r>
        <w:t xml:space="preserve">We use the M5 Forecasting dataset, which contains daily Walmart item-store demand series together with calendar and sell-price information</w:t>
      </w:r>
      <w:r>
        <w:t xml:space="preserve"> </w:t>
      </w:r>
      <w:r>
        <w:t xml:space="preserve">(Makridakis et al. 2022)</w:t>
      </w:r>
      <w:r>
        <w:t xml:space="preserve">. The main scalability study uses selected subsets of 1000, 3000, and 4000 demand series. Each scale is run with the same training configuration: full selected training rows, 300 XGBoost trees, identical feature engineering, the same TimeMixer-style encoder settings, and the stability-aware objective with</w:t>
      </w:r>
      <w:r>
        <w:t xml:space="preserve"> </w:t>
      </w:r>
      <m:oMath>
        <m:r>
          <m:t>λ</m:t>
        </m:r>
        <m:r>
          <m:rPr>
            <m:sty m:val="p"/>
          </m:rPr>
          <m:t>=</m:t>
        </m:r>
        <m:r>
          <m:t>0.05</m:t>
        </m:r>
      </m:oMath>
      <w:r>
        <w:t xml:space="preserve">. This keeps the reported runtime comparisons on the same footing.</w:t>
      </w:r>
    </w:p>
    <w:p>
      <w:pPr>
        <w:pStyle w:val="BodyText"/>
      </w:pPr>
      <w:r>
        <w:t xml:space="preserve">The split is strictly chronological: all training dates precede all validation dates. Feature engineering includes lag features, rolling-window features computed after shifting demand by at least one day, calendar covariates, sell-price covariates, and categorical item/store information. Repeated experiments use random seeds 42, 123, and 2024. We also ran an automated leakage audit covering the split, shifted lag and rolling features, train-only categorical encoding, train-fitted temporal scaling, and same-series training-only stability pairs.</w:t>
      </w:r>
    </w:p>
    <w:bookmarkEnd w:id="23"/>
    <w:bookmarkStart w:id="24" w:name="Xd7a95da83277487a25f9e6865706877d2b47cf5"/>
    <w:p>
      <w:pPr>
        <w:pStyle w:val="Heading2"/>
      </w:pPr>
      <w:r>
        <w:t xml:space="preserve">Metric Correction for Intermittent Demand</w:t>
      </w:r>
    </w:p>
    <w:p>
      <w:pPr>
        <w:pStyle w:val="FirstParagraph"/>
      </w:pPr>
      <w:r>
        <w:t xml:space="preserve">We remove raw MAPE because M5 contains many zero and near-zero demand observations</w:t>
      </w:r>
      <w:r>
        <w:t xml:space="preserve"> </w:t>
      </w:r>
      <w:r>
        <w:t xml:space="preserve">(Makridakis et al. 2022)</w:t>
      </w:r>
      <w:r>
        <w:t xml:space="preserve">. MAPE divides each absolute error by the corresponding actual value; zero-demand days make the metric undefined, and near-zero days can dominate the average. This issue is well documented for intermittent demand</w:t>
      </w:r>
      <w:r>
        <w:t xml:space="preserve"> </w:t>
      </w:r>
      <w:r>
        <w:t xml:space="preserve">(Hyndman and Koehler 2006; Syntetos and Boylan 2005;</w:t>
      </w:r>
      <w:r>
        <w:t xml:space="preserve"> </w:t>
      </w:r>
      <w:r>
        <w:t xml:space="preserve">Petropoulos et al.</w:t>
      </w:r>
      <w:r>
        <w:t xml:space="preserve"> </w:t>
      </w:r>
      <w:r>
        <w:t xml:space="preserve">2022)</w:t>
      </w:r>
      <w:r>
        <w:t xml:space="preserve">. We instead report WAPE, which normalizes total absolute error by aggregate observed demand. Because many M5 series are intermittent and low-volume, nFSS can take large absolute values when the average realized demand in the denominator is small. We therefore interpret nFSS as a relative robustness metric rather than as an absolute operational threshold.</w:t>
      </w:r>
    </w:p>
    <w:bookmarkEnd w:id="24"/>
    <w:bookmarkStart w:id="25" w:name="baselines"/>
    <w:p>
      <w:pPr>
        <w:pStyle w:val="Heading2"/>
      </w:pPr>
      <w:r>
        <w:t xml:space="preserve">Baselines</w:t>
      </w:r>
    </w:p>
    <w:p>
      <w:pPr>
        <w:pStyle w:val="FirstParagraph"/>
      </w:pPr>
      <w:r>
        <w:t xml:space="preserve">We compare four primary methods: (i) XGBoost baseline using structured operational features, (ii) TimeMixer-only temporal forecasting, (iii) Hybrid TimeMixer + XGBoost, and (iv) Hybrid TimeMixer + XGBoost with the stability-aware objective. To address whether stability gains arise merely from smoothing, we additionally evaluate XGBoost + exponential smoothing and Hybrid TimeMixer + XGBoost + exponential smoothing with</w:t>
      </w:r>
      <w:r>
        <w:t xml:space="preserve"> </w:t>
      </w:r>
      <m:oMath>
        <m:r>
          <m:t>α</m:t>
        </m:r>
        <m:r>
          <m:rPr>
            <m:sty m:val="p"/>
          </m:rPr>
          <m:t>∈</m:t>
        </m:r>
        <m:r>
          <m:rPr>
            <m:sty m:val="p"/>
          </m:rPr>
          <m:t>{</m:t>
        </m:r>
        <m:r>
          <m:t>0.5</m:t>
        </m:r>
        <m:r>
          <m:rPr>
            <m:sty m:val="p"/>
          </m:rPr>
          <m:t>,</m:t>
        </m:r>
        <m:r>
          <m:t>0.7</m:t>
        </m:r>
        <m:r>
          <m:rPr>
            <m:sty m:val="p"/>
          </m:rPr>
          <m:t>,</m:t>
        </m:r>
        <m:r>
          <m:t>0.9</m:t>
        </m:r>
        <m:r>
          <m:rPr>
            <m:sty m:val="p"/>
          </m:rPr>
          <m:t>}</m:t>
        </m:r>
      </m:oMath>
      <w:r>
        <w:t xml:space="preserve">.</w:t>
      </w:r>
    </w:p>
    <w:bookmarkEnd w:id="25"/>
    <w:bookmarkStart w:id="30" w:name="main-results"/>
    <w:p>
      <w:pPr>
        <w:pStyle w:val="Heading2"/>
      </w:pPr>
      <w:r>
        <w:t xml:space="preserve">Main Results</w:t>
      </w:r>
    </w:p>
    <w:p>
      <w:pPr>
        <w:pStyle w:val="FirstParagraph"/>
      </w:pPr>
      <w:r>
        <w:t xml:space="preserve">The main-results table reports mean and standard deviation across seeds, and the accompanying figure summarizes RMSE and FSS across scales. XGBoost remains the strongest point-accuracy baseline at the revised main scales. The stability-aware hybrid model, in contrast, gives the lowest FSS among the primary training methods at each scale. The result is best read as an accuracy-stability trade-off, not as a replacement for the structured baseline on pure RMSE.</w:t>
      </w:r>
    </w:p>
    <w:bookmarkStart w:id="29" w:name="fig:main_results"/>
    <w:p>
      <w:pPr>
        <w:pStyle w:val="CaptionedFigure"/>
      </w:pPr>
      <w:r>
        <w:drawing>
          <wp:inline>
            <wp:extent cx="4907280" cy="2115127"/>
            <wp:effectExtent b="0" l="0" r="0" t="0"/>
            <wp:docPr descr="" title="" id="27" name="Picture"/>
            <a:graphic>
              <a:graphicData uri="http://schemas.openxmlformats.org/drawingml/2006/picture">
                <pic:pic>
                  <pic:nvPicPr>
                    <pic:cNvPr descr="figures/main_results_rmse_fss.png" id="28" name="Picture"/>
                    <pic:cNvPicPr>
                      <a:picLocks noChangeArrowheads="1" noChangeAspect="1"/>
                    </pic:cNvPicPr>
                  </pic:nvPicPr>
                  <pic:blipFill>
                    <a:blip r:embed="rId26"/>
                    <a:stretch>
                      <a:fillRect/>
                    </a:stretch>
                  </pic:blipFill>
                  <pic:spPr bwMode="auto">
                    <a:xfrm>
                      <a:off x="0" y="0"/>
                      <a:ext cx="4907280" cy="2115127"/>
                    </a:xfrm>
                    <a:prstGeom prst="rect">
                      <a:avLst/>
                    </a:prstGeom>
                    <a:noFill/>
                    <a:ln w="9525">
                      <a:noFill/>
                      <a:headEnd/>
                      <a:tailEnd/>
                    </a:ln>
                  </pic:spPr>
                </pic:pic>
              </a:graphicData>
            </a:graphic>
          </wp:inline>
        </w:drawing>
      </w:r>
    </w:p>
    <w:p>
      <w:pPr>
        <w:pStyle w:val="ImageCaption"/>
      </w:pPr>
      <w:r>
        <w:t xml:space="preserve">Main results under consistent full training configurations. Error bars denote standard deviation across three random seeds.</w:t>
      </w:r>
    </w:p>
    <w:bookmarkEnd w:id="29"/>
    <w:bookmarkEnd w:id="30"/>
    <w:bookmarkStart w:id="35" w:name="stability-accuracy-trade-off"/>
    <w:p>
      <w:pPr>
        <w:pStyle w:val="Heading2"/>
      </w:pPr>
      <w:r>
        <w:t xml:space="preserve">Stability-Accuracy Trade-off</w:t>
      </w:r>
    </w:p>
    <w:p>
      <w:pPr>
        <w:pStyle w:val="FirstParagraph"/>
      </w:pPr>
      <w:r>
        <w:t xml:space="preserve">The central empirical result remains stable after the consistency revision. As shown in the stability-summary table, the stability-aware hybrid model improves FSS over XGBoost by 6.91%, 6.66%, and 7.68% at 1000, 3000, and 4000 series, respectively. Across these scales, the largest absolute RMSE change is 0.72%. The accuracy-stability trade-off figure shows that stability regularization moves the operating point toward smoother forecasts while keeping RMSE close to the structured baseline.</w:t>
      </w:r>
    </w:p>
    <w:bookmarkStart w:id="34" w:name="fig:accuracy_stability_tradeoff"/>
    <w:p>
      <w:pPr>
        <w:pStyle w:val="CaptionedFigure"/>
      </w:pPr>
      <w:r>
        <w:drawing>
          <wp:inline>
            <wp:extent cx="4907280" cy="1704905"/>
            <wp:effectExtent b="0" l="0" r="0" t="0"/>
            <wp:docPr descr="" title="" id="32" name="Picture"/>
            <a:graphic>
              <a:graphicData uri="http://schemas.openxmlformats.org/drawingml/2006/picture">
                <pic:pic>
                  <pic:nvPicPr>
                    <pic:cNvPr descr="figures/accuracy_stability_tradeoff.png" id="33" name="Picture"/>
                    <pic:cNvPicPr>
                      <a:picLocks noChangeArrowheads="1" noChangeAspect="1"/>
                    </pic:cNvPicPr>
                  </pic:nvPicPr>
                  <pic:blipFill>
                    <a:blip r:embed="rId31"/>
                    <a:stretch>
                      <a:fillRect/>
                    </a:stretch>
                  </pic:blipFill>
                  <pic:spPr bwMode="auto">
                    <a:xfrm>
                      <a:off x="0" y="0"/>
                      <a:ext cx="4907280" cy="1704905"/>
                    </a:xfrm>
                    <a:prstGeom prst="rect">
                      <a:avLst/>
                    </a:prstGeom>
                    <a:noFill/>
                    <a:ln w="9525">
                      <a:noFill/>
                      <a:headEnd/>
                      <a:tailEnd/>
                    </a:ln>
                  </pic:spPr>
                </pic:pic>
              </a:graphicData>
            </a:graphic>
          </wp:inline>
        </w:drawing>
      </w:r>
    </w:p>
    <w:p>
      <w:pPr>
        <w:pStyle w:val="ImageCaption"/>
      </w:pPr>
      <w:r>
        <w:t xml:space="preserve">Accuracy-stability trade-off under the revised consistent scalability setup. Points show method-level operating positions at each scale.</w:t>
      </w:r>
    </w:p>
    <w:bookmarkEnd w:id="34"/>
    <w:bookmarkEnd w:id="35"/>
    <w:bookmarkStart w:id="44" w:name="Xe02c1373efe63fcfad80dd56f80a6727c760ed9"/>
    <w:p>
      <w:pPr>
        <w:pStyle w:val="Heading2"/>
      </w:pPr>
      <w:r>
        <w:t xml:space="preserve">Smoothing Baselines and Normalized Stability</w:t>
      </w:r>
    </w:p>
    <w:p>
      <w:pPr>
        <w:pStyle w:val="FirstParagraph"/>
      </w:pPr>
      <w:r>
        <w:t xml:space="preserve">The smoothing-comparison table compares training-time stability regularization with the strongest post-processing smoothing setting from the tested grid. The result is deliberately mixed. With</w:t>
      </w:r>
      <w:r>
        <w:t xml:space="preserve"> </w:t>
      </w:r>
      <m:oMath>
        <m:r>
          <m:t>α</m:t>
        </m:r>
        <m:r>
          <m:rPr>
            <m:sty m:val="p"/>
          </m:rPr>
          <m:t>=</m:t>
        </m:r>
        <m:r>
          <m:t>0.5</m:t>
        </m:r>
      </m:oMath>
      <w:r>
        <w:t xml:space="preserve">, exponential smoothing obtains the lowest raw FSS, as expected: it directly damps consecutive prediction changes. The cost is visible in RMSE. Hybrid + smoothing increases RMSE by roughly 1.66–2.33% relative to XGBoost, while the stability-aware objective remains within the main-paper bound of 0.72%.</w:t>
      </w:r>
    </w:p>
    <w:p>
      <w:pPr>
        <w:pStyle w:val="BodyText"/>
      </w:pPr>
      <w:r>
        <w:t xml:space="preserve">The smoothing trade-off figure shows the same pattern as a trade-off curve. Smoothing moves forecasts down and to the right: lower raw movement, higher error. The stability-aware objective occupies a less aggressive region. It does not minimize raw FSS, but it preserves more of the accuracy-oriented forecast structure.</w:t>
      </w:r>
    </w:p>
    <w:bookmarkStart w:id="39" w:name="fig:smoothing_tradeoff_main"/>
    <w:p>
      <w:pPr>
        <w:pStyle w:val="CaptionedFigure"/>
      </w:pPr>
      <w:r>
        <w:drawing>
          <wp:inline>
            <wp:extent cx="4907280" cy="1813624"/>
            <wp:effectExtent b="0" l="0" r="0" t="0"/>
            <wp:docPr descr="" title="" id="37" name="Picture"/>
            <a:graphic>
              <a:graphicData uri="http://schemas.openxmlformats.org/drawingml/2006/picture">
                <pic:pic>
                  <pic:nvPicPr>
                    <pic:cNvPr descr="figures/smoothing_accuracy_stability_tradeoff.png" id="38" name="Picture"/>
                    <pic:cNvPicPr>
                      <a:picLocks noChangeArrowheads="1" noChangeAspect="1"/>
                    </pic:cNvPicPr>
                  </pic:nvPicPr>
                  <pic:blipFill>
                    <a:blip r:embed="rId36"/>
                    <a:stretch>
                      <a:fillRect/>
                    </a:stretch>
                  </pic:blipFill>
                  <pic:spPr bwMode="auto">
                    <a:xfrm>
                      <a:off x="0" y="0"/>
                      <a:ext cx="4907280" cy="1813624"/>
                    </a:xfrm>
                    <a:prstGeom prst="rect">
                      <a:avLst/>
                    </a:prstGeom>
                    <a:noFill/>
                    <a:ln w="9525">
                      <a:noFill/>
                      <a:headEnd/>
                      <a:tailEnd/>
                    </a:ln>
                  </pic:spPr>
                </pic:pic>
              </a:graphicData>
            </a:graphic>
          </wp:inline>
        </w:drawing>
      </w:r>
    </w:p>
    <w:p>
      <w:pPr>
        <w:pStyle w:val="ImageCaption"/>
      </w:pPr>
      <w:r>
        <w:t xml:space="preserve">Smoothing moves forecasts toward lower raw FSS at the cost of higher RMSE, while the stability-aware objective occupies a more accuracy-preserving trade-off region.</w:t>
      </w:r>
    </w:p>
    <w:bookmarkEnd w:id="39"/>
    <w:p>
      <w:pPr>
        <w:pStyle w:val="BodyText"/>
      </w:pPr>
      <w:r>
        <w:t xml:space="preserve">The normalized stability analysis adds a scale-aware check. The stability-aware objective improves nFSS relative to XGBoost by 40.21%, 45.66%, and 41.93% at 1000, 3000, and 4000 series in the smoothing comparison runs, and it gives lower nFSS than the best Hybrid + smoothing baseline at all three scales. The normalized-FSS figure reports the same comparison with standard deviations across seeds. Since nFSS divides by average realized demand, its absolute magnitude is not an operational threshold for intermittent low-volume series; the useful information is the relative ordering across methods.</w:t>
      </w:r>
    </w:p>
    <w:bookmarkStart w:id="43" w:name="fig:normalized_fss_main"/>
    <w:p>
      <w:pPr>
        <w:pStyle w:val="CaptionedFigure"/>
      </w:pPr>
      <w:r>
        <w:drawing>
          <wp:inline>
            <wp:extent cx="4907280" cy="2020734"/>
            <wp:effectExtent b="0" l="0" r="0" t="0"/>
            <wp:docPr descr="" title="" id="41" name="Picture"/>
            <a:graphic>
              <a:graphicData uri="http://schemas.openxmlformats.org/drawingml/2006/picture">
                <pic:pic>
                  <pic:nvPicPr>
                    <pic:cNvPr descr="figures/normalized_fss_comparison.png" id="42" name="Picture"/>
                    <pic:cNvPicPr>
                      <a:picLocks noChangeArrowheads="1" noChangeAspect="1"/>
                    </pic:cNvPicPr>
                  </pic:nvPicPr>
                  <pic:blipFill>
                    <a:blip r:embed="rId40"/>
                    <a:stretch>
                      <a:fillRect/>
                    </a:stretch>
                  </pic:blipFill>
                  <pic:spPr bwMode="auto">
                    <a:xfrm>
                      <a:off x="0" y="0"/>
                      <a:ext cx="4907280" cy="2020734"/>
                    </a:xfrm>
                    <a:prstGeom prst="rect">
                      <a:avLst/>
                    </a:prstGeom>
                    <a:noFill/>
                    <a:ln w="9525">
                      <a:noFill/>
                      <a:headEnd/>
                      <a:tailEnd/>
                    </a:ln>
                  </pic:spPr>
                </pic:pic>
              </a:graphicData>
            </a:graphic>
          </wp:inline>
        </w:drawing>
      </w:r>
    </w:p>
    <w:p>
      <w:pPr>
        <w:pStyle w:val="ImageCaption"/>
      </w:pPr>
      <w:r>
        <w:t xml:space="preserve">Scale-normalized forecast stability with standard deviations across seeds. nFSS values are large in absolute magnitude because intermittent low-volume series can have small denominators; nFSS is interpreted as a relative comparison metric rather than an absolute operational threshold.</w:t>
      </w:r>
    </w:p>
    <w:bookmarkEnd w:id="43"/>
    <w:bookmarkEnd w:id="44"/>
    <w:bookmarkStart w:id="45" w:name="scalability-and-runtime-analysis"/>
    <w:p>
      <w:pPr>
        <w:pStyle w:val="Heading2"/>
      </w:pPr>
      <w:r>
        <w:t xml:space="preserve">Scalability and Runtime Analysis</w:t>
      </w:r>
    </w:p>
    <w:p>
      <w:pPr>
        <w:pStyle w:val="FirstParagraph"/>
      </w:pPr>
      <w:r>
        <w:t xml:space="preserve">The scalability experiments use consistent training configurations across the main reported scales to improve runtime comparability. The runtime-scalability table shows the expected runtime increase from adding temporal representation learning and stability-aware optimization. Relative to XGBoost, the final stability-aware hybrid method incurs runtime multipliers of 1000 series: 4.39</w:t>
      </w:r>
      <m:oMath>
        <m:r>
          <m:rPr>
            <m:sty m:val="p"/>
          </m:rPr>
          <m:t>×</m:t>
        </m:r>
      </m:oMath>
      <w:r>
        <w:t xml:space="preserve">, 3000 series: 7.71</w:t>
      </w:r>
      <m:oMath>
        <m:r>
          <m:rPr>
            <m:sty m:val="p"/>
          </m:rPr>
          <m:t>×</m:t>
        </m:r>
      </m:oMath>
      <w:r>
        <w:t xml:space="preserve">, 4000 series: 9.72</w:t>
      </w:r>
      <m:oMath>
        <m:r>
          <m:rPr>
            <m:sty m:val="p"/>
          </m:rPr>
          <m:t>×</m:t>
        </m:r>
      </m:oMath>
      <w:r>
        <w:t xml:space="preserve">. This overhead is material, but it is measured under a consistent full-row, 300-tree configuration at each main scale. The smoothing baselines add negligible post-processing time when applied to stored predictions, but they do not reduce the cost of fitting the underlying XGBoost or hybrid models.</w:t>
      </w:r>
    </w:p>
    <w:bookmarkEnd w:id="45"/>
    <w:bookmarkStart w:id="46" w:name="robustness-analysis"/>
    <w:p>
      <w:pPr>
        <w:pStyle w:val="Heading2"/>
      </w:pPr>
      <w:r>
        <w:t xml:space="preserve">Robustness Analysis</w:t>
      </w:r>
    </w:p>
    <w:p>
      <w:pPr>
        <w:pStyle w:val="FirstParagraph"/>
      </w:pPr>
      <w:r>
        <w:t xml:space="preserve">Seed-level variability is small relative to the main stability pattern. The stability-aware hybrid model improves FSS over XGBoost for all three seeds at all revised main scales. Averaged across 1000, 3000, and 4000 series, the FSS improvement is 7.08%, while the largest absolute RMSE change remains 0.72%. The normalized-FSS results provide an additional robustness check against demand-scale effects.</w:t>
      </w:r>
    </w:p>
    <w:bookmarkEnd w:id="46"/>
    <w:bookmarkEnd w:id="47"/>
    <w:bookmarkStart w:id="48" w:name="discussion"/>
    <w:p>
      <w:pPr>
        <w:pStyle w:val="Heading1"/>
      </w:pPr>
      <w:r>
        <w:t xml:space="preserve">Discussion</w:t>
      </w:r>
    </w:p>
    <w:p>
      <w:pPr>
        <w:pStyle w:val="FirstParagraph"/>
      </w:pPr>
      <w:r>
        <w:t xml:space="preserve">The results do not imply that objective-based regularization dominates smoothing in every setting. Smoothing is a strong and practical baseline when the only goal is to minimize raw forecast movement. In our experiments it gives the lowest raw FSS, and it is inexpensive once predictions have been produced. That is useful evidence, not a nuisance result.</w:t>
      </w:r>
    </w:p>
    <w:p>
      <w:pPr>
        <w:pStyle w:val="BodyText"/>
      </w:pPr>
      <w:r>
        <w:t xml:space="preserve">The proposed method sits at a different operating point. It gives up some raw smoothness relative to post-hoc smoothing, but it preserves more of the accuracy-oriented forecast structure and performs better under scale-normalized stability. For supply chain planning, that distinction matters because forecast updates can affect replenishment and upstream variability</w:t>
      </w:r>
      <w:r>
        <w:t xml:space="preserve"> </w:t>
      </w:r>
      <w:r>
        <w:t xml:space="preserve">(Lee et al. 1997; Chen et al. 2000; Zhang 2004)</w:t>
      </w:r>
      <w:r>
        <w:t xml:space="preserve">. A replenishment planner may prefer a forecast that is moderately smoother and still responsive to demand changes over one that suppresses movement more aggressively but drifts farther from the point-accuracy baseline.</w:t>
      </w:r>
    </w:p>
    <w:p>
      <w:pPr>
        <w:pStyle w:val="BodyText"/>
      </w:pPr>
      <w:r>
        <w:t xml:space="preserve">The cross-industry implication is therefore methodological rather than dataset-specific. Retail replenishment, spare-parts stocking, energy scheduling, and healthcare capacity planning all use forecasts as repeated operational inputs, but the acceptable stability-accuracy trade-off will differ by domain. A planner managing perishable retail inventory may accept more forecast movement to avoid under-reacting to demand spikes, while a spare-parts planner with long lead times may prefer a more stable signal. The present M5 results provide a reproducible retail benchmark for studying that trade-off; they do not prove the same operating point is optimal in other industries.</w:t>
      </w:r>
    </w:p>
    <w:p>
      <w:pPr>
        <w:pStyle w:val="BodyText"/>
      </w:pPr>
      <w:r>
        <w:t xml:space="preserve">The stability term is also better aligned with the training process than a purely post-processing correction. Intermittent retail demand contains zeros, sparse spikes, and short-lived local shocks. A standard accuracy objective can react to those patterns sharply, especially when lag features encode recent demand. Penalizing within-series prediction changes gives the model a reason to avoid some of that local oscillation while still learning from calendar, price, and temporal context. This is not a substitute for decision-aware inventory optimization, but it is a tractable way to put operational stability into the forecasting objective.</w:t>
      </w:r>
    </w:p>
    <w:p>
      <w:pPr>
        <w:pStyle w:val="BodyText"/>
      </w:pPr>
      <w:r>
        <w:t xml:space="preserve">The runtime cost is real. Temporal embedding extraction and stability-aware boosted-tree training make the final method slower than structured-only XGBoost, with multipliers of 4.39</w:t>
      </w:r>
      <m:oMath>
        <m:r>
          <m:rPr>
            <m:sty m:val="p"/>
          </m:rPr>
          <m:t>×</m:t>
        </m:r>
      </m:oMath>
      <w:r>
        <w:t xml:space="preserve">, 7.71</w:t>
      </w:r>
      <m:oMath>
        <m:r>
          <m:rPr>
            <m:sty m:val="p"/>
          </m:rPr>
          <m:t>×</m:t>
        </m:r>
      </m:oMath>
      <w:r>
        <w:t xml:space="preserve">, and 9.72</w:t>
      </w:r>
      <m:oMath>
        <m:r>
          <m:rPr>
            <m:sty m:val="p"/>
          </m:rPr>
          <m:t>×</m:t>
        </m:r>
      </m:oMath>
      <w:r>
        <w:t xml:space="preserve"> </w:t>
      </w:r>
      <w:r>
        <w:t xml:space="preserve">at the three main scales. These reported runtimes mainly reflect end-to-end experimental cost, including feature generation, temporal embedding extraction, model fitting, stability-aware optimization, prediction, and evaluation. They should not be interpreted as a separate measurement of deployment-time inference latency.</w:t>
      </w:r>
    </w:p>
    <w:p>
      <w:pPr>
        <w:pStyle w:val="BodyText"/>
      </w:pPr>
      <w:r>
        <w:t xml:space="preserve">In many supply-chain settings, demand forecasts are generated in scheduled batch planning cycles rather than latency-critical online inference pipelines. Therefore, additional training-time cost may be acceptable when reduced forecast churn lowers downstream planning instability. Nevertheless, this study profiles end-to-end experimental runtime rather than separately isolating training-time and inference-time costs; future work should report separate deployment-time inference profiles, including temporal embedding extraction and XGBoost prediction costs under realistic production batch sizes.</w:t>
      </w:r>
    </w:p>
    <w:bookmarkEnd w:id="48"/>
    <w:bookmarkStart w:id="49" w:name="limitations"/>
    <w:p>
      <w:pPr>
        <w:pStyle w:val="Heading1"/>
      </w:pPr>
      <w:r>
        <w:t xml:space="preserve">Limitations</w:t>
      </w:r>
    </w:p>
    <w:p>
      <w:pPr>
        <w:pStyle w:val="FirstParagraph"/>
      </w:pPr>
      <w:r>
        <w:t xml:space="preserve">The evaluation is confined to the M5 retail demand dataset. M5 is a useful benchmark for sparse item-store demand, but it does not represent every supply chain environment. Industrial spare parts, perishables, and multi-echelon manufacturing systems may have different stability requirements and different costs for delayed response.</w:t>
      </w:r>
    </w:p>
    <w:p>
      <w:pPr>
        <w:pStyle w:val="BodyText"/>
      </w:pPr>
      <w:r>
        <w:t xml:space="preserve">The paper also uses consecutive within-series forecast movement as its main stability target. This is operationally interpretable for item-store demand sequences, but it is not a full rolling-origin revision study. A stronger version of the work would rerun the pipeline across multiple forecast origins and report fixed-target revision instability alongside FSS and nFSS.</w:t>
      </w:r>
    </w:p>
    <w:p>
      <w:pPr>
        <w:pStyle w:val="BodyText"/>
      </w:pPr>
      <w:r>
        <w:t xml:space="preserve">The main scalability study uses selected subsets rather than the full M5 hierarchy. The largest full-configuration main experiment contains 4000 series so that all reported main scales share the same training configuration. The earlier capped 5000-series diagnostic is kept in the appendix only and is not used for the main runtime claims.</w:t>
      </w:r>
    </w:p>
    <w:p>
      <w:pPr>
        <w:pStyle w:val="BodyText"/>
      </w:pPr>
      <w:r>
        <w:t xml:space="preserve">The normalized FSS analysis reduces sensitivity to demand scale, but it has its own caveat: low-volume intermittent series can produce large absolute nFSS values because the denominator is small. We therefore treat nFSS as a relative robustness metric. Finally, this paper evaluates forecast metrics rather than downstream inventory outcomes. A stronger operational study would connect stability-aware forecasts to service level, stockouts, holding cost, schedule changes, energy-dispatch costs, or staffing revisions, depending on the deployment context.</w:t>
      </w:r>
    </w:p>
    <w:bookmarkEnd w:id="49"/>
    <w:bookmarkStart w:id="50" w:name="conclusion"/>
    <w:p>
      <w:pPr>
        <w:pStyle w:val="Heading1"/>
      </w:pPr>
      <w:r>
        <w:t xml:space="preserve">Conclusion</w:t>
      </w:r>
    </w:p>
    <w:p>
      <w:pPr>
        <w:pStyle w:val="FirstParagraph"/>
      </w:pPr>
      <w:r>
        <w:t xml:space="preserve">We presented an accuracy-preserving stability regularization study for large-scale retail demand forecasting. The central idea is to penalize excessive consecutive within-series forecast movement during training, rather than treating forecast stability only as a post-processing issue. We instantiate this idea with a hybrid temporal-structured pipeline that combines TimeMixer-style demand-history embeddings, structured operational covariates, and an XGBoost forecasting layer. In consistent full-configuration experiments on 1000, 3000, and 4000 M5 demand series, the method improves forecast stability while keeping RMSE changes small. The smoothing comparison clarifies the main trade-off: post-hoc smoothing is stronger for raw FSS, whereas objective-based regularization offers a more accuracy-preserving and scale-robust operating point. These findings support treating forecast stability as a first-class evaluation and training consideration in operational demand forecasting, without claiming universal superiority over simpler baselines.</w:t>
      </w:r>
    </w:p>
    <w:bookmarkEnd w:id="50"/>
    <w:bookmarkStart w:id="110" w:name="supplementary-diagnostics"/>
    <w:p>
      <w:pPr>
        <w:pStyle w:val="Heading1"/>
      </w:pPr>
      <w:r>
        <w:t xml:space="preserve">Supplementary Diagnostics</w:t>
      </w:r>
    </w:p>
    <w:p>
      <w:pPr>
        <w:pStyle w:val="FirstParagraph"/>
      </w:pPr>
      <w:r>
        <w:t xml:space="preserve">This appendix contains secondary diagnostics, the full smoothing alpha ablation, normalized stability tables, leakage audit details, and the 5000-series capped experiment that was removed from the main scalability analysis. The main paper reports only 1000, 3000, and 4000-series results because those experiments use consistent full selected training rows and 300 XGBoost trees.</w:t>
      </w:r>
    </w:p>
    <w:bookmarkStart w:id="51" w:name="full-smoothing-alpha-ablation"/>
    <w:p>
      <w:pPr>
        <w:pStyle w:val="Heading2"/>
      </w:pPr>
      <w:r>
        <w:t xml:space="preserve">Full Smoothing Alpha Ablation</w:t>
      </w:r>
    </w:p>
    <w:p>
      <w:pPr>
        <w:pStyle w:val="FirstParagraph"/>
      </w:pPr>
      <w:r>
        <w:t xml:space="preserve">The smoothing-alpha table reports the complete exponential smoothing sweep. Lower</w:t>
      </w:r>
      <w:r>
        <w:t xml:space="preserve"> </w:t>
      </w:r>
      <m:oMath>
        <m:r>
          <m:t>α</m:t>
        </m:r>
      </m:oMath>
      <w:r>
        <w:t xml:space="preserve"> </w:t>
      </w:r>
      <w:r>
        <w:t xml:space="preserve">values place more weight on the previous smoothed forecast and therefore reduce raw FSS more aggressively, but they typically increase RMSE.</w:t>
      </w:r>
    </w:p>
    <w:bookmarkEnd w:id="51"/>
    <w:bookmarkStart w:id="52" w:name="normalized-forecast-stability"/>
    <w:p>
      <w:pPr>
        <w:pStyle w:val="Heading2"/>
      </w:pPr>
      <w:r>
        <w:t xml:space="preserve">Normalized Forecast Stability</w:t>
      </w:r>
    </w:p>
    <w:p>
      <w:pPr>
        <w:pStyle w:val="FirstParagraph"/>
      </w:pPr>
      <w:r>
        <w:t xml:space="preserve">The normalized-FSS appendix table reports raw and normalized stability metrics for the primary methods and best smoothing baselines. The stability-aware objective gives the lowest nFSS at all three main scales, although smoothing gives the lowest raw FSS. The corresponding main-paper figure reports the same comparison visually.</w:t>
      </w:r>
    </w:p>
    <w:bookmarkEnd w:id="52"/>
    <w:bookmarkStart w:id="53" w:name="leakage-audit"/>
    <w:p>
      <w:pPr>
        <w:pStyle w:val="Heading2"/>
      </w:pPr>
      <w:r>
        <w:t xml:space="preserve">Leakage Audit</w:t>
      </w:r>
    </w:p>
    <w:p>
      <w:pPr>
        <w:pStyle w:val="FirstParagraph"/>
      </w:pPr>
      <w:r>
        <w:t xml:space="preserve">The automated leakage audit returned a leakage-safe status. The leakage-audit table summarizes the main checks. The train-validation split uses training dates through 2016-03-27 and validation dates from 2016-03-28 through 2016-04-24. No validation rows or validation dates appear in training.</w:t>
      </w:r>
    </w:p>
    <w:bookmarkEnd w:id="53"/>
    <w:bookmarkStart w:id="54" w:name="full-5000-series-attempt"/>
    <w:p>
      <w:pPr>
        <w:pStyle w:val="Heading2"/>
      </w:pPr>
      <w:r>
        <w:t xml:space="preserve">Full 5000-Series Attempt</w:t>
      </w:r>
    </w:p>
    <w:p>
      <w:pPr>
        <w:pStyle w:val="FirstParagraph"/>
      </w:pPr>
      <w:r>
        <w:t xml:space="preserve">We attempted to run the 5000-series experiment using the same full configuration as the revised main scales: full selected training rows, 300 XGBoost trees, identical feature engineering, and the same stability-aware objective. The run completed loading, feature construction, and baseline XGBoost fitting for seed 42, but terminated during the hybrid temporal/stability stage before producing result tables. No reduced full-5000 setting was forced.</w:t>
      </w:r>
    </w:p>
    <w:bookmarkEnd w:id="54"/>
    <w:bookmarkStart w:id="55" w:name="capped-5000-series-diagnostic"/>
    <w:p>
      <w:pPr>
        <w:pStyle w:val="Heading2"/>
      </w:pPr>
      <w:r>
        <w:t xml:space="preserve">Capped 5000-Series Diagnostic</w:t>
      </w:r>
    </w:p>
    <w:p>
      <w:pPr>
        <w:pStyle w:val="FirstParagraph"/>
      </w:pPr>
      <w:r>
        <w:t xml:space="preserve">The capped-5000 appendix table reports the earlier capped 5000-series diagnostic for transparency. This experiment used 250,000 sampled training rows and 120 XGBoost trees. It is not used in the main runtime or scalability claims.</w:t>
      </w:r>
    </w:p>
    <w:bookmarkEnd w:id="55"/>
    <w:bookmarkStart w:id="109" w:name="additional-diagnostics"/>
    <w:p>
      <w:pPr>
        <w:pStyle w:val="Heading2"/>
      </w:pPr>
      <w:r>
        <w:t xml:space="preserve">Additional Diagnostics</w:t>
      </w:r>
    </w:p>
    <w:p>
      <w:pPr>
        <w:pStyle w:val="FirstParagraph"/>
      </w:pPr>
      <w:r>
        <w:t xml:space="preserve">Seed-level robustness is retained as a supplementary check in the reported mean and standard-deviation tables. It is not used for the main novelty claim, but it provides additional evidence on run-to-run variation across the three reported seeds.</w:t>
      </w:r>
    </w:p>
    <w:bookmarkStart w:id="108" w:name="refs"/>
    <w:bookmarkStart w:id="57" w:name="ref-barrow2020robustExponentialSmoothing"/>
    <w:p>
      <w:pPr>
        <w:pStyle w:val="Bibliography"/>
      </w:pPr>
      <w:r>
        <w:t xml:space="preserve">Barrow, Devon, Nikolaos Kourentzes, Rickard Sandberg, and Jacek Niklewski. 2020.</w:t>
      </w:r>
      <w:r>
        <w:t xml:space="preserve"> </w:t>
      </w:r>
      <w:r>
        <w:t xml:space="preserve">“Automatic Robust Estimation for Exponential Smoothing: Perspectives from Statistics and Machine Learning.”</w:t>
      </w:r>
      <w:r>
        <w:t xml:space="preserve"> </w:t>
      </w:r>
      <w:r>
        <w:rPr>
          <w:i/>
          <w:iCs/>
        </w:rPr>
        <w:t xml:space="preserve">Expert Systems with Applications</w:t>
      </w:r>
      <w:r>
        <w:t xml:space="preserve"> </w:t>
      </w:r>
      <w:r>
        <w:t xml:space="preserve">160: 113637.</w:t>
      </w:r>
      <w:r>
        <w:t xml:space="preserve"> </w:t>
      </w:r>
      <w:hyperlink r:id="rId56">
        <w:r>
          <w:rPr>
            <w:rStyle w:val="Hyperlink"/>
          </w:rPr>
          <w:t xml:space="preserve">https://doi.org/10.1016/j.eswa.2020.113637</w:t>
        </w:r>
      </w:hyperlink>
      <w:r>
        <w:t xml:space="preserve">.</w:t>
      </w:r>
    </w:p>
    <w:bookmarkEnd w:id="57"/>
    <w:bookmarkStart w:id="59" w:name="ref-vanBelle2024probabilistic"/>
    <w:p>
      <w:pPr>
        <w:pStyle w:val="Bibliography"/>
      </w:pPr>
      <w:r>
        <w:t xml:space="preserve">Belle, Jente Van, Ruben Crevits, Daan Caljon, and Wouter Verbeke. 2024.</w:t>
      </w:r>
      <w:r>
        <w:t xml:space="preserve"> </w:t>
      </w:r>
      <w:r>
        <w:t xml:space="preserve">“Probabilistic Forecasting with Modified</w:t>
      </w:r>
      <w:r>
        <w:t xml:space="preserve"> </w:t>
      </w:r>
      <w:r>
        <w:t xml:space="preserve">N-BEATS</w:t>
      </w:r>
      <w:r>
        <w:t xml:space="preserve"> </w:t>
      </w:r>
      <w:r>
        <w:t xml:space="preserve">Networks.”</w:t>
      </w:r>
      <w:r>
        <w:t xml:space="preserve"> </w:t>
      </w:r>
      <w:r>
        <w:rPr>
          <w:i/>
          <w:iCs/>
        </w:rPr>
        <w:t xml:space="preserve">IEEE Transactions on Neural Networks and Learning Systems</w:t>
      </w:r>
      <w:r>
        <w:t xml:space="preserve"> </w:t>
      </w:r>
      <w:r>
        <w:t xml:space="preserve">35 (12): 18872–85.</w:t>
      </w:r>
      <w:r>
        <w:t xml:space="preserve"> </w:t>
      </w:r>
      <w:hyperlink r:id="rId58">
        <w:r>
          <w:rPr>
            <w:rStyle w:val="Hyperlink"/>
          </w:rPr>
          <w:t xml:space="preserve">https://doi.org/10.1109/TNNLS.2024.3450832</w:t>
        </w:r>
      </w:hyperlink>
      <w:r>
        <w:t xml:space="preserve">.</w:t>
      </w:r>
    </w:p>
    <w:bookmarkEnd w:id="59"/>
    <w:bookmarkStart w:id="61" w:name="ref-vanBelle2023stability"/>
    <w:p>
      <w:pPr>
        <w:pStyle w:val="Bibliography"/>
      </w:pPr>
      <w:r>
        <w:t xml:space="preserve">Belle, Jente Van, Ruben Crevits, and Wouter Verbeke. 2023.</w:t>
      </w:r>
      <w:r>
        <w:t xml:space="preserve"> </w:t>
      </w:r>
      <w:r>
        <w:t xml:space="preserve">“Improving Forecast Stability Using Deep Learning.”</w:t>
      </w:r>
      <w:r>
        <w:t xml:space="preserve"> </w:t>
      </w:r>
      <w:r>
        <w:rPr>
          <w:i/>
          <w:iCs/>
        </w:rPr>
        <w:t xml:space="preserve">International Journal of Forecasting</w:t>
      </w:r>
      <w:r>
        <w:t xml:space="preserve"> </w:t>
      </w:r>
      <w:r>
        <w:t xml:space="preserve">39 (3): 1333–50.</w:t>
      </w:r>
      <w:r>
        <w:t xml:space="preserve"> </w:t>
      </w:r>
      <w:hyperlink r:id="rId60">
        <w:r>
          <w:rPr>
            <w:rStyle w:val="Hyperlink"/>
          </w:rPr>
          <w:t xml:space="preserve">https://doi.org/10.1016/j.ijforecast.2022.06.007</w:t>
        </w:r>
      </w:hyperlink>
      <w:r>
        <w:t xml:space="preserve">.</w:t>
      </w:r>
    </w:p>
    <w:bookmarkEnd w:id="61"/>
    <w:bookmarkStart w:id="63" w:name="ref-caljon2024dynamic"/>
    <w:p>
      <w:pPr>
        <w:pStyle w:val="Bibliography"/>
      </w:pPr>
      <w:r>
        <w:t xml:space="preserve">Caljon, Daan, Jeff Vercauteren, Simon De Vos, Wouter Verbeke, and Jente Van Belle. 2024.</w:t>
      </w:r>
      <w:r>
        <w:t xml:space="preserve"> </w:t>
      </w:r>
      <w:r>
        <w:rPr>
          <w:i/>
          <w:iCs/>
        </w:rPr>
        <w:t xml:space="preserve">Using Dynamic Loss Weighting to Boost Improvements in Forecast Stability</w:t>
      </w:r>
      <w:r>
        <w:t xml:space="preserve">.</w:t>
      </w:r>
      <w:r>
        <w:t xml:space="preserve"> </w:t>
      </w:r>
      <w:hyperlink r:id="rId62">
        <w:r>
          <w:rPr>
            <w:rStyle w:val="Hyperlink"/>
          </w:rPr>
          <w:t xml:space="preserve">https://doi.org/10.48550/arXiv.2409.18267</w:t>
        </w:r>
      </w:hyperlink>
      <w:r>
        <w:t xml:space="preserve">.</w:t>
      </w:r>
    </w:p>
    <w:bookmarkEnd w:id="63"/>
    <w:bookmarkStart w:id="65" w:name="ref-deCarolis2016loadForecasting"/>
    <w:p>
      <w:pPr>
        <w:pStyle w:val="Bibliography"/>
      </w:pPr>
      <w:r>
        <w:t xml:space="preserve">Carvallo, Juan Pablo, Peter H. Larsen, Alan H. Sanstad, and Charles A. Goldman. 2016.</w:t>
      </w:r>
      <w:r>
        <w:t xml:space="preserve"> </w:t>
      </w:r>
      <w:r>
        <w:rPr>
          <w:i/>
          <w:iCs/>
        </w:rPr>
        <w:t xml:space="preserve">Load Forecasting in Electric Utility Integrated Resource Planning</w:t>
      </w:r>
      <w:r>
        <w:t xml:space="preserve">. LBNL-1006395. Lawrence Berkeley National Laboratory.</w:t>
      </w:r>
      <w:r>
        <w:t xml:space="preserve"> </w:t>
      </w:r>
      <w:hyperlink r:id="rId64">
        <w:r>
          <w:rPr>
            <w:rStyle w:val="Hyperlink"/>
          </w:rPr>
          <w:t xml:space="preserve">https://emp.lbl.gov/publications/load-forecasting-electric-utility</w:t>
        </w:r>
      </w:hyperlink>
      <w:r>
        <w:t xml:space="preserve">.</w:t>
      </w:r>
    </w:p>
    <w:bookmarkEnd w:id="65"/>
    <w:bookmarkStart w:id="67" w:name="ref-chen2000bullwhip"/>
    <w:p>
      <w:pPr>
        <w:pStyle w:val="Bibliography"/>
      </w:pPr>
      <w:r>
        <w:t xml:space="preserve">Chen, Frank, Zvi Drezner, Jennifer K. Ryan, and David Simchi-Levi. 2000.</w:t>
      </w:r>
      <w:r>
        <w:t xml:space="preserve"> </w:t>
      </w:r>
      <w:r>
        <w:t xml:space="preserve">“Quantifying the Bullwhip Effect in a Simple Supply Chain: The Impact of Forecasting, Lead Times, and Information.”</w:t>
      </w:r>
      <w:r>
        <w:t xml:space="preserve"> </w:t>
      </w:r>
      <w:r>
        <w:rPr>
          <w:i/>
          <w:iCs/>
        </w:rPr>
        <w:t xml:space="preserve">Management Science</w:t>
      </w:r>
      <w:r>
        <w:t xml:space="preserve"> </w:t>
      </w:r>
      <w:r>
        <w:t xml:space="preserve">46 (3): 436–43.</w:t>
      </w:r>
      <w:r>
        <w:t xml:space="preserve"> </w:t>
      </w:r>
      <w:hyperlink r:id="rId66">
        <w:r>
          <w:rPr>
            <w:rStyle w:val="Hyperlink"/>
          </w:rPr>
          <w:t xml:space="preserve">https://doi.org/10.1287/mnsc.46.3.436.12069</w:t>
        </w:r>
      </w:hyperlink>
      <w:r>
        <w:t xml:space="preserve">.</w:t>
      </w:r>
    </w:p>
    <w:bookmarkEnd w:id="67"/>
    <w:bookmarkStart w:id="69" w:name="ref-chen2023tsmixer"/>
    <w:p>
      <w:pPr>
        <w:pStyle w:val="Bibliography"/>
      </w:pPr>
      <w:r>
        <w:t xml:space="preserve">Chen, Si-An, Chun-Liang Li, Nate Yoder, Sercan O. Arik, and Tomas Pfister. 2023.</w:t>
      </w:r>
      <w:r>
        <w:t xml:space="preserve"> </w:t>
      </w:r>
      <w:r>
        <w:t xml:space="preserve">“</w:t>
      </w:r>
      <w:r>
        <w:t xml:space="preserve">TSMixer</w:t>
      </w:r>
      <w:r>
        <w:t xml:space="preserve">: An All-</w:t>
      </w:r>
      <w:r>
        <w:t xml:space="preserve">MLP</w:t>
      </w:r>
      <w:r>
        <w:t xml:space="preserve"> </w:t>
      </w:r>
      <w:r>
        <w:t xml:space="preserve">Architecture for Time Series Forecasting.”</w:t>
      </w:r>
      <w:r>
        <w:t xml:space="preserve"> </w:t>
      </w:r>
      <w:r>
        <w:rPr>
          <w:i/>
          <w:iCs/>
        </w:rPr>
        <w:t xml:space="preserve">Transactions on Machine Learning Research</w:t>
      </w:r>
      <w:r>
        <w:t xml:space="preserve">.</w:t>
      </w:r>
      <w:r>
        <w:t xml:space="preserve"> </w:t>
      </w:r>
      <w:hyperlink r:id="rId68">
        <w:r>
          <w:rPr>
            <w:rStyle w:val="Hyperlink"/>
          </w:rPr>
          <w:t xml:space="preserve">https://openreview.net/forum?id=wbpxTuXgm0</w:t>
        </w:r>
      </w:hyperlink>
      <w:r>
        <w:t xml:space="preserve">.</w:t>
      </w:r>
    </w:p>
    <w:bookmarkEnd w:id="69"/>
    <w:bookmarkStart w:id="71" w:name="ref-chen2016xgboost"/>
    <w:p>
      <w:pPr>
        <w:pStyle w:val="Bibliography"/>
      </w:pPr>
      <w:r>
        <w:t xml:space="preserve">Chen, Tianqi, and Carlos Guestrin. 2016.</w:t>
      </w:r>
      <w:r>
        <w:t xml:space="preserve"> </w:t>
      </w:r>
      <w:r>
        <w:t xml:space="preserve">“</w:t>
      </w:r>
      <w:r>
        <w:t xml:space="preserve">XGBoost</w:t>
      </w:r>
      <w:r>
        <w:t xml:space="preserve">: A Scalable Tree Boosting System.”</w:t>
      </w:r>
      <w:r>
        <w:t xml:space="preserve"> </w:t>
      </w:r>
      <w:r>
        <w:rPr>
          <w:i/>
          <w:iCs/>
        </w:rPr>
        <w:t xml:space="preserve">Proceedings of the 22nd ACM SIGKDD International Conference on Knowledge Discovery and Data Mining</w:t>
      </w:r>
      <w:r>
        <w:t xml:space="preserve">, 785–94.</w:t>
      </w:r>
      <w:r>
        <w:t xml:space="preserve"> </w:t>
      </w:r>
      <w:hyperlink r:id="rId70">
        <w:r>
          <w:rPr>
            <w:rStyle w:val="Hyperlink"/>
          </w:rPr>
          <w:t xml:space="preserve">https://doi.org/10.1145/2939672.2939785</w:t>
        </w:r>
      </w:hyperlink>
      <w:r>
        <w:t xml:space="preserve">.</w:t>
      </w:r>
    </w:p>
    <w:bookmarkEnd w:id="71"/>
    <w:bookmarkStart w:id="73" w:name="ref-croston1972intermittent"/>
    <w:p>
      <w:pPr>
        <w:pStyle w:val="Bibliography"/>
      </w:pPr>
      <w:r>
        <w:t xml:space="preserve">Croston, J. D. 1972.</w:t>
      </w:r>
      <w:r>
        <w:t xml:space="preserve"> </w:t>
      </w:r>
      <w:r>
        <w:t xml:space="preserve">“Forecasting and Stock Control for Intermittent Demands.”</w:t>
      </w:r>
      <w:r>
        <w:t xml:space="preserve"> </w:t>
      </w:r>
      <w:r>
        <w:rPr>
          <w:i/>
          <w:iCs/>
        </w:rPr>
        <w:t xml:space="preserve">Operational Research Quarterly</w:t>
      </w:r>
      <w:r>
        <w:t xml:space="preserve"> </w:t>
      </w:r>
      <w:r>
        <w:t xml:space="preserve">23 (3): 289–303.</w:t>
      </w:r>
      <w:r>
        <w:t xml:space="preserve"> </w:t>
      </w:r>
      <w:hyperlink r:id="rId72">
        <w:r>
          <w:rPr>
            <w:rStyle w:val="Hyperlink"/>
          </w:rPr>
          <w:t xml:space="preserve">https://doi.org/10.1057/jors.1972.50</w:t>
        </w:r>
      </w:hyperlink>
      <w:r>
        <w:t xml:space="preserve">.</w:t>
      </w:r>
    </w:p>
    <w:bookmarkEnd w:id="73"/>
    <w:bookmarkStart w:id="75" w:name="ref-fildes2022retail"/>
    <w:p>
      <w:pPr>
        <w:pStyle w:val="Bibliography"/>
      </w:pPr>
      <w:r>
        <w:t xml:space="preserve">Fildes, Robert D., Shaohui Ma, and Stephan Kolassa. 2022.</w:t>
      </w:r>
      <w:r>
        <w:t xml:space="preserve"> </w:t>
      </w:r>
      <w:r>
        <w:t xml:space="preserve">“Retail Forecasting: Research and Practice.”</w:t>
      </w:r>
      <w:r>
        <w:t xml:space="preserve"> </w:t>
      </w:r>
      <w:r>
        <w:rPr>
          <w:i/>
          <w:iCs/>
        </w:rPr>
        <w:t xml:space="preserve">International Journal of Forecasting</w:t>
      </w:r>
      <w:r>
        <w:t xml:space="preserve"> </w:t>
      </w:r>
      <w:r>
        <w:t xml:space="preserve">38 (4): 1283–318.</w:t>
      </w:r>
      <w:r>
        <w:t xml:space="preserve"> </w:t>
      </w:r>
      <w:hyperlink r:id="rId74">
        <w:r>
          <w:rPr>
            <w:rStyle w:val="Hyperlink"/>
          </w:rPr>
          <w:t xml:space="preserve">https://doi.org/10.1016/j.ijforecast.2019.06.004</w:t>
        </w:r>
      </w:hyperlink>
      <w:r>
        <w:t xml:space="preserve">.</w:t>
      </w:r>
    </w:p>
    <w:bookmarkEnd w:id="75"/>
    <w:bookmarkStart w:id="77" w:name="ref-fildes2008orReview"/>
    <w:p>
      <w:pPr>
        <w:pStyle w:val="Bibliography"/>
      </w:pPr>
      <w:r>
        <w:t xml:space="preserve">Fildes, Robert, Konstantinos Nikolopoulos, Sven F. Crone, and Aris A. Syntetos. 2008.</w:t>
      </w:r>
      <w:r>
        <w:t xml:space="preserve"> </w:t>
      </w:r>
      <w:r>
        <w:t xml:space="preserve">“Forecasting and Operational Research: A Review.”</w:t>
      </w:r>
      <w:r>
        <w:t xml:space="preserve"> </w:t>
      </w:r>
      <w:r>
        <w:rPr>
          <w:i/>
          <w:iCs/>
        </w:rPr>
        <w:t xml:space="preserve">Journal of the Operational Research Society</w:t>
      </w:r>
      <w:r>
        <w:t xml:space="preserve"> </w:t>
      </w:r>
      <w:r>
        <w:t xml:space="preserve">59 (9): 1150–72.</w:t>
      </w:r>
      <w:r>
        <w:t xml:space="preserve"> </w:t>
      </w:r>
      <w:hyperlink r:id="rId76">
        <w:r>
          <w:rPr>
            <w:rStyle w:val="Hyperlink"/>
          </w:rPr>
          <w:t xml:space="preserve">https://doi.org/10.1057/palgrave.jors.2602597</w:t>
        </w:r>
      </w:hyperlink>
      <w:r>
        <w:t xml:space="preserve">.</w:t>
      </w:r>
    </w:p>
    <w:bookmarkEnd w:id="77"/>
    <w:bookmarkStart w:id="79" w:name="ref-godahewa2025forecastStability"/>
    <w:p>
      <w:pPr>
        <w:pStyle w:val="Bibliography"/>
      </w:pPr>
      <w:r>
        <w:t xml:space="preserve">Godahewa, Rakshitha, Christoph Bergmeir, Zeynep Erkin Baz, et al. 2025.</w:t>
      </w:r>
      <w:r>
        <w:t xml:space="preserve"> </w:t>
      </w:r>
      <w:r>
        <w:t xml:space="preserve">“On Forecast Stability.”</w:t>
      </w:r>
      <w:r>
        <w:t xml:space="preserve"> </w:t>
      </w:r>
      <w:r>
        <w:rPr>
          <w:i/>
          <w:iCs/>
        </w:rPr>
        <w:t xml:space="preserve">International Journal of Forecasting</w:t>
      </w:r>
      <w:r>
        <w:t xml:space="preserve"> </w:t>
      </w:r>
      <w:r>
        <w:t xml:space="preserve">41 (4): 1539–58.</w:t>
      </w:r>
      <w:r>
        <w:t xml:space="preserve"> </w:t>
      </w:r>
      <w:hyperlink r:id="rId78">
        <w:r>
          <w:rPr>
            <w:rStyle w:val="Hyperlink"/>
          </w:rPr>
          <w:t xml:space="preserve">https://doi.org/10.1016/j.ijforecast.2025.01.006</w:t>
        </w:r>
      </w:hyperlink>
      <w:r>
        <w:t xml:space="preserve">.</w:t>
      </w:r>
    </w:p>
    <w:bookmarkEnd w:id="79"/>
    <w:bookmarkStart w:id="81" w:name="ref-hyndman2006accuracyMetrics"/>
    <w:p>
      <w:pPr>
        <w:pStyle w:val="Bibliography"/>
      </w:pPr>
      <w:r>
        <w:t xml:space="preserve">Hyndman, Rob J., and Anne B. Koehler. 2006.</w:t>
      </w:r>
      <w:r>
        <w:t xml:space="preserve"> </w:t>
      </w:r>
      <w:r>
        <w:t xml:space="preserve">“Another Look at Measures of Forecast Accuracy.”</w:t>
      </w:r>
      <w:r>
        <w:t xml:space="preserve"> </w:t>
      </w:r>
      <w:r>
        <w:rPr>
          <w:i/>
          <w:iCs/>
        </w:rPr>
        <w:t xml:space="preserve">International Journal of Forecasting</w:t>
      </w:r>
      <w:r>
        <w:t xml:space="preserve"> </w:t>
      </w:r>
      <w:r>
        <w:t xml:space="preserve">22 (4): 679–88.</w:t>
      </w:r>
      <w:r>
        <w:t xml:space="preserve"> </w:t>
      </w:r>
      <w:hyperlink r:id="rId80">
        <w:r>
          <w:rPr>
            <w:rStyle w:val="Hyperlink"/>
          </w:rPr>
          <w:t xml:space="preserve">https://doi.org/10.1016/j.ijforecast.2006.03.001</w:t>
        </w:r>
      </w:hyperlink>
      <w:r>
        <w:t xml:space="preserve">.</w:t>
      </w:r>
    </w:p>
    <w:bookmarkEnd w:id="81"/>
    <w:bookmarkStart w:id="83" w:name="ref-lee1997bullwhip"/>
    <w:p>
      <w:pPr>
        <w:pStyle w:val="Bibliography"/>
      </w:pPr>
      <w:r>
        <w:t xml:space="preserve">Lee, Hau L., V. Padmanabhan, and Seungjin Whang. 1997.</w:t>
      </w:r>
      <w:r>
        <w:t xml:space="preserve"> </w:t>
      </w:r>
      <w:r>
        <w:t xml:space="preserve">“Information Distortion in a Supply Chain: The Bullwhip Effect.”</w:t>
      </w:r>
      <w:r>
        <w:t xml:space="preserve"> </w:t>
      </w:r>
      <w:r>
        <w:rPr>
          <w:i/>
          <w:iCs/>
        </w:rPr>
        <w:t xml:space="preserve">Management Science</w:t>
      </w:r>
      <w:r>
        <w:t xml:space="preserve"> </w:t>
      </w:r>
      <w:r>
        <w:t xml:space="preserve">43 (4): 546–58.</w:t>
      </w:r>
      <w:r>
        <w:t xml:space="preserve"> </w:t>
      </w:r>
      <w:hyperlink r:id="rId82">
        <w:r>
          <w:rPr>
            <w:rStyle w:val="Hyperlink"/>
          </w:rPr>
          <w:t xml:space="preserve">https://doi.org/10.1287/mnsc.43.4.546</w:t>
        </w:r>
      </w:hyperlink>
      <w:r>
        <w:t xml:space="preserve">.</w:t>
      </w:r>
    </w:p>
    <w:bookmarkEnd w:id="83"/>
    <w:bookmarkStart w:id="85" w:name="ref-makridakis2000m3"/>
    <w:p>
      <w:pPr>
        <w:pStyle w:val="Bibliography"/>
      </w:pPr>
      <w:r>
        <w:t xml:space="preserve">Makridakis, Spyros, and Michele Hibon. 2000.</w:t>
      </w:r>
      <w:r>
        <w:t xml:space="preserve"> </w:t>
      </w:r>
      <w:r>
        <w:t xml:space="preserve">“The</w:t>
      </w:r>
      <w:r>
        <w:t xml:space="preserve"> </w:t>
      </w:r>
      <w:r>
        <w:t xml:space="preserve">M3</w:t>
      </w:r>
      <w:r>
        <w:t xml:space="preserve">-Competition: Results, Conclusions and Implications.”</w:t>
      </w:r>
      <w:r>
        <w:t xml:space="preserve"> </w:t>
      </w:r>
      <w:r>
        <w:rPr>
          <w:i/>
          <w:iCs/>
        </w:rPr>
        <w:t xml:space="preserve">International Journal of Forecasting</w:t>
      </w:r>
      <w:r>
        <w:t xml:space="preserve"> </w:t>
      </w:r>
      <w:r>
        <w:t xml:space="preserve">16 (4): 451–76.</w:t>
      </w:r>
      <w:r>
        <w:t xml:space="preserve"> </w:t>
      </w:r>
      <w:hyperlink r:id="rId84">
        <w:r>
          <w:rPr>
            <w:rStyle w:val="Hyperlink"/>
          </w:rPr>
          <w:t xml:space="preserve">https://doi.org/10.1016/S0169-2070(00)00057-1</w:t>
        </w:r>
      </w:hyperlink>
      <w:r>
        <w:t xml:space="preserve">.</w:t>
      </w:r>
    </w:p>
    <w:bookmarkEnd w:id="85"/>
    <w:bookmarkStart w:id="87" w:name="ref-makridakis2022m5"/>
    <w:p>
      <w:pPr>
        <w:pStyle w:val="Bibliography"/>
      </w:pPr>
      <w:r>
        <w:t xml:space="preserve">Makridakis, Spyros, Evangelos Spiliotis, and Vassilios Assimakopoulos. 2022.</w:t>
      </w:r>
      <w:r>
        <w:t xml:space="preserve"> </w:t>
      </w:r>
      <w:r>
        <w:t xml:space="preserve">“</w:t>
      </w:r>
      <w:r>
        <w:t xml:space="preserve">M5</w:t>
      </w:r>
      <w:r>
        <w:t xml:space="preserve"> </w:t>
      </w:r>
      <w:r>
        <w:t xml:space="preserve">Accuracy Competition: Results, Findings, and Conclusions.”</w:t>
      </w:r>
      <w:r>
        <w:t xml:space="preserve"> </w:t>
      </w:r>
      <w:r>
        <w:rPr>
          <w:i/>
          <w:iCs/>
        </w:rPr>
        <w:t xml:space="preserve">International Journal of Forecasting</w:t>
      </w:r>
      <w:r>
        <w:t xml:space="preserve"> </w:t>
      </w:r>
      <w:r>
        <w:t xml:space="preserve">38 (4): 1346–64.</w:t>
      </w:r>
      <w:r>
        <w:t xml:space="preserve"> </w:t>
      </w:r>
      <w:hyperlink r:id="rId86">
        <w:r>
          <w:rPr>
            <w:rStyle w:val="Hyperlink"/>
          </w:rPr>
          <w:t xml:space="preserve">https://doi.org/10.1016/j.ijforecast.2021.11.013</w:t>
        </w:r>
      </w:hyperlink>
      <w:r>
        <w:t xml:space="preserve">.</w:t>
      </w:r>
    </w:p>
    <w:bookmarkEnd w:id="87"/>
    <w:bookmarkStart w:id="89" w:name="ref-nie2023patchtst"/>
    <w:p>
      <w:pPr>
        <w:pStyle w:val="Bibliography"/>
      </w:pPr>
      <w:r>
        <w:t xml:space="preserve">Nie, Yuqi, Nam H. Nguyen, Phanwadee Sinthong, and Jayant Kalagnanam. 2023.</w:t>
      </w:r>
      <w:r>
        <w:t xml:space="preserve"> </w:t>
      </w:r>
      <w:r>
        <w:t xml:space="preserve">“A Time Series Is Worth 64 Words: Long-Term Forecasting with Transformers.”</w:t>
      </w:r>
      <w:r>
        <w:t xml:space="preserve"> </w:t>
      </w:r>
      <w:r>
        <w:rPr>
          <w:i/>
          <w:iCs/>
        </w:rPr>
        <w:t xml:space="preserve">International Conference on Learning Representations</w:t>
      </w:r>
      <w:r>
        <w:t xml:space="preserve">.</w:t>
      </w:r>
      <w:r>
        <w:t xml:space="preserve"> </w:t>
      </w:r>
      <w:hyperlink r:id="rId88">
        <w:r>
          <w:rPr>
            <w:rStyle w:val="Hyperlink"/>
          </w:rPr>
          <w:t xml:space="preserve">https://openreview.net/forum?id=Jbdc0vTOcol</w:t>
        </w:r>
      </w:hyperlink>
      <w:r>
        <w:t xml:space="preserve">.</w:t>
      </w:r>
    </w:p>
    <w:bookmarkEnd w:id="89"/>
    <w:bookmarkStart w:id="91" w:name="ref-petropoulos2022forecasting"/>
    <w:p>
      <w:pPr>
        <w:pStyle w:val="Bibliography"/>
      </w:pPr>
      <w:r>
        <w:t xml:space="preserve">Petropoulos, Fotios et al.</w:t>
      </w:r>
      <w:r>
        <w:t xml:space="preserve"> 2022.</w:t>
      </w:r>
      <w:r>
        <w:t xml:space="preserve"> </w:t>
      </w:r>
      <w:r>
        <w:t xml:space="preserve">“Forecasting: Theory and Practice.”</w:t>
      </w:r>
      <w:r>
        <w:t xml:space="preserve"> </w:t>
      </w:r>
      <w:r>
        <w:rPr>
          <w:i/>
          <w:iCs/>
        </w:rPr>
        <w:t xml:space="preserve">International Journal of Forecasting</w:t>
      </w:r>
      <w:r>
        <w:t xml:space="preserve"> </w:t>
      </w:r>
      <w:r>
        <w:t xml:space="preserve">38 (3): 705–871.</w:t>
      </w:r>
      <w:r>
        <w:t xml:space="preserve"> </w:t>
      </w:r>
      <w:hyperlink r:id="rId90">
        <w:r>
          <w:rPr>
            <w:rStyle w:val="Hyperlink"/>
          </w:rPr>
          <w:t xml:space="preserve">https://doi.org/10.1016/j.ijforecast.2021.11.001</w:t>
        </w:r>
      </w:hyperlink>
      <w:r>
        <w:t xml:space="preserve">.</w:t>
      </w:r>
    </w:p>
    <w:bookmarkEnd w:id="91"/>
    <w:bookmarkStart w:id="93" w:name="ref-strom2024forecastMetrics"/>
    <w:p>
      <w:pPr>
        <w:pStyle w:val="Bibliography"/>
      </w:pPr>
      <w:r>
        <w:t xml:space="preserve">Strom, Eivind, and Odd Erik Gundersen. 2024.</w:t>
      </w:r>
      <w:r>
        <w:t xml:space="preserve"> </w:t>
      </w:r>
      <w:r>
        <w:t xml:space="preserve">“Performance Metrics for Multi-Step Forecasting Measuring Win-Loss, Seasonal Variance and Forecast Stability: An Empirical Study.”</w:t>
      </w:r>
      <w:r>
        <w:t xml:space="preserve"> </w:t>
      </w:r>
      <w:r>
        <w:rPr>
          <w:i/>
          <w:iCs/>
        </w:rPr>
        <w:t xml:space="preserve">Applied Intelligence</w:t>
      </w:r>
      <w:r>
        <w:t xml:space="preserve">, ahead of print.</w:t>
      </w:r>
      <w:r>
        <w:t xml:space="preserve"> </w:t>
      </w:r>
      <w:hyperlink r:id="rId92">
        <w:r>
          <w:rPr>
            <w:rStyle w:val="Hyperlink"/>
          </w:rPr>
          <w:t xml:space="preserve">https://doi.org/10.1007/s10489-024-05715-4</w:t>
        </w:r>
      </w:hyperlink>
      <w:r>
        <w:t xml:space="preserve">.</w:t>
      </w:r>
    </w:p>
    <w:bookmarkEnd w:id="93"/>
    <w:bookmarkStart w:id="95" w:name="ref-syntetos2005accuracy"/>
    <w:p>
      <w:pPr>
        <w:pStyle w:val="Bibliography"/>
      </w:pPr>
      <w:r>
        <w:t xml:space="preserve">Syntetos, Aris A., and John E. Boylan. 2005.</w:t>
      </w:r>
      <w:r>
        <w:t xml:space="preserve"> </w:t>
      </w:r>
      <w:r>
        <w:t xml:space="preserve">“The Accuracy of Intermittent Demand Estimates.”</w:t>
      </w:r>
      <w:r>
        <w:t xml:space="preserve"> </w:t>
      </w:r>
      <w:r>
        <w:rPr>
          <w:i/>
          <w:iCs/>
        </w:rPr>
        <w:t xml:space="preserve">International Journal of Forecasting</w:t>
      </w:r>
      <w:r>
        <w:t xml:space="preserve"> </w:t>
      </w:r>
      <w:r>
        <w:t xml:space="preserve">21 (2): 303–14.</w:t>
      </w:r>
      <w:r>
        <w:t xml:space="preserve"> </w:t>
      </w:r>
      <w:hyperlink r:id="rId94">
        <w:r>
          <w:rPr>
            <w:rStyle w:val="Hyperlink"/>
          </w:rPr>
          <w:t xml:space="preserve">https://doi.org/10.1016/j.ijforecast.2004.10.001</w:t>
        </w:r>
      </w:hyperlink>
      <w:r>
        <w:t xml:space="preserve">.</w:t>
      </w:r>
    </w:p>
    <w:bookmarkEnd w:id="95"/>
    <w:bookmarkStart w:id="97" w:name="ref-syntetos2006stockControl"/>
    <w:p>
      <w:pPr>
        <w:pStyle w:val="Bibliography"/>
      </w:pPr>
      <w:r>
        <w:t xml:space="preserve">Syntetos, Aris A., and John E. Boylan. 2006.</w:t>
      </w:r>
      <w:r>
        <w:t xml:space="preserve"> </w:t>
      </w:r>
      <w:r>
        <w:t xml:space="preserve">“On the Stock Control Performance of Intermittent Demand Estimators.”</w:t>
      </w:r>
      <w:r>
        <w:t xml:space="preserve"> </w:t>
      </w:r>
      <w:r>
        <w:rPr>
          <w:i/>
          <w:iCs/>
        </w:rPr>
        <w:t xml:space="preserve">International Journal of Production Economics</w:t>
      </w:r>
      <w:r>
        <w:t xml:space="preserve"> </w:t>
      </w:r>
      <w:r>
        <w:t xml:space="preserve">103 (1): 36–47.</w:t>
      </w:r>
      <w:r>
        <w:t xml:space="preserve"> </w:t>
      </w:r>
      <w:hyperlink r:id="rId96">
        <w:r>
          <w:rPr>
            <w:rStyle w:val="Hyperlink"/>
          </w:rPr>
          <w:t xml:space="preserve">https://doi.org/10.1016/j.ijpe.2005.04.004</w:t>
        </w:r>
      </w:hyperlink>
      <w:r>
        <w:t xml:space="preserve">.</w:t>
      </w:r>
    </w:p>
    <w:bookmarkEnd w:id="97"/>
    <w:bookmarkStart w:id="99" w:name="ref-inpatientBed2022forecasting"/>
    <w:p>
      <w:pPr>
        <w:pStyle w:val="Bibliography"/>
      </w:pPr>
      <w:r>
        <w:t xml:space="preserve">Tello, Manuel, Eric S. Reich, Jason Puckey, et al.</w:t>
      </w:r>
      <w:r>
        <w:t xml:space="preserve"> 2022.</w:t>
      </w:r>
      <w:r>
        <w:t xml:space="preserve"> </w:t>
      </w:r>
      <w:r>
        <w:t xml:space="preserve">“Machine Learning Based Forecast for the Prediction of Inpatient Bed Demand.”</w:t>
      </w:r>
      <w:r>
        <w:t xml:space="preserve"> </w:t>
      </w:r>
      <w:r>
        <w:rPr>
          <w:i/>
          <w:iCs/>
        </w:rPr>
        <w:t xml:space="preserve">BMC Medical Informatics and Decision Making</w:t>
      </w:r>
      <w:r>
        <w:t xml:space="preserve"> </w:t>
      </w:r>
      <w:r>
        <w:t xml:space="preserve">22 (55).</w:t>
      </w:r>
      <w:r>
        <w:t xml:space="preserve"> </w:t>
      </w:r>
      <w:hyperlink r:id="rId98">
        <w:r>
          <w:rPr>
            <w:rStyle w:val="Hyperlink"/>
          </w:rPr>
          <w:t xml:space="preserve">https://doi.org/10.1186/s12911-022-01787-9</w:t>
        </w:r>
      </w:hyperlink>
      <w:r>
        <w:t xml:space="preserve">.</w:t>
      </w:r>
    </w:p>
    <w:bookmarkEnd w:id="99"/>
    <w:bookmarkStart w:id="101" w:name="ref-wang2024timemixer"/>
    <w:p>
      <w:pPr>
        <w:pStyle w:val="Bibliography"/>
      </w:pPr>
      <w:r>
        <w:t xml:space="preserve">Wang, Shiyu, Haixu Wu, Xiaoming Shi, et al. 2024.</w:t>
      </w:r>
      <w:r>
        <w:t xml:space="preserve"> </w:t>
      </w:r>
      <w:r>
        <w:t xml:space="preserve">“</w:t>
      </w:r>
      <w:r>
        <w:t xml:space="preserve">TimeMixer</w:t>
      </w:r>
      <w:r>
        <w:t xml:space="preserve">: Decomposable Multiscale Mixing for Time Series Forecasting.”</w:t>
      </w:r>
      <w:r>
        <w:t xml:space="preserve"> </w:t>
      </w:r>
      <w:r>
        <w:rPr>
          <w:i/>
          <w:iCs/>
        </w:rPr>
        <w:t xml:space="preserve">International Conference on Learning Representations</w:t>
      </w:r>
      <w:r>
        <w:t xml:space="preserve">.</w:t>
      </w:r>
      <w:r>
        <w:t xml:space="preserve"> </w:t>
      </w:r>
      <w:hyperlink r:id="rId100">
        <w:r>
          <w:rPr>
            <w:rStyle w:val="Hyperlink"/>
          </w:rPr>
          <w:t xml:space="preserve">https://proceedings.iclr.cc/paper_files/paper/2024/hash/a7ac8a21e5a27e7ab31a5f42a0117bdb-Abstract-Conference.html</w:t>
        </w:r>
      </w:hyperlink>
      <w:r>
        <w:t xml:space="preserve">.</w:t>
      </w:r>
    </w:p>
    <w:bookmarkEnd w:id="101"/>
    <w:bookmarkStart w:id="103" w:name="ref-wu2021autoformer"/>
    <w:p>
      <w:pPr>
        <w:pStyle w:val="Bibliography"/>
      </w:pPr>
      <w:r>
        <w:t xml:space="preserve">Wu, Haixu, Jiehui Xu, Jianmin Wang, and Mingsheng Long. 2021.</w:t>
      </w:r>
      <w:r>
        <w:t xml:space="preserve"> </w:t>
      </w:r>
      <w:r>
        <w:t xml:space="preserve">“Autoformer: Decomposition Transformers with Auto-Correlation for Long-Term Series Forecasting.”</w:t>
      </w:r>
      <w:r>
        <w:t xml:space="preserve"> </w:t>
      </w:r>
      <w:r>
        <w:rPr>
          <w:i/>
          <w:iCs/>
        </w:rPr>
        <w:t xml:space="preserve">Advances in Neural Information Processing Systems</w:t>
      </w:r>
      <w:r>
        <w:t xml:space="preserve"> </w:t>
      </w:r>
      <w:r>
        <w:t xml:space="preserve">34: 22419–30.</w:t>
      </w:r>
      <w:r>
        <w:t xml:space="preserve"> </w:t>
      </w:r>
      <w:hyperlink r:id="rId102">
        <w:r>
          <w:rPr>
            <w:rStyle w:val="Hyperlink"/>
          </w:rPr>
          <w:t xml:space="preserve">https://proceedings.neurips.cc/paper_files/paper/2021/hash/bcc0d400288793e8bdcd7c19a8ac0c2b-Abstract.html</w:t>
        </w:r>
      </w:hyperlink>
      <w:r>
        <w:t xml:space="preserve">.</w:t>
      </w:r>
    </w:p>
    <w:bookmarkEnd w:id="103"/>
    <w:bookmarkStart w:id="105" w:name="ref-zhang2004forecastingBullwhip"/>
    <w:p>
      <w:pPr>
        <w:pStyle w:val="Bibliography"/>
      </w:pPr>
      <w:r>
        <w:t xml:space="preserve">Zhang, Xiaolong. 2004.</w:t>
      </w:r>
      <w:r>
        <w:t xml:space="preserve"> </w:t>
      </w:r>
      <w:r>
        <w:t xml:space="preserve">“The Impact of Forecasting Methods on the Bullwhip Effect.”</w:t>
      </w:r>
      <w:r>
        <w:t xml:space="preserve"> </w:t>
      </w:r>
      <w:r>
        <w:rPr>
          <w:i/>
          <w:iCs/>
        </w:rPr>
        <w:t xml:space="preserve">International Journal of Production Economics</w:t>
      </w:r>
      <w:r>
        <w:t xml:space="preserve"> </w:t>
      </w:r>
      <w:r>
        <w:t xml:space="preserve">88 (1): 15–27.</w:t>
      </w:r>
      <w:r>
        <w:t xml:space="preserve"> </w:t>
      </w:r>
      <w:hyperlink r:id="rId104">
        <w:r>
          <w:rPr>
            <w:rStyle w:val="Hyperlink"/>
          </w:rPr>
          <w:t xml:space="preserve">https://doi.org/10.1016/S0925-5273(03)00128-2</w:t>
        </w:r>
      </w:hyperlink>
      <w:r>
        <w:t xml:space="preserve">.</w:t>
      </w:r>
    </w:p>
    <w:bookmarkEnd w:id="105"/>
    <w:bookmarkStart w:id="107" w:name="ref-zhou2021informer"/>
    <w:p>
      <w:pPr>
        <w:pStyle w:val="Bibliography"/>
      </w:pPr>
      <w:r>
        <w:t xml:space="preserve">Zhou, Haoyi, Shanghang Zhang, Jieqi Peng, et al. 2021.</w:t>
      </w:r>
      <w:r>
        <w:t xml:space="preserve"> </w:t>
      </w:r>
      <w:r>
        <w:t xml:space="preserve">“Informer: Beyond Efficient Transformer for Long Sequence Time-Series Forecasting.”</w:t>
      </w:r>
      <w:r>
        <w:t xml:space="preserve"> </w:t>
      </w:r>
      <w:r>
        <w:rPr>
          <w:i/>
          <w:iCs/>
        </w:rPr>
        <w:t xml:space="preserve">Proceedings of the AAAI Conference on Artificial Intelligence</w:t>
      </w:r>
      <w:r>
        <w:t xml:space="preserve"> </w:t>
      </w:r>
      <w:r>
        <w:t xml:space="preserve">35 (12): 11106–15.</w:t>
      </w:r>
      <w:r>
        <w:t xml:space="preserve"> </w:t>
      </w:r>
      <w:hyperlink r:id="rId106">
        <w:r>
          <w:rPr>
            <w:rStyle w:val="Hyperlink"/>
          </w:rPr>
          <w:t xml:space="preserve">https://doi.org/10.1609/aaai.v35i12.17325</w:t>
        </w:r>
      </w:hyperlink>
      <w:r>
        <w:t xml:space="preserve">.</w:t>
      </w:r>
    </w:p>
    <w:bookmarkEnd w:id="107"/>
    <w:bookmarkEnd w:id="108"/>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26" Target="media/rId26.png" /><Relationship Type="http://schemas.openxmlformats.org/officeDocument/2006/relationships/image" Id="rId40" Target="media/rId40.png" /><Relationship Type="http://schemas.openxmlformats.org/officeDocument/2006/relationships/image" Id="rId36" Target="media/rId36.png" /><Relationship Type="http://schemas.openxmlformats.org/officeDocument/2006/relationships/hyperlink" Id="rId92" Target="https://doi.org/10.1007/s10489-024-05715-4" TargetMode="External" /><Relationship Type="http://schemas.openxmlformats.org/officeDocument/2006/relationships/hyperlink" Id="rId84" Target="https://doi.org/10.1016/S0169-2070(00)00057-1" TargetMode="External" /><Relationship Type="http://schemas.openxmlformats.org/officeDocument/2006/relationships/hyperlink" Id="rId104" Target="https://doi.org/10.1016/S0925-5273(03)00128-2" TargetMode="External" /><Relationship Type="http://schemas.openxmlformats.org/officeDocument/2006/relationships/hyperlink" Id="rId56" Target="https://doi.org/10.1016/j.eswa.2020.113637" TargetMode="External" /><Relationship Type="http://schemas.openxmlformats.org/officeDocument/2006/relationships/hyperlink" Id="rId94" Target="https://doi.org/10.1016/j.ijforecast.2004.10.001" TargetMode="External" /><Relationship Type="http://schemas.openxmlformats.org/officeDocument/2006/relationships/hyperlink" Id="rId80" Target="https://doi.org/10.1016/j.ijforecast.2006.03.001" TargetMode="External" /><Relationship Type="http://schemas.openxmlformats.org/officeDocument/2006/relationships/hyperlink" Id="rId74" Target="https://doi.org/10.1016/j.ijforecast.2019.06.004" TargetMode="External" /><Relationship Type="http://schemas.openxmlformats.org/officeDocument/2006/relationships/hyperlink" Id="rId90" Target="https://doi.org/10.1016/j.ijforecast.2021.11.001" TargetMode="External" /><Relationship Type="http://schemas.openxmlformats.org/officeDocument/2006/relationships/hyperlink" Id="rId86" Target="https://doi.org/10.1016/j.ijforecast.2021.11.013" TargetMode="External" /><Relationship Type="http://schemas.openxmlformats.org/officeDocument/2006/relationships/hyperlink" Id="rId60" Target="https://doi.org/10.1016/j.ijforecast.2022.06.007" TargetMode="External" /><Relationship Type="http://schemas.openxmlformats.org/officeDocument/2006/relationships/hyperlink" Id="rId78" Target="https://doi.org/10.1016/j.ijforecast.2025.01.006" TargetMode="External" /><Relationship Type="http://schemas.openxmlformats.org/officeDocument/2006/relationships/hyperlink" Id="rId96" Target="https://doi.org/10.1016/j.ijpe.2005.04.004" TargetMode="External" /><Relationship Type="http://schemas.openxmlformats.org/officeDocument/2006/relationships/hyperlink" Id="rId72" Target="https://doi.org/10.1057/jors.1972.50" TargetMode="External" /><Relationship Type="http://schemas.openxmlformats.org/officeDocument/2006/relationships/hyperlink" Id="rId76" Target="https://doi.org/10.1057/palgrave.jors.2602597" TargetMode="External" /><Relationship Type="http://schemas.openxmlformats.org/officeDocument/2006/relationships/hyperlink" Id="rId58" Target="https://doi.org/10.1109/TNNLS.2024.3450832" TargetMode="External" /><Relationship Type="http://schemas.openxmlformats.org/officeDocument/2006/relationships/hyperlink" Id="rId70" Target="https://doi.org/10.1145/2939672.2939785" TargetMode="External" /><Relationship Type="http://schemas.openxmlformats.org/officeDocument/2006/relationships/hyperlink" Id="rId98" Target="https://doi.org/10.1186/s12911-022-01787-9" TargetMode="External" /><Relationship Type="http://schemas.openxmlformats.org/officeDocument/2006/relationships/hyperlink" Id="rId82" Target="https://doi.org/10.1287/mnsc.43.4.546" TargetMode="External" /><Relationship Type="http://schemas.openxmlformats.org/officeDocument/2006/relationships/hyperlink" Id="rId66" Target="https://doi.org/10.1287/mnsc.46.3.436.12069" TargetMode="External" /><Relationship Type="http://schemas.openxmlformats.org/officeDocument/2006/relationships/hyperlink" Id="rId106" Target="https://doi.org/10.1609/aaai.v35i12.17325" TargetMode="External" /><Relationship Type="http://schemas.openxmlformats.org/officeDocument/2006/relationships/hyperlink" Id="rId62" Target="https://doi.org/10.48550/arXiv.2409.18267" TargetMode="External" /><Relationship Type="http://schemas.openxmlformats.org/officeDocument/2006/relationships/hyperlink" Id="rId64" Target="https://emp.lbl.gov/publications/load-forecasting-electric-utility" TargetMode="External" /><Relationship Type="http://schemas.openxmlformats.org/officeDocument/2006/relationships/hyperlink" Id="rId88" Target="https://openreview.net/forum?id=Jbdc0vTOcol" TargetMode="External" /><Relationship Type="http://schemas.openxmlformats.org/officeDocument/2006/relationships/hyperlink" Id="rId68" Target="https://openreview.net/forum?id=wbpxTuXgm0" TargetMode="External" /><Relationship Type="http://schemas.openxmlformats.org/officeDocument/2006/relationships/hyperlink" Id="rId100" Target="https://proceedings.iclr.cc/paper_files/paper/2024/hash/a7ac8a21e5a27e7ab31a5f42a0117bdb-Abstract-Conference.html" TargetMode="External" /><Relationship Type="http://schemas.openxmlformats.org/officeDocument/2006/relationships/hyperlink" Id="rId102" Target="https://proceedings.neurips.cc/paper_files/paper/2021/hash/bcc0d400288793e8bdcd7c19a8ac0c2b-Abstract.html" TargetMode="External" /></Relationships>
</file>

<file path=word/_rels/footnotes.xml.rels><?xml version="1.0" encoding="UTF-8"?><Relationships xmlns="http://schemas.openxmlformats.org/package/2006/relationships"><Relationship Type="http://schemas.openxmlformats.org/officeDocument/2006/relationships/hyperlink" Id="rId92" Target="https://doi.org/10.1007/s10489-024-05715-4" TargetMode="External" /><Relationship Type="http://schemas.openxmlformats.org/officeDocument/2006/relationships/hyperlink" Id="rId84" Target="https://doi.org/10.1016/S0169-2070(00)00057-1" TargetMode="External" /><Relationship Type="http://schemas.openxmlformats.org/officeDocument/2006/relationships/hyperlink" Id="rId104" Target="https://doi.org/10.1016/S0925-5273(03)00128-2" TargetMode="External" /><Relationship Type="http://schemas.openxmlformats.org/officeDocument/2006/relationships/hyperlink" Id="rId56" Target="https://doi.org/10.1016/j.eswa.2020.113637" TargetMode="External" /><Relationship Type="http://schemas.openxmlformats.org/officeDocument/2006/relationships/hyperlink" Id="rId94" Target="https://doi.org/10.1016/j.ijforecast.2004.10.001" TargetMode="External" /><Relationship Type="http://schemas.openxmlformats.org/officeDocument/2006/relationships/hyperlink" Id="rId80" Target="https://doi.org/10.1016/j.ijforecast.2006.03.001" TargetMode="External" /><Relationship Type="http://schemas.openxmlformats.org/officeDocument/2006/relationships/hyperlink" Id="rId74" Target="https://doi.org/10.1016/j.ijforecast.2019.06.004" TargetMode="External" /><Relationship Type="http://schemas.openxmlformats.org/officeDocument/2006/relationships/hyperlink" Id="rId90" Target="https://doi.org/10.1016/j.ijforecast.2021.11.001" TargetMode="External" /><Relationship Type="http://schemas.openxmlformats.org/officeDocument/2006/relationships/hyperlink" Id="rId86" Target="https://doi.org/10.1016/j.ijforecast.2021.11.013" TargetMode="External" /><Relationship Type="http://schemas.openxmlformats.org/officeDocument/2006/relationships/hyperlink" Id="rId60" Target="https://doi.org/10.1016/j.ijforecast.2022.06.007" TargetMode="External" /><Relationship Type="http://schemas.openxmlformats.org/officeDocument/2006/relationships/hyperlink" Id="rId78" Target="https://doi.org/10.1016/j.ijforecast.2025.01.006" TargetMode="External" /><Relationship Type="http://schemas.openxmlformats.org/officeDocument/2006/relationships/hyperlink" Id="rId96" Target="https://doi.org/10.1016/j.ijpe.2005.04.004" TargetMode="External" /><Relationship Type="http://schemas.openxmlformats.org/officeDocument/2006/relationships/hyperlink" Id="rId72" Target="https://doi.org/10.1057/jors.1972.50" TargetMode="External" /><Relationship Type="http://schemas.openxmlformats.org/officeDocument/2006/relationships/hyperlink" Id="rId76" Target="https://doi.org/10.1057/palgrave.jors.2602597" TargetMode="External" /><Relationship Type="http://schemas.openxmlformats.org/officeDocument/2006/relationships/hyperlink" Id="rId58" Target="https://doi.org/10.1109/TNNLS.2024.3450832" TargetMode="External" /><Relationship Type="http://schemas.openxmlformats.org/officeDocument/2006/relationships/hyperlink" Id="rId70" Target="https://doi.org/10.1145/2939672.2939785" TargetMode="External" /><Relationship Type="http://schemas.openxmlformats.org/officeDocument/2006/relationships/hyperlink" Id="rId98" Target="https://doi.org/10.1186/s12911-022-01787-9" TargetMode="External" /><Relationship Type="http://schemas.openxmlformats.org/officeDocument/2006/relationships/hyperlink" Id="rId82" Target="https://doi.org/10.1287/mnsc.43.4.546" TargetMode="External" /><Relationship Type="http://schemas.openxmlformats.org/officeDocument/2006/relationships/hyperlink" Id="rId66" Target="https://doi.org/10.1287/mnsc.46.3.436.12069" TargetMode="External" /><Relationship Type="http://schemas.openxmlformats.org/officeDocument/2006/relationships/hyperlink" Id="rId106" Target="https://doi.org/10.1609/aaai.v35i12.17325" TargetMode="External" /><Relationship Type="http://schemas.openxmlformats.org/officeDocument/2006/relationships/hyperlink" Id="rId62" Target="https://doi.org/10.48550/arXiv.2409.18267" TargetMode="External" /><Relationship Type="http://schemas.openxmlformats.org/officeDocument/2006/relationships/hyperlink" Id="rId64" Target="https://emp.lbl.gov/publications/load-forecasting-electric-utility" TargetMode="External" /><Relationship Type="http://schemas.openxmlformats.org/officeDocument/2006/relationships/hyperlink" Id="rId88" Target="https://openreview.net/forum?id=Jbdc0vTOcol" TargetMode="External" /><Relationship Type="http://schemas.openxmlformats.org/officeDocument/2006/relationships/hyperlink" Id="rId68" Target="https://openreview.net/forum?id=wbpxTuXgm0" TargetMode="External" /><Relationship Type="http://schemas.openxmlformats.org/officeDocument/2006/relationships/hyperlink" Id="rId100" Target="https://proceedings.iclr.cc/paper_files/paper/2024/hash/a7ac8a21e5a27e7ab31a5f42a0117bdb-Abstract-Conference.html" TargetMode="External" /><Relationship Type="http://schemas.openxmlformats.org/officeDocument/2006/relationships/hyperlink" Id="rId102" Target="https://proceedings.neurips.cc/paper_files/paper/2021/hash/bcc0d400288793e8bdcd7c19a8ac0c2b-Abstrac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Accuracy-Preserving Stability Regularization for Large-Scale Retail Demand Forecasting</dc:title>
  <dc:creator>Anonymous Authors</dc:creator>
  <cp:keywords/>
  <dcterms:created xsi:type="dcterms:W3CDTF">2026-06-10T21:41:44Z</dcterms:created>
  <dcterms:modified xsi:type="dcterms:W3CDTF">2026-06-10T21:41:44Z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Large-scale retail demand forecasts are used in repeated planning cycles, where excessive forecast movement can create replenishment and capacity churn even when average error is acceptable. Prior work has already studied forecast-stability objectives for neural forecasting and model-agnostic post-processing. We therefore frame this paper as a focused empirical study of whether a tree-based retail forecasting pipeline can incorporate a training-time penalty on consecutive within-series forecast movement while preserving point-forecast accuracy. The method combines recent-demand embeddings with calendar, price, hierarchy, item, and store features before XGBoost prediction. On selected M5 demand series at 1000, 3000, and 4000-series scales, the stability-regularized model improves Forecast Stability Score over XGBoost by 6.91%, 6.66%, and 7.68%, respectively, while RMSE changes remain within 0.72% across three random seeds. Compared with post-hoc exponential smoothing, the training-time objective is less aggressive in reducing raw forecast movement but preserves accuracy better and performs favorably under normalized stability. These results support a cautious conclusion: stability can be represented as an explicit training criterion in a large-scale retail boosted-tree pipeline, but the contribution is an applied accuracy-stability trade-off study rather than a wholly new forecast-stability paradigm.</vt:lpwstr>
  </property>
  <property fmtid="{D5CDD505-2E9C-101B-9397-08002B2CF9AE}" pid="3" name="bibliography">
    <vt:lpwstr>paper/references.bib</vt:lpwstr>
  </property>
</Properties>
</file>