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document"/>
      </w:pPr>
      <w:r>
        <w:t>Accuracy-Preserving Stability Regularization for Large-Scale Retail Demand Forecasting</w:t>
      </w:r>
    </w:p>
    <w:p>
      <w:pPr>
        <w:pStyle w:val="ShortTitle"/>
      </w:pPr>
      <w:r>
        <w:t>Accuracy-Preserving Stability Regularization</w:t>
      </w:r>
    </w:p>
    <w:p>
      <w:pPr>
        <w:pStyle w:val="Authors"/>
      </w:pPr>
      <w:r>
        <w:t>Anonymous Author(s)</w:t>
      </w:r>
    </w:p>
    <w:p>
      <w:pPr>
        <w:pStyle w:val="Affiliation"/>
      </w:pPr>
      <w:r>
        <w:t>Anonymous Affiliation</w:t>
      </w:r>
    </w:p>
    <w:p>
      <w:pPr>
        <w:pStyle w:val="Abstract"/>
      </w:pPr>
      <w:r>
        <w:rPr>
          <w:b/>
        </w:rPr>
        <w:t>Abstract</w:t>
      </w:r>
    </w:p>
    <w:p>
      <w:pPr>
        <w:pStyle w:val="Abstract"/>
      </w:pPr>
      <w:r>
        <w:t>Large-scale retail demand forecasts feed repeated planning cycles, so excessive day-to-day forecast movement can create replenishment and capacity churn even when average error is acceptable. We examine accuracy-preserving stability regularization by adding a training penalty on consecutive within-series forecast movement. The model is implemented in a temporal-structured pipeline that combines recent-demand embeddings with calendar, price, hierarchy, item, and store features before tree-based prediction. On selected M5 demand series at 1000, 3000, and 4000-series scales, the stability-regularized model improves Forecast Stability Score over XGBoost by 6.91%, 6.66%, and 7.68%, respectively, while RMSE changes remain within 0.72% across three random seeds. Compared with post-hoc exponential smoothing, the training-time objective is less aggressive about raw smoothness but retains more point-forecast accuracy and performs favorably under normalized stability. Overall, the experiments indicate that forecast stability can be optimized as an explicit training criterion while retaining comparable point-forecast accuracy in large-scale retail demand forecasting.</w:t>
      </w:r>
    </w:p>
    <w:p>
      <w:pPr>
        <w:pStyle w:val="CCSHead"/>
      </w:pPr>
      <w:r>
        <w:t>CCS Concepts</w:t>
      </w:r>
    </w:p>
    <w:p>
      <w:pPr>
        <w:pStyle w:val="CCSDescription"/>
      </w:pPr>
      <w:r>
        <w:t>• Computing methodologies → Machine learning;</w:t>
      </w:r>
    </w:p>
    <w:p>
      <w:pPr>
        <w:pStyle w:val="CCSDescription"/>
      </w:pPr>
      <w:r>
        <w:t>• Information systems → Data mining;</w:t>
      </w:r>
    </w:p>
    <w:p>
      <w:pPr>
        <w:pStyle w:val="CCSDescription"/>
      </w:pPr>
      <w:r>
        <w:t>• Applied computing → Forecasting;</w:t>
      </w:r>
    </w:p>
    <w:p>
      <w:pPr>
        <w:pStyle w:val="CCSDescription"/>
      </w:pPr>
      <w:r>
        <w:t>• Applied computing → Supply chain management.</w:t>
      </w:r>
    </w:p>
    <w:p>
      <w:pPr>
        <w:pStyle w:val="KeyWordHead"/>
      </w:pPr>
      <w:r>
        <w:t>Additional Keywords and Phrases</w:t>
      </w:r>
    </w:p>
    <w:p>
      <w:pPr>
        <w:pStyle w:val="KeyWords"/>
      </w:pPr>
      <w:r>
        <w:t>Retail demand forecasting; forecast stability; supply chain management; business intelligence; XGBoost; time-series forecasting; stability regularization; e-commerce analytics</w:t>
      </w:r>
    </w:p>
    <w:p>
      <w:pPr>
        <w:pStyle w:val="ACMRefHead"/>
      </w:pPr>
      <w:r>
        <w:t>ACM Reference Format</w:t>
      </w:r>
    </w:p>
    <w:p>
      <w:pPr>
        <w:pStyle w:val="Para"/>
      </w:pPr>
      <w:r>
        <w:t>Anonymous Author(s). 2026. Accuracy-Preserving Stability Regularization for Large-Scale Retail Demand Forecasting. In Proceedings of ICEME 2026. ACM, New York, NY, USA.</w:t>
      </w:r>
    </w:p>
    <w:p>
      <w:pPr>
        <w:pStyle w:val="Head1"/>
      </w:pPr>
      <w:r>
        <w:t>Introduction</w:t>
      </w:r>
    </w:p>
    <w:p>
      <w:pPr>
        <w:pStyle w:val="Para"/>
      </w:pPr>
      <w:r>
        <w:t>Demand forecasts are active inputs to many supply-chain decisions. They feed replenishment systems, inventory policies, production schedules, labor rosters, and transportation plans [1, 2, 3]. When a model changes its forecast sharply from one planning cycle to the next, it can create operational churn even if its aggregate error looks acceptable. This concern is closely related to forecast stability and demand amplification in supply chains [4, 5, 6]. For intermittent retail demand, where zeros, local spikes, promotions, and price changes are common, the gap between statistical accuracy and operational stability becomes especially visible [7, 8, 9].</w:t>
      </w:r>
    </w:p>
    <w:p>
      <w:pPr>
        <w:pStyle w:val="Para"/>
      </w:pPr>
      <w:r>
        <w:t>Deep forecasting models have improved long-horizon sequence modeling through Transformer, MLP, and multiscale temporal architectures [10, 11, 12, 13, 14]. Retail demand forecasting, however, is not only a sequence problem. Calendar effects, sell prices, events, product hierarchy, and store identity often carry information that is difficult to recover from demand history alone. The M5 benchmark makes this tension explicit by pairing item-store demand histories with calendar and price tables [9]. Tree-based learners such as XGBoost remain useful in this setting because boosted trees handle sparse, heterogeneous tabular features and nonlinear interactions efficiently [15]; in retail forecasting, they are often combined with engineered lag and rolling features [2, 9].</w:t>
      </w:r>
    </w:p>
    <w:p>
      <w:pPr>
        <w:pStyle w:val="Para"/>
      </w:pPr>
      <w:r>
        <w:t>The paper is centered on stability regularization rather than on a model combination for its own sake. The question is whether a forecasting model can be trained to reduce excessive consecutive within-series movement while staying close to the accuracy profile of a strong structured baseline. The hybrid temporal-structured pipeline is the vehicle for that test: a lightweight TimeMixer-style encoder summarizes recent demand history, structured operational features provide calendar, price, hierarchy, item, and store context, and XGBoost produces point forecasts. The goal is not to make forecasts as smooth as possible. It is to study a controlled accuracy-stability trade-off.</w:t>
      </w:r>
    </w:p>
    <w:p>
      <w:pPr>
        <w:pStyle w:val="Para"/>
      </w:pPr>
      <w:r>
        <w:t>The paper makes three contributions. First, it formulates forecast stability regularization as a training-time objective that penalizes excessive consecutive within-series forecast movement, moving beyond post-hoc smoothing. Second, it uses a hybrid temporal-structured forecasting pipeline in which temporal embeddings summarize recent demand history and are combined with calendar, price, hierarchy, item, and store features. Third, it evaluates the accuracy-stability trade-off through smoothing baselines, normalized stability, seed robustness, leakage auditing, runtime analysis, and large-scale M5 experiments on 1000, 3000, and 4000 demand series. The emphasis is an operationally motivated stability-accuracy study, not a leaderboard-style accuracy claim.</w:t>
      </w:r>
    </w:p>
    <w:p>
      <w:pPr>
        <w:pStyle w:val="Head1"/>
      </w:pPr>
      <w:r>
        <w:t>Related Work</w:t>
      </w:r>
    </w:p>
    <w:p>
      <w:pPr>
        <w:pStyle w:val="Head2"/>
      </w:pPr>
      <w:r>
        <w:t>Deep Time Series Forecasting</w:t>
      </w:r>
    </w:p>
    <w:p>
      <w:pPr>
        <w:pStyle w:val="Para"/>
      </w:pPr>
      <w:r>
        <w:t>Recent deep forecasting work includes TimeMixer's multiscale mixing [10], PatchTST's patch-based temporal tokens [11], Informer and Autoformer's efficient long-sequence mechanisms [12, 13], and TSMixer's MLP-based time-feature mixing [14].</w:t>
      </w:r>
    </w:p>
    <w:p>
      <w:pPr>
        <w:pStyle w:val="Para"/>
      </w:pPr>
      <w:r>
        <w:t>These models improve benchmark forecasting, but evaluations still emphasize point-error metrics [3, 6]. Retail forecasts also depend on structured operational signals, and an accurate but unstable forecast can still create planning churn [4, 5, 6, 9, 2].</w:t>
      </w:r>
    </w:p>
    <w:p>
      <w:pPr>
        <w:pStyle w:val="Head2"/>
      </w:pPr>
      <w:r>
        <w:t>Supply Chain and Retail Demand Forecasting</w:t>
      </w:r>
    </w:p>
    <w:p>
      <w:pPr>
        <w:pStyle w:val="Para"/>
      </w:pPr>
      <w:r>
        <w:t>Retail demand forecasting involves sparse SKU-store series, seasonality, prices, promotions, and hierarchy. Forecasting competitions shaped empirical practice [16], and M5 provides large-scale Walmart sales, calendar, and sell-price data [9]. Practical retail methods must use operational covariates and be evaluated in decision-relevant contexts [1, 2, 3].</w:t>
      </w:r>
    </w:p>
    <w:p>
      <w:pPr>
        <w:pStyle w:val="Para"/>
      </w:pPr>
      <w:r>
        <w:t>Tree-based learning remains practical for nonlinear, heterogeneous demand drivers [2, 9]. XGBoost provides scalable boosted trees for sparse features and interactions [15], motivating hybrids that add learned demand-history representations to tabular covariates.</w:t>
      </w:r>
    </w:p>
    <w:p>
      <w:pPr>
        <w:pStyle w:val="Head2"/>
      </w:pPr>
      <w:r>
        <w:t>Hybrid Forecasting Frameworks</w:t>
      </w:r>
    </w:p>
    <w:p>
      <w:pPr>
        <w:pStyle w:val="Para"/>
      </w:pPr>
      <w:r>
        <w:t>Hybrid methods combine temporal representation learning with structured covariates. TimeMixer-style encoders represent multiscale demand history [10], while XGBoost exploits price, calendar, event, and categorical features [15], matching the exogenous structure of M5 [14, 9].</w:t>
      </w:r>
    </w:p>
    <w:p>
      <w:pPr>
        <w:pStyle w:val="Para"/>
      </w:pPr>
      <w:r>
        <w:t>Here, the hybrid model is a vehicle for stability regularization: temporal embeddings summarize demand history, structured features support tree-based prediction, and the main question is whether training-time regularization improves stability while preserving accuracy.</w:t>
      </w:r>
    </w:p>
    <w:p>
      <w:pPr>
        <w:pStyle w:val="Head2"/>
      </w:pPr>
      <w:r>
        <w:t>Forecast Stability and Robust Forecasting</w:t>
      </w:r>
    </w:p>
    <w:p>
      <w:pPr>
        <w:pStyle w:val="Para"/>
      </w:pPr>
      <w:r>
        <w:t>Supply chain planning is sensitive to both error and instability [4, 5, 6]. Forecast volatility relates to bullwhip amplification [4, 5, 17], while intermittent demand remains an inventory-relevant forecasting problem [7, 8, 18]. Recent work formalizes forecast stability [6], and robust forecasting and multi-step metrics emphasize reliability beyond aggregate error [19, 20].</w:t>
      </w:r>
    </w:p>
    <w:p>
      <w:pPr>
        <w:pStyle w:val="Para"/>
      </w:pPr>
      <w:r>
        <w:t>The gap is specific: fewer studies compare training-time stability regularization with post-hoc smoothing in large-scale retail demand. We position this work as an empirical study of accuracy-preserving stability regularization using a hybrid temporal-structured pipeline.</w:t>
      </w:r>
    </w:p>
    <w:p>
      <w:pPr>
        <w:pStyle w:val="Head1"/>
      </w:pPr>
      <w:r>
        <w:t>Methodology</w:t>
      </w:r>
    </w:p>
    <w:p>
      <w:pPr>
        <w:pStyle w:val="Head2"/>
      </w:pPr>
      <w:r>
        <w:t>Problem Formulation</w:t>
      </w:r>
    </w:p>
    <w:p>
      <w:pPr>
        <w:pStyle w:val="Para"/>
      </w:pPr>
      <w:r>
        <w:t>Let y_{i,t} be demand for item-store series i at time t. Given historical demand y_{i,t-L:t-1} and structured covariates x_{i,t} containing calendar, price, event, category, and lag-derived information, the task is to estimate ŷ_{i,t}.</w:t>
      </w:r>
    </w:p>
    <w:p>
      <w:pPr>
        <w:pStyle w:val="Head2"/>
      </w:pPr>
      <w:r>
        <w:t>Temporal Representation Learning and Feature Fusion</w:t>
      </w:r>
    </w:p>
    <w:p>
      <w:pPr>
        <w:pStyle w:val="Para"/>
      </w:pPr>
      <w:r>
        <w:t>The temporal encoder maps historical demand sequences to compact embeddings:</w:t>
      </w:r>
    </w:p>
    <w:p>
      <w:pPr>
        <w:pStyle w:val="DisplayFormula"/>
      </w:pPr>
      <w:r>
        <w:rPr>
          <w:rFonts w:ascii="Cambria Math" w:hAnsi="Cambria Math" w:eastAsia="Cambria Math"/>
          <w:sz w:val="20"/>
        </w:rPr>
        <w:t>z_{i,t} = g_θ(y_{i,t-L:t-1})    (1)</w:t>
      </w:r>
    </w:p>
    <w:p>
      <w:pPr>
        <w:pStyle w:val="Para"/>
      </w:pPr>
      <w:r>
        <w:t>where g_θ(·) is a lightweight TimeMixer-style feature extractor inspired by multiscale temporal mixing [10]. For each item-store/date observation, a fixed 28-day demand window is transformed into compact embeddings z_{i,t}.</w:t>
      </w:r>
    </w:p>
    <w:p>
      <w:pPr>
        <w:pStyle w:val="Para"/>
      </w:pPr>
      <w:r>
        <w:t>The forecasting model concatenates temporal embeddings with lag, rolling, calendar, price, hierarchy, item, and store features:</w:t>
      </w:r>
    </w:p>
    <w:p>
      <w:pPr>
        <w:pStyle w:val="DisplayFormula"/>
      </w:pPr>
      <w:r>
        <w:rPr>
          <w:rFonts w:ascii="Cambria Math" w:hAnsi="Cambria Math" w:eastAsia="Cambria Math"/>
          <w:sz w:val="20"/>
        </w:rPr>
        <w:t>h_{i,t} = [z_{i,t}; x_{i,t}]    (2)</w:t>
      </w:r>
    </w:p>
    <w:p>
      <w:pPr>
        <w:pStyle w:val="Para"/>
      </w:pPr>
      <w:r>
        <w:t>and passes the fused representation to a gradient-boosted forecasting layer [15]:</w:t>
      </w:r>
    </w:p>
    <w:p>
      <w:pPr>
        <w:pStyle w:val="DisplayFormula"/>
      </w:pPr>
      <w:r>
        <w:rPr>
          <w:rFonts w:ascii="Cambria Math" w:hAnsi="Cambria Math" w:eastAsia="Cambria Math"/>
          <w:sz w:val="20"/>
        </w:rPr>
        <w:t>ŷ_{i,t} = f_φ(h_{i,t})    (3)</w:t>
      </w:r>
    </w:p>
    <w:p>
      <w:pPr>
        <w:pStyle w:val="Para"/>
      </w:pPr>
      <w:r>
        <w:t>The temporal encoder's scaler and model are fit on training-window history sequences only. Validation observations are transformed with the train-fitted encoder and scaler, and demand lag/rolling features are computed from shifted historical demand. This design allows sequence dynamics and tabular operational context to contribute jointly to each forecast while preserving the chronological validation setup.</w:t>
      </w:r>
    </w:p>
    <w:p>
      <w:pPr>
        <w:pStyle w:val="Head2"/>
      </w:pPr>
      <w:r>
        <w:t>Stability-Aware Objective</w:t>
      </w:r>
    </w:p>
    <w:p>
      <w:pPr>
        <w:pStyle w:val="Para"/>
      </w:pPr>
      <w:r>
        <w:t>The forecast loss is mean squared error:</w:t>
      </w:r>
    </w:p>
    <w:p>
      <w:pPr>
        <w:pStyle w:val="DisplayFormula"/>
        <w:jc w:val="center"/>
      </w:pPr>
      <w:r>
        <w:rPr>
          <w:rFonts w:ascii="Cambria Math" w:hAnsi="Cambria Math" w:eastAsia="Cambria Math"/>
          <w:sz w:val="20"/>
        </w:rPr>
        <w:t>L_forecast = (1/N) ∑_{i,t}(y_{i,t} − ŷ_{i,t})²    (4)</w:t>
      </w:r>
    </w:p>
    <w:p>
      <w:pPr>
        <w:pStyle w:val="Para"/>
      </w:pPr>
      <w:r>
        <w:t>The stability loss penalizes consecutive forecast changes within each demand series:</w:t>
      </w:r>
    </w:p>
    <w:p>
      <w:pPr>
        <w:pStyle w:val="DisplayFormula"/>
      </w:pPr>
      <w:r>
        <w:rPr>
          <w:rFonts w:ascii="Cambria Math" w:hAnsi="Cambria Math" w:eastAsia="Cambria Math"/>
          <w:sz w:val="20"/>
        </w:rPr>
        <w:t>L_stability = (1/N_s) ∑_i ∑_{t&gt;1} |ŷ_{i,t} − ŷ_{i,t-1}|    (5)</w:t>
      </w:r>
    </w:p>
    <w:p>
      <w:pPr>
        <w:pStyle w:val="Para"/>
      </w:pPr>
      <w:r>
        <w:t>where N_s is the number of valid adjacent same-series prediction pairs. The total objective is</w:t>
      </w:r>
    </w:p>
    <w:p>
      <w:pPr>
        <w:pStyle w:val="DisplayFormula"/>
      </w:pPr>
      <w:r>
        <w:rPr>
          <w:rFonts w:ascii="Cambria Math" w:hAnsi="Cambria Math" w:eastAsia="Cambria Math"/>
          <w:sz w:val="20"/>
        </w:rPr>
        <w:t>L_total = L_forecast + λ L_stability    (6)</w:t>
      </w:r>
    </w:p>
    <w:p>
      <w:pPr>
        <w:pStyle w:val="Para"/>
      </w:pPr>
      <w:r>
        <w:t>where λ controls the stability-accuracy trade-off. We evaluate λ ∈ {0, 0.01, 0.05, 0.1, 0.5} and use λ = 0.05 for the final model.</w:t>
      </w:r>
    </w:p>
    <w:p>
      <w:pPr>
        <w:pStyle w:val="Head2"/>
      </w:pPr>
      <w:r>
        <w:t>Implementation of the Stability-Aware XGBoost Objective</w:t>
      </w:r>
    </w:p>
    <w:p>
      <w:pPr>
        <w:pStyle w:val="Para"/>
      </w:pPr>
      <w:r>
        <w:t>The XGBoost custom objective uses row-level gradients and Hessians. The MSE term contributes gradient 2(ŷ_{i,t} − y_{i,t}) and Hessian 2. Stability pairs are formed after sorting training rows by item-store series and day index, using only consecutive rows from the same series.</w:t>
      </w:r>
    </w:p>
    <w:p>
      <w:pPr>
        <w:pStyle w:val="Para"/>
      </w:pPr>
      <w:r>
        <w:t>Each adjacent pair contributes a sign subgradient to the later prediction and the opposite subgradient to the preceding prediction; boundary rows receive one adjacent contribution. The sign term is stabilized by max(|Δ|, ε), and the Hessian remains positive through a small λε term. The stability term uses training-window predictions only, never validation or test targets, so it acts as within-series movement regularization rather than post-hoc or cross-series smoothing. An automated leakage audit verified the chronological split, shifted lag and rolling features, train-fitted encoders, and same-series training-only stability pairs.</w:t>
      </w:r>
    </w:p>
    <w:p>
      <w:pPr>
        <w:pStyle w:val="Head2"/>
      </w:pPr>
      <w:r>
        <w:t>Post-Processing Smoothing Baseline</w:t>
      </w:r>
    </w:p>
    <w:p>
      <w:pPr>
        <w:pStyle w:val="Para"/>
      </w:pPr>
      <w:r>
        <w:t>To separate training-time stability regularization from post-hoc smoothing, we also evaluate exponential smoothing applied after prediction, following the broad use of exponential-smoothing ideas in forecasting and robust forecasting [19, 3]:</w:t>
      </w:r>
    </w:p>
    <w:p>
      <w:pPr>
        <w:pStyle w:val="DisplayFormula"/>
      </w:pPr>
      <w:r>
        <w:rPr>
          <w:rFonts w:ascii="Cambria Math" w:hAnsi="Cambria Math" w:eastAsia="Cambria Math"/>
          <w:sz w:val="20"/>
        </w:rPr>
        <w:t>ỹ_{i,t} = α ŷ_{i,t} + (1 − α) ỹ_{i,t-1}    (7)</w:t>
      </w:r>
    </w:p>
    <w:p>
      <w:pPr>
        <w:pStyle w:val="Para"/>
      </w:pPr>
      <w:r>
        <w:rPr>
          <w:b w:val="0"/>
        </w:rPr>
        <w:t>with α ∈ {0.5, 0.7, 0.9}. Smoothing is applied independently within each demand series and only to model predictions. It does not change the fitted forecasting model or use validation targets.</w:t>
      </w:r>
    </w:p>
    <w:p>
      <w:pPr>
        <w:pStyle w:val="Head2"/>
      </w:pPr>
      <w:r>
        <w:t>Evaluation Metrics</w:t>
      </w:r>
    </w:p>
    <w:p>
      <w:pPr>
        <w:pStyle w:val="Para"/>
      </w:pPr>
      <w:r>
        <w:t>We report MAE, RMSE, WAPE, FSS, normalized FSS (nFSS), volatility, runtime, and relative changes against XGBoost. Following forecasting-metric guidance [21, 3], WAPE is</w:t>
      </w:r>
    </w:p>
    <w:p>
      <w:pPr>
        <w:pStyle w:val="DisplayFormula"/>
      </w:pPr>
      <w:r>
        <w:rPr>
          <w:rFonts w:ascii="Cambria Math" w:hAnsi="Cambria Math" w:eastAsia="Cambria Math"/>
          <w:sz w:val="20"/>
        </w:rPr>
        <w:t>WAPE = 100 × (∑_{i,t}|y_{i,t} − ŷ_{i,t}|) / (∑_{i,t}|y_{i,t}|)    (8)</w:t>
      </w:r>
    </w:p>
    <w:p>
      <w:pPr>
        <w:pStyle w:val="Para"/>
      </w:pPr>
      <w:r>
        <w:t>FSS is defined as</w:t>
      </w:r>
    </w:p>
    <w:p>
      <w:pPr>
        <w:pStyle w:val="DisplayFormula"/>
      </w:pPr>
      <w:r>
        <w:rPr>
          <w:rFonts w:ascii="Cambria Math" w:hAnsi="Cambria Math" w:eastAsia="Cambria Math"/>
          <w:sz w:val="20"/>
        </w:rPr>
        <w:t>FSS = (1/N_s) ∑_i ∑_{t&gt;1}|ŷ_{i,t} − ŷ_{i,t-1}|    (9)</w:t>
      </w:r>
    </w:p>
    <w:p>
      <w:pPr>
        <w:pStyle w:val="Para"/>
      </w:pPr>
      <w:r>
        <w:t>Lower FSS indicates smoother consecutive forecasts. To reduce sensitivity to demand scale, we also report a normalized series-level score:</w:t>
      </w:r>
    </w:p>
    <w:p>
      <w:pPr>
        <w:pStyle w:val="DisplayFormula"/>
      </w:pPr>
      <w:r>
        <w:rPr>
          <w:rFonts w:ascii="Cambria Math" w:hAnsi="Cambria Math" w:eastAsia="Cambria Math"/>
          <w:sz w:val="20"/>
        </w:rPr>
        <w:t>nFSS_i = [(1/(T_i-1)) ∑_{t&gt;1}|ŷ_{i,t} − ŷ_{i,t-1}|] / [(1/T_i) ∑_t |y_{i,t}| + ε]    (10)</w:t>
      </w:r>
    </w:p>
    <w:p>
      <w:pPr>
        <w:pStyle w:val="DisplayFormula"/>
      </w:pPr>
      <w:r>
        <w:rPr>
          <w:rFonts w:ascii="Cambria Math" w:hAnsi="Cambria Math" w:eastAsia="Cambria Math"/>
          <w:sz w:val="20"/>
        </w:rPr>
        <w:t>nFSS = (1/M) ∑_{i=1}^{M} nFSS_i    (11)</w:t>
      </w:r>
    </w:p>
    <w:p>
      <w:pPr>
        <w:pStyle w:val="Para"/>
      </w:pPr>
      <w:r>
        <w:t>where ε = 10^{-6}. nFSS reduces demand-scale dominance, though low-volume intermittent series can still produce large absolute values.</w:t>
      </w:r>
    </w:p>
    <w:p>
      <w:pPr>
        <w:pStyle w:val="Head1"/>
      </w:pPr>
      <w:r>
        <w:t>Experiments</w:t>
      </w:r>
    </w:p>
    <w:p>
      <w:pPr>
        <w:pStyle w:val="Head2"/>
      </w:pPr>
      <w:r>
        <w:t>Dataset and Setup</w:t>
      </w:r>
    </w:p>
    <w:p>
      <w:pPr>
        <w:pStyle w:val="Para"/>
      </w:pPr>
      <w:r>
        <w:t>We use the M5 dataset, which provides daily Walmart item-store demand with calendar and sell-price information [9]. The main study uses 1000, 3000, and 4000 series under the same configuration: full selected training rows, 300 XGBoost trees, identical features, TimeMixer-style encoder settings, and λ = 0.05.</w:t>
      </w:r>
    </w:p>
    <w:p>
      <w:pPr>
        <w:pStyle w:val="Para"/>
      </w:pPr>
      <w:r>
        <w:t>The split is chronological, with all training dates before validation dates. Features include shifted lag and rolling demand, calendar, sell-price, and categorical item/store variables. Repeated experiments use seeds 42, 123, and 2024. An automated leakage audit also checked split integrity, train-only preprocessing, and same-series training-only stability pairs.</w:t>
      </w:r>
    </w:p>
    <w:p>
      <w:pPr>
        <w:pStyle w:val="Head2"/>
      </w:pPr>
      <w:r>
        <w:t>Metric Correction for Intermittent Demand</w:t>
      </w:r>
    </w:p>
    <w:p>
      <w:pPr>
        <w:pStyle w:val="Para"/>
      </w:pPr>
      <w:r>
        <w:t>We remove raw MAPE because M5 has many zero and near-zero demand observations [9]. MAPE becomes undefined at zero and unstable near zero, a known issue for intermittent demand [21, 8, 3]. We report WAPE instead. Because low-volume series can make nFSS large in absolute value, we interpret nFSS as a relative robustness metric, not an operational threshold.</w:t>
      </w:r>
    </w:p>
    <w:p>
      <w:pPr>
        <w:pStyle w:val="Head2"/>
      </w:pPr>
      <w:r>
        <w:t>Baselines</w:t>
      </w:r>
    </w:p>
    <w:p>
      <w:pPr>
        <w:pStyle w:val="Para"/>
      </w:pPr>
      <w:r>
        <w:t>We compare XGBoost, TimeMixer-only forecasting, Hybrid TimeMixer + XGBoost, and Hybrid + stability objective. To test whether gains are only smoothing, we also evaluate XGBoost + smoothing and Hybrid + smoothing with α ∈ {0.5, 0.7, 0.9}.</w:t>
      </w:r>
    </w:p>
    <w:p>
      <w:pPr>
        <w:pStyle w:val="Head2"/>
      </w:pPr>
      <w:r>
        <w:t>Main Results</w:t>
      </w:r>
    </w:p>
    <w:p>
      <w:pPr>
        <w:pStyle w:val="Para"/>
      </w:pPr>
      <w:r>
        <w:t>Table 1 reports mean ± standard deviation across seeds, and Figure 1 summarizes RMSE and FSS. XGBoost remains the strongest point-accuracy baseline, while the stability-aware hybrid model gives the lowest FSS among primary training methods. The result is an accuracy-stability trade-off rather than pure RMSE dominance.</w:t>
      </w:r>
    </w:p>
    <w:p>
      <w:pPr>
        <w:pStyle w:val="TableCaption"/>
        <w:keepNext/>
        <w:keepLines/>
      </w:pPr>
      <w:r>
        <w:t>Table 1. Mean and standard deviation across three random seeds under consistent full training configurations. WAPE is reported as the percentage error metric for intermittent retail demand.</w:t>
      </w:r>
    </w:p>
    <w:tbl>
      <w:tblPr>
        <w:tblStyle w:val="a9"/>
        <w:tblW w:type="auto" w:w="0"/>
        <w:jc w:val="center"/>
        <w:tblLayout w:type="autofit"/>
        <w:tblLook w:firstColumn="1" w:firstRow="1" w:lastColumn="0" w:lastRow="0" w:noHBand="0" w:noVBand="1" w:val="04A0"/>
      </w:tblPr>
      <w:tblGrid>
        <w:gridCol w:w="1095"/>
        <w:gridCol w:w="1095"/>
        <w:gridCol w:w="1095"/>
        <w:gridCol w:w="1095"/>
        <w:gridCol w:w="1095"/>
        <w:gridCol w:w="1095"/>
        <w:gridCol w:w="1095"/>
        <w:gridCol w:w="1095"/>
      </w:tblGrid>
      <w:tr>
        <w:trPr>
          <w:tblHeader w:val="true"/>
          <w:cantSplit/>
        </w:trPr>
        <w:tc>
          <w:tcPr>
            <w:tcW w:type="dxa" w:w="1095"/>
            <w:vAlign w:val="center"/>
            <w:shd w:fill="EDEDED"/>
          </w:tcPr>
          <w:p>
            <w:pPr>
              <w:keepLines/>
              <w:spacing w:after="0" w:line="240" w:lineRule="auto"/>
              <w:jc w:val="center"/>
            </w:pPr>
            <w:r>
              <w:rPr>
                <w:rFonts w:ascii="Times New Roman" w:hAnsi="Times New Roman" w:eastAsia="Times New Roman"/>
                <w:b/>
                <w:sz w:val="13"/>
              </w:rPr>
              <w:t>Series</w:t>
            </w:r>
          </w:p>
        </w:tc>
        <w:tc>
          <w:tcPr>
            <w:tcW w:type="dxa" w:w="1095"/>
            <w:vAlign w:val="center"/>
            <w:shd w:fill="EDEDED"/>
          </w:tcPr>
          <w:p>
            <w:pPr>
              <w:keepLines/>
              <w:spacing w:after="0" w:line="240" w:lineRule="auto"/>
              <w:jc w:val="center"/>
            </w:pPr>
            <w:r>
              <w:rPr>
                <w:rFonts w:ascii="Times New Roman" w:hAnsi="Times New Roman" w:eastAsia="Times New Roman"/>
                <w:b/>
                <w:sz w:val="13"/>
              </w:rPr>
              <w:t>Method</w:t>
            </w:r>
          </w:p>
        </w:tc>
        <w:tc>
          <w:tcPr>
            <w:tcW w:type="dxa" w:w="1095"/>
            <w:vAlign w:val="center"/>
            <w:shd w:fill="EDEDED"/>
          </w:tcPr>
          <w:p>
            <w:pPr>
              <w:keepLines/>
              <w:spacing w:after="0" w:line="240" w:lineRule="auto"/>
              <w:jc w:val="center"/>
            </w:pPr>
            <w:r>
              <w:rPr>
                <w:rFonts w:ascii="Times New Roman" w:hAnsi="Times New Roman" w:eastAsia="Times New Roman"/>
                <w:b/>
                <w:sz w:val="13"/>
              </w:rPr>
              <w:t>Runs</w:t>
            </w:r>
          </w:p>
        </w:tc>
        <w:tc>
          <w:tcPr>
            <w:tcW w:type="dxa" w:w="1095"/>
            <w:vAlign w:val="center"/>
            <w:shd w:fill="EDEDED"/>
          </w:tcPr>
          <w:p>
            <w:pPr>
              <w:keepLines/>
              <w:spacing w:after="0" w:line="240" w:lineRule="auto"/>
              <w:jc w:val="center"/>
            </w:pPr>
            <w:r>
              <w:rPr>
                <w:rFonts w:ascii="Times New Roman" w:hAnsi="Times New Roman" w:eastAsia="Times New Roman"/>
                <w:b/>
                <w:sz w:val="13"/>
              </w:rPr>
              <w:t>MAE</w:t>
            </w:r>
          </w:p>
        </w:tc>
        <w:tc>
          <w:tcPr>
            <w:tcW w:type="dxa" w:w="1095"/>
            <w:vAlign w:val="center"/>
            <w:shd w:fill="EDEDED"/>
          </w:tcPr>
          <w:p>
            <w:pPr>
              <w:keepLines/>
              <w:spacing w:after="0" w:line="240" w:lineRule="auto"/>
              <w:jc w:val="center"/>
            </w:pPr>
            <w:r>
              <w:rPr>
                <w:rFonts w:ascii="Times New Roman" w:hAnsi="Times New Roman" w:eastAsia="Times New Roman"/>
                <w:b/>
                <w:sz w:val="13"/>
              </w:rPr>
              <w:t>RMSE</w:t>
            </w:r>
          </w:p>
        </w:tc>
        <w:tc>
          <w:tcPr>
            <w:tcW w:type="dxa" w:w="1095"/>
            <w:vAlign w:val="center"/>
            <w:shd w:fill="EDEDED"/>
          </w:tcPr>
          <w:p>
            <w:pPr>
              <w:keepLines/>
              <w:spacing w:after="0" w:line="240" w:lineRule="auto"/>
              <w:jc w:val="center"/>
            </w:pPr>
            <w:r>
              <w:rPr>
                <w:rFonts w:ascii="Times New Roman" w:hAnsi="Times New Roman" w:eastAsia="Times New Roman"/>
                <w:b/>
                <w:sz w:val="13"/>
              </w:rPr>
              <w:t>WAPE (%)</w:t>
            </w:r>
          </w:p>
        </w:tc>
        <w:tc>
          <w:tcPr>
            <w:tcW w:type="dxa" w:w="1095"/>
            <w:vAlign w:val="center"/>
            <w:shd w:fill="EDEDED"/>
          </w:tcPr>
          <w:p>
            <w:pPr>
              <w:keepLines/>
              <w:spacing w:after="0" w:line="240" w:lineRule="auto"/>
              <w:jc w:val="center"/>
            </w:pPr>
            <w:r>
              <w:rPr>
                <w:rFonts w:ascii="Times New Roman" w:hAnsi="Times New Roman" w:eastAsia="Times New Roman"/>
                <w:b/>
                <w:sz w:val="13"/>
              </w:rPr>
              <w:t>FSS</w:t>
            </w:r>
          </w:p>
        </w:tc>
        <w:tc>
          <w:tcPr>
            <w:tcW w:type="dxa" w:w="1095"/>
            <w:vAlign w:val="center"/>
            <w:shd w:fill="EDEDED"/>
          </w:tcPr>
          <w:p>
            <w:pPr>
              <w:keepLines/>
              <w:spacing w:after="0" w:line="240" w:lineRule="auto"/>
              <w:jc w:val="center"/>
            </w:pPr>
            <w:r>
              <w:rPr>
                <w:rFonts w:ascii="Times New Roman" w:hAnsi="Times New Roman" w:eastAsia="Times New Roman"/>
                <w:b/>
                <w:sz w:val="13"/>
              </w:rPr>
              <w:t>Volatility</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XGBoost</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0.926 ± 0.034</w:t>
            </w:r>
          </w:p>
        </w:tc>
        <w:tc>
          <w:tcPr>
            <w:tcW w:type="dxa" w:w="1095"/>
            <w:vAlign w:val="center"/>
          </w:tcPr>
          <w:p>
            <w:pPr>
              <w:keepLines/>
              <w:spacing w:after="0" w:line="240" w:lineRule="auto"/>
              <w:jc w:val="center"/>
            </w:pPr>
            <w:r>
              <w:rPr>
                <w:rFonts w:ascii="Times New Roman" w:hAnsi="Times New Roman" w:eastAsia="Times New Roman"/>
                <w:b w:val="0"/>
                <w:sz w:val="13"/>
              </w:rPr>
              <w:t>1.774 ± 0.185</w:t>
            </w:r>
          </w:p>
        </w:tc>
        <w:tc>
          <w:tcPr>
            <w:tcW w:type="dxa" w:w="1095"/>
            <w:vAlign w:val="center"/>
          </w:tcPr>
          <w:p>
            <w:pPr>
              <w:keepLines/>
              <w:spacing w:after="0" w:line="240" w:lineRule="auto"/>
              <w:jc w:val="center"/>
            </w:pPr>
            <w:r>
              <w:rPr>
                <w:rFonts w:ascii="Times New Roman" w:hAnsi="Times New Roman" w:eastAsia="Times New Roman"/>
                <w:b w:val="0"/>
                <w:sz w:val="13"/>
              </w:rPr>
              <w:t>70.02 ± 4.82</w:t>
            </w:r>
          </w:p>
        </w:tc>
        <w:tc>
          <w:tcPr>
            <w:tcW w:type="dxa" w:w="1095"/>
            <w:vAlign w:val="center"/>
          </w:tcPr>
          <w:p>
            <w:pPr>
              <w:keepLines/>
              <w:spacing w:after="0" w:line="240" w:lineRule="auto"/>
              <w:jc w:val="center"/>
            </w:pPr>
            <w:r>
              <w:rPr>
                <w:rFonts w:ascii="Times New Roman" w:hAnsi="Times New Roman" w:eastAsia="Times New Roman"/>
                <w:b w:val="0"/>
                <w:sz w:val="13"/>
              </w:rPr>
              <w:t>0.220 ± 0.028</w:t>
            </w:r>
          </w:p>
        </w:tc>
        <w:tc>
          <w:tcPr>
            <w:tcW w:type="dxa" w:w="1095"/>
            <w:vAlign w:val="center"/>
          </w:tcPr>
          <w:p>
            <w:pPr>
              <w:keepLines/>
              <w:spacing w:after="0" w:line="240" w:lineRule="auto"/>
              <w:jc w:val="center"/>
            </w:pPr>
            <w:r>
              <w:rPr>
                <w:rFonts w:ascii="Times New Roman" w:hAnsi="Times New Roman" w:eastAsia="Times New Roman"/>
                <w:b w:val="0"/>
                <w:sz w:val="13"/>
              </w:rPr>
              <w:t>0.313 ± 0.043</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TimeMixer</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0.970 ± 0.044</w:t>
            </w:r>
          </w:p>
        </w:tc>
        <w:tc>
          <w:tcPr>
            <w:tcW w:type="dxa" w:w="1095"/>
            <w:vAlign w:val="center"/>
          </w:tcPr>
          <w:p>
            <w:pPr>
              <w:keepLines/>
              <w:spacing w:after="0" w:line="240" w:lineRule="auto"/>
              <w:jc w:val="center"/>
            </w:pPr>
            <w:r>
              <w:rPr>
                <w:rFonts w:ascii="Times New Roman" w:hAnsi="Times New Roman" w:eastAsia="Times New Roman"/>
                <w:b w:val="0"/>
                <w:sz w:val="13"/>
              </w:rPr>
              <w:t>1.930 ± 0.316</w:t>
            </w:r>
          </w:p>
        </w:tc>
        <w:tc>
          <w:tcPr>
            <w:tcW w:type="dxa" w:w="1095"/>
            <w:vAlign w:val="center"/>
          </w:tcPr>
          <w:p>
            <w:pPr>
              <w:keepLines/>
              <w:spacing w:after="0" w:line="240" w:lineRule="auto"/>
              <w:jc w:val="center"/>
            </w:pPr>
            <w:r>
              <w:rPr>
                <w:rFonts w:ascii="Times New Roman" w:hAnsi="Times New Roman" w:eastAsia="Times New Roman"/>
                <w:b w:val="0"/>
                <w:sz w:val="13"/>
              </w:rPr>
              <w:t>73.28 ± 4.30</w:t>
            </w:r>
          </w:p>
        </w:tc>
        <w:tc>
          <w:tcPr>
            <w:tcW w:type="dxa" w:w="1095"/>
            <w:vAlign w:val="center"/>
          </w:tcPr>
          <w:p>
            <w:pPr>
              <w:keepLines/>
              <w:spacing w:after="0" w:line="240" w:lineRule="auto"/>
              <w:jc w:val="center"/>
            </w:pPr>
            <w:r>
              <w:rPr>
                <w:rFonts w:ascii="Times New Roman" w:hAnsi="Times New Roman" w:eastAsia="Times New Roman"/>
                <w:b w:val="0"/>
                <w:sz w:val="13"/>
              </w:rPr>
              <w:t>0.347 ± 0.076</w:t>
            </w:r>
          </w:p>
        </w:tc>
        <w:tc>
          <w:tcPr>
            <w:tcW w:type="dxa" w:w="1095"/>
            <w:vAlign w:val="center"/>
          </w:tcPr>
          <w:p>
            <w:pPr>
              <w:keepLines/>
              <w:spacing w:after="0" w:line="240" w:lineRule="auto"/>
              <w:jc w:val="center"/>
            </w:pPr>
            <w:r>
              <w:rPr>
                <w:rFonts w:ascii="Times New Roman" w:hAnsi="Times New Roman" w:eastAsia="Times New Roman"/>
                <w:b w:val="0"/>
                <w:sz w:val="13"/>
              </w:rPr>
              <w:t>0.391 ± 0.073</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Hybrid</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0.926 ± 0.034</w:t>
            </w:r>
          </w:p>
        </w:tc>
        <w:tc>
          <w:tcPr>
            <w:tcW w:type="dxa" w:w="1095"/>
            <w:vAlign w:val="center"/>
          </w:tcPr>
          <w:p>
            <w:pPr>
              <w:keepLines/>
              <w:spacing w:after="0" w:line="240" w:lineRule="auto"/>
              <w:jc w:val="center"/>
            </w:pPr>
            <w:r>
              <w:rPr>
                <w:rFonts w:ascii="Times New Roman" w:hAnsi="Times New Roman" w:eastAsia="Times New Roman"/>
                <w:b w:val="0"/>
                <w:sz w:val="13"/>
              </w:rPr>
              <w:t>1.781 ± 0.198</w:t>
            </w:r>
          </w:p>
        </w:tc>
        <w:tc>
          <w:tcPr>
            <w:tcW w:type="dxa" w:w="1095"/>
            <w:vAlign w:val="center"/>
          </w:tcPr>
          <w:p>
            <w:pPr>
              <w:keepLines/>
              <w:spacing w:after="0" w:line="240" w:lineRule="auto"/>
              <w:jc w:val="center"/>
            </w:pPr>
            <w:r>
              <w:rPr>
                <w:rFonts w:ascii="Times New Roman" w:hAnsi="Times New Roman" w:eastAsia="Times New Roman"/>
                <w:b w:val="0"/>
                <w:sz w:val="13"/>
              </w:rPr>
              <w:t>70.02 ± 4.76</w:t>
            </w:r>
          </w:p>
        </w:tc>
        <w:tc>
          <w:tcPr>
            <w:tcW w:type="dxa" w:w="1095"/>
            <w:vAlign w:val="center"/>
          </w:tcPr>
          <w:p>
            <w:pPr>
              <w:keepLines/>
              <w:spacing w:after="0" w:line="240" w:lineRule="auto"/>
              <w:jc w:val="center"/>
            </w:pPr>
            <w:r>
              <w:rPr>
                <w:rFonts w:ascii="Times New Roman" w:hAnsi="Times New Roman" w:eastAsia="Times New Roman"/>
                <w:b w:val="0"/>
                <w:sz w:val="13"/>
              </w:rPr>
              <w:t>0.222 ± 0.030</w:t>
            </w:r>
          </w:p>
        </w:tc>
        <w:tc>
          <w:tcPr>
            <w:tcW w:type="dxa" w:w="1095"/>
            <w:vAlign w:val="center"/>
          </w:tcPr>
          <w:p>
            <w:pPr>
              <w:keepLines/>
              <w:spacing w:after="0" w:line="240" w:lineRule="auto"/>
              <w:jc w:val="center"/>
            </w:pPr>
            <w:r>
              <w:rPr>
                <w:rFonts w:ascii="Times New Roman" w:hAnsi="Times New Roman" w:eastAsia="Times New Roman"/>
                <w:b w:val="0"/>
                <w:sz w:val="13"/>
              </w:rPr>
              <w:t>0.315 ± 0.044</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0.927 ± 0.035</w:t>
            </w:r>
          </w:p>
        </w:tc>
        <w:tc>
          <w:tcPr>
            <w:tcW w:type="dxa" w:w="1095"/>
            <w:vAlign w:val="center"/>
          </w:tcPr>
          <w:p>
            <w:pPr>
              <w:keepLines/>
              <w:spacing w:after="0" w:line="240" w:lineRule="auto"/>
              <w:jc w:val="center"/>
            </w:pPr>
            <w:r>
              <w:rPr>
                <w:rFonts w:ascii="Times New Roman" w:hAnsi="Times New Roman" w:eastAsia="Times New Roman"/>
                <w:b w:val="0"/>
                <w:sz w:val="13"/>
              </w:rPr>
              <w:t>1.787 ± 0.208</w:t>
            </w:r>
          </w:p>
        </w:tc>
        <w:tc>
          <w:tcPr>
            <w:tcW w:type="dxa" w:w="1095"/>
            <w:vAlign w:val="center"/>
          </w:tcPr>
          <w:p>
            <w:pPr>
              <w:keepLines/>
              <w:spacing w:after="0" w:line="240" w:lineRule="auto"/>
              <w:jc w:val="center"/>
            </w:pPr>
            <w:r>
              <w:rPr>
                <w:rFonts w:ascii="Times New Roman" w:hAnsi="Times New Roman" w:eastAsia="Times New Roman"/>
                <w:b w:val="0"/>
                <w:sz w:val="13"/>
              </w:rPr>
              <w:t>70.08 ± 4.71</w:t>
            </w:r>
          </w:p>
        </w:tc>
        <w:tc>
          <w:tcPr>
            <w:tcW w:type="dxa" w:w="1095"/>
            <w:vAlign w:val="center"/>
          </w:tcPr>
          <w:p>
            <w:pPr>
              <w:keepLines/>
              <w:spacing w:after="0" w:line="240" w:lineRule="auto"/>
              <w:jc w:val="center"/>
            </w:pPr>
            <w:r>
              <w:rPr>
                <w:rFonts w:ascii="Times New Roman" w:hAnsi="Times New Roman" w:eastAsia="Times New Roman"/>
                <w:b w:val="0"/>
                <w:sz w:val="13"/>
              </w:rPr>
              <w:t>0.205 ± 0.030</w:t>
            </w:r>
          </w:p>
        </w:tc>
        <w:tc>
          <w:tcPr>
            <w:tcW w:type="dxa" w:w="1095"/>
            <w:vAlign w:val="center"/>
          </w:tcPr>
          <w:p>
            <w:pPr>
              <w:keepLines/>
              <w:spacing w:after="0" w:line="240" w:lineRule="auto"/>
              <w:jc w:val="center"/>
            </w:pPr>
            <w:r>
              <w:rPr>
                <w:rFonts w:ascii="Times New Roman" w:hAnsi="Times New Roman" w:eastAsia="Times New Roman"/>
                <w:b w:val="0"/>
                <w:sz w:val="13"/>
              </w:rPr>
              <w:t>0.302 ± 0.042</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XGBoost</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0.953 ± 0.006</w:t>
            </w:r>
          </w:p>
        </w:tc>
        <w:tc>
          <w:tcPr>
            <w:tcW w:type="dxa" w:w="1095"/>
            <w:vAlign w:val="center"/>
          </w:tcPr>
          <w:p>
            <w:pPr>
              <w:keepLines/>
              <w:spacing w:after="0" w:line="240" w:lineRule="auto"/>
              <w:jc w:val="center"/>
            </w:pPr>
            <w:r>
              <w:rPr>
                <w:rFonts w:ascii="Times New Roman" w:hAnsi="Times New Roman" w:eastAsia="Times New Roman"/>
                <w:b w:val="0"/>
                <w:sz w:val="13"/>
              </w:rPr>
              <w:t>1.852 ± 0.081</w:t>
            </w:r>
          </w:p>
        </w:tc>
        <w:tc>
          <w:tcPr>
            <w:tcW w:type="dxa" w:w="1095"/>
            <w:vAlign w:val="center"/>
          </w:tcPr>
          <w:p>
            <w:pPr>
              <w:keepLines/>
              <w:spacing w:after="0" w:line="240" w:lineRule="auto"/>
              <w:jc w:val="center"/>
            </w:pPr>
            <w:r>
              <w:rPr>
                <w:rFonts w:ascii="Times New Roman" w:hAnsi="Times New Roman" w:eastAsia="Times New Roman"/>
                <w:b w:val="0"/>
                <w:sz w:val="13"/>
              </w:rPr>
              <w:t>69.81 ± 1.47</w:t>
            </w:r>
          </w:p>
        </w:tc>
        <w:tc>
          <w:tcPr>
            <w:tcW w:type="dxa" w:w="1095"/>
            <w:vAlign w:val="center"/>
          </w:tcPr>
          <w:p>
            <w:pPr>
              <w:keepLines/>
              <w:spacing w:after="0" w:line="240" w:lineRule="auto"/>
              <w:jc w:val="center"/>
            </w:pPr>
            <w:r>
              <w:rPr>
                <w:rFonts w:ascii="Times New Roman" w:hAnsi="Times New Roman" w:eastAsia="Times New Roman"/>
                <w:b w:val="0"/>
                <w:sz w:val="13"/>
              </w:rPr>
              <w:t>0.228 ± 0.007</w:t>
            </w:r>
          </w:p>
        </w:tc>
        <w:tc>
          <w:tcPr>
            <w:tcW w:type="dxa" w:w="1095"/>
            <w:vAlign w:val="center"/>
          </w:tcPr>
          <w:p>
            <w:pPr>
              <w:keepLines/>
              <w:spacing w:after="0" w:line="240" w:lineRule="auto"/>
              <w:jc w:val="center"/>
            </w:pPr>
            <w:r>
              <w:rPr>
                <w:rFonts w:ascii="Times New Roman" w:hAnsi="Times New Roman" w:eastAsia="Times New Roman"/>
                <w:b w:val="0"/>
                <w:sz w:val="13"/>
              </w:rPr>
              <w:t>0.326 ± 0.012</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TimeMixer</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0.993 ± 0.012</w:t>
            </w:r>
          </w:p>
        </w:tc>
        <w:tc>
          <w:tcPr>
            <w:tcW w:type="dxa" w:w="1095"/>
            <w:vAlign w:val="center"/>
          </w:tcPr>
          <w:p>
            <w:pPr>
              <w:keepLines/>
              <w:spacing w:after="0" w:line="240" w:lineRule="auto"/>
              <w:jc w:val="center"/>
            </w:pPr>
            <w:r>
              <w:rPr>
                <w:rFonts w:ascii="Times New Roman" w:hAnsi="Times New Roman" w:eastAsia="Times New Roman"/>
                <w:b w:val="0"/>
                <w:sz w:val="13"/>
              </w:rPr>
              <w:t>2.002 ± 0.123</w:t>
            </w:r>
          </w:p>
        </w:tc>
        <w:tc>
          <w:tcPr>
            <w:tcW w:type="dxa" w:w="1095"/>
            <w:vAlign w:val="center"/>
          </w:tcPr>
          <w:p>
            <w:pPr>
              <w:keepLines/>
              <w:spacing w:after="0" w:line="240" w:lineRule="auto"/>
              <w:jc w:val="center"/>
            </w:pPr>
            <w:r>
              <w:rPr>
                <w:rFonts w:ascii="Times New Roman" w:hAnsi="Times New Roman" w:eastAsia="Times New Roman"/>
                <w:b w:val="0"/>
                <w:sz w:val="13"/>
              </w:rPr>
              <w:t>72.79 ± 1.37</w:t>
            </w:r>
          </w:p>
        </w:tc>
        <w:tc>
          <w:tcPr>
            <w:tcW w:type="dxa" w:w="1095"/>
            <w:vAlign w:val="center"/>
          </w:tcPr>
          <w:p>
            <w:pPr>
              <w:keepLines/>
              <w:spacing w:after="0" w:line="240" w:lineRule="auto"/>
              <w:jc w:val="center"/>
            </w:pPr>
            <w:r>
              <w:rPr>
                <w:rFonts w:ascii="Times New Roman" w:hAnsi="Times New Roman" w:eastAsia="Times New Roman"/>
                <w:b w:val="0"/>
                <w:sz w:val="13"/>
              </w:rPr>
              <w:t>0.401 ± 0.040</w:t>
            </w:r>
          </w:p>
        </w:tc>
        <w:tc>
          <w:tcPr>
            <w:tcW w:type="dxa" w:w="1095"/>
            <w:vAlign w:val="center"/>
          </w:tcPr>
          <w:p>
            <w:pPr>
              <w:keepLines/>
              <w:spacing w:after="0" w:line="240" w:lineRule="auto"/>
              <w:jc w:val="center"/>
            </w:pPr>
            <w:r>
              <w:rPr>
                <w:rFonts w:ascii="Times New Roman" w:hAnsi="Times New Roman" w:eastAsia="Times New Roman"/>
                <w:b w:val="0"/>
                <w:sz w:val="13"/>
              </w:rPr>
              <w:t>0.439 ± 0.027</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Hybrid</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0.953 ± 0.007</w:t>
            </w:r>
          </w:p>
        </w:tc>
        <w:tc>
          <w:tcPr>
            <w:tcW w:type="dxa" w:w="1095"/>
            <w:vAlign w:val="center"/>
          </w:tcPr>
          <w:p>
            <w:pPr>
              <w:keepLines/>
              <w:spacing w:after="0" w:line="240" w:lineRule="auto"/>
              <w:jc w:val="center"/>
            </w:pPr>
            <w:r>
              <w:rPr>
                <w:rFonts w:ascii="Times New Roman" w:hAnsi="Times New Roman" w:eastAsia="Times New Roman"/>
                <w:b w:val="0"/>
                <w:sz w:val="13"/>
              </w:rPr>
              <w:t>1.850 ± 0.078</w:t>
            </w:r>
          </w:p>
        </w:tc>
        <w:tc>
          <w:tcPr>
            <w:tcW w:type="dxa" w:w="1095"/>
            <w:vAlign w:val="center"/>
          </w:tcPr>
          <w:p>
            <w:pPr>
              <w:keepLines/>
              <w:spacing w:after="0" w:line="240" w:lineRule="auto"/>
              <w:jc w:val="center"/>
            </w:pPr>
            <w:r>
              <w:rPr>
                <w:rFonts w:ascii="Times New Roman" w:hAnsi="Times New Roman" w:eastAsia="Times New Roman"/>
                <w:b w:val="0"/>
                <w:sz w:val="13"/>
              </w:rPr>
              <w:t>69.84 ± 1.43</w:t>
            </w:r>
          </w:p>
        </w:tc>
        <w:tc>
          <w:tcPr>
            <w:tcW w:type="dxa" w:w="1095"/>
            <w:vAlign w:val="center"/>
          </w:tcPr>
          <w:p>
            <w:pPr>
              <w:keepLines/>
              <w:spacing w:after="0" w:line="240" w:lineRule="auto"/>
              <w:jc w:val="center"/>
            </w:pPr>
            <w:r>
              <w:rPr>
                <w:rFonts w:ascii="Times New Roman" w:hAnsi="Times New Roman" w:eastAsia="Times New Roman"/>
                <w:b w:val="0"/>
                <w:sz w:val="13"/>
              </w:rPr>
              <w:t>0.229 ± 0.008</w:t>
            </w:r>
          </w:p>
        </w:tc>
        <w:tc>
          <w:tcPr>
            <w:tcW w:type="dxa" w:w="1095"/>
            <w:vAlign w:val="center"/>
          </w:tcPr>
          <w:p>
            <w:pPr>
              <w:keepLines/>
              <w:spacing w:after="0" w:line="240" w:lineRule="auto"/>
              <w:jc w:val="center"/>
            </w:pPr>
            <w:r>
              <w:rPr>
                <w:rFonts w:ascii="Times New Roman" w:hAnsi="Times New Roman" w:eastAsia="Times New Roman"/>
                <w:b w:val="0"/>
                <w:sz w:val="13"/>
              </w:rPr>
              <w:t>0.328 ± 0.013</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0.954 ± 0.007</w:t>
            </w:r>
          </w:p>
        </w:tc>
        <w:tc>
          <w:tcPr>
            <w:tcW w:type="dxa" w:w="1095"/>
            <w:vAlign w:val="center"/>
          </w:tcPr>
          <w:p>
            <w:pPr>
              <w:keepLines/>
              <w:spacing w:after="0" w:line="240" w:lineRule="auto"/>
              <w:jc w:val="center"/>
            </w:pPr>
            <w:r>
              <w:rPr>
                <w:rFonts w:ascii="Times New Roman" w:hAnsi="Times New Roman" w:eastAsia="Times New Roman"/>
                <w:b w:val="0"/>
                <w:sz w:val="13"/>
              </w:rPr>
              <w:t>1.854 ± 0.082</w:t>
            </w:r>
          </w:p>
        </w:tc>
        <w:tc>
          <w:tcPr>
            <w:tcW w:type="dxa" w:w="1095"/>
            <w:vAlign w:val="center"/>
          </w:tcPr>
          <w:p>
            <w:pPr>
              <w:keepLines/>
              <w:spacing w:after="0" w:line="240" w:lineRule="auto"/>
              <w:jc w:val="center"/>
            </w:pPr>
            <w:r>
              <w:rPr>
                <w:rFonts w:ascii="Times New Roman" w:hAnsi="Times New Roman" w:eastAsia="Times New Roman"/>
                <w:b w:val="0"/>
                <w:sz w:val="13"/>
              </w:rPr>
              <w:t>69.91 ± 1.45</w:t>
            </w:r>
          </w:p>
        </w:tc>
        <w:tc>
          <w:tcPr>
            <w:tcW w:type="dxa" w:w="1095"/>
            <w:vAlign w:val="center"/>
          </w:tcPr>
          <w:p>
            <w:pPr>
              <w:keepLines/>
              <w:spacing w:after="0" w:line="240" w:lineRule="auto"/>
              <w:jc w:val="center"/>
            </w:pPr>
            <w:r>
              <w:rPr>
                <w:rFonts w:ascii="Times New Roman" w:hAnsi="Times New Roman" w:eastAsia="Times New Roman"/>
                <w:b w:val="0"/>
                <w:sz w:val="13"/>
              </w:rPr>
              <w:t>0.213 ± 0.009</w:t>
            </w:r>
          </w:p>
        </w:tc>
        <w:tc>
          <w:tcPr>
            <w:tcW w:type="dxa" w:w="1095"/>
            <w:vAlign w:val="center"/>
          </w:tcPr>
          <w:p>
            <w:pPr>
              <w:keepLines/>
              <w:spacing w:after="0" w:line="240" w:lineRule="auto"/>
              <w:jc w:val="center"/>
            </w:pPr>
            <w:r>
              <w:rPr>
                <w:rFonts w:ascii="Times New Roman" w:hAnsi="Times New Roman" w:eastAsia="Times New Roman"/>
                <w:b w:val="0"/>
                <w:sz w:val="13"/>
              </w:rPr>
              <w:t>0.315 ± 0.012</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XGBoost</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0.955 ± 0.013</w:t>
            </w:r>
          </w:p>
        </w:tc>
        <w:tc>
          <w:tcPr>
            <w:tcW w:type="dxa" w:w="1095"/>
            <w:vAlign w:val="center"/>
          </w:tcPr>
          <w:p>
            <w:pPr>
              <w:keepLines/>
              <w:spacing w:after="0" w:line="240" w:lineRule="auto"/>
              <w:jc w:val="center"/>
            </w:pPr>
            <w:r>
              <w:rPr>
                <w:rFonts w:ascii="Times New Roman" w:hAnsi="Times New Roman" w:eastAsia="Times New Roman"/>
                <w:b w:val="0"/>
                <w:sz w:val="13"/>
              </w:rPr>
              <w:t>1.876 ± 0.012</w:t>
            </w:r>
          </w:p>
        </w:tc>
        <w:tc>
          <w:tcPr>
            <w:tcW w:type="dxa" w:w="1095"/>
            <w:vAlign w:val="center"/>
          </w:tcPr>
          <w:p>
            <w:pPr>
              <w:keepLines/>
              <w:spacing w:after="0" w:line="240" w:lineRule="auto"/>
              <w:jc w:val="center"/>
            </w:pPr>
            <w:r>
              <w:rPr>
                <w:rFonts w:ascii="Times New Roman" w:hAnsi="Times New Roman" w:eastAsia="Times New Roman"/>
                <w:b w:val="0"/>
                <w:sz w:val="13"/>
              </w:rPr>
              <w:t>69.53 ± 1.00</w:t>
            </w:r>
          </w:p>
        </w:tc>
        <w:tc>
          <w:tcPr>
            <w:tcW w:type="dxa" w:w="1095"/>
            <w:vAlign w:val="center"/>
          </w:tcPr>
          <w:p>
            <w:pPr>
              <w:keepLines/>
              <w:spacing w:after="0" w:line="240" w:lineRule="auto"/>
              <w:jc w:val="center"/>
            </w:pPr>
            <w:r>
              <w:rPr>
                <w:rFonts w:ascii="Times New Roman" w:hAnsi="Times New Roman" w:eastAsia="Times New Roman"/>
                <w:b w:val="0"/>
                <w:sz w:val="13"/>
              </w:rPr>
              <w:t>0.232 ± 0.007</w:t>
            </w:r>
          </w:p>
        </w:tc>
        <w:tc>
          <w:tcPr>
            <w:tcW w:type="dxa" w:w="1095"/>
            <w:vAlign w:val="center"/>
          </w:tcPr>
          <w:p>
            <w:pPr>
              <w:keepLines/>
              <w:spacing w:after="0" w:line="240" w:lineRule="auto"/>
              <w:jc w:val="center"/>
            </w:pPr>
            <w:r>
              <w:rPr>
                <w:rFonts w:ascii="Times New Roman" w:hAnsi="Times New Roman" w:eastAsia="Times New Roman"/>
                <w:b w:val="0"/>
                <w:sz w:val="13"/>
              </w:rPr>
              <w:t>0.331 ± 0.006</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TimeMixer</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0.998 ± 0.020</w:t>
            </w:r>
          </w:p>
        </w:tc>
        <w:tc>
          <w:tcPr>
            <w:tcW w:type="dxa" w:w="1095"/>
            <w:vAlign w:val="center"/>
          </w:tcPr>
          <w:p>
            <w:pPr>
              <w:keepLines/>
              <w:spacing w:after="0" w:line="240" w:lineRule="auto"/>
              <w:jc w:val="center"/>
            </w:pPr>
            <w:r>
              <w:rPr>
                <w:rFonts w:ascii="Times New Roman" w:hAnsi="Times New Roman" w:eastAsia="Times New Roman"/>
                <w:b w:val="0"/>
                <w:sz w:val="13"/>
              </w:rPr>
              <w:t>2.014 ± 0.037</w:t>
            </w:r>
          </w:p>
        </w:tc>
        <w:tc>
          <w:tcPr>
            <w:tcW w:type="dxa" w:w="1095"/>
            <w:vAlign w:val="center"/>
          </w:tcPr>
          <w:p>
            <w:pPr>
              <w:keepLines/>
              <w:spacing w:after="0" w:line="240" w:lineRule="auto"/>
              <w:jc w:val="center"/>
            </w:pPr>
            <w:r>
              <w:rPr>
                <w:rFonts w:ascii="Times New Roman" w:hAnsi="Times New Roman" w:eastAsia="Times New Roman"/>
                <w:b w:val="0"/>
                <w:sz w:val="13"/>
              </w:rPr>
              <w:t>72.65 ± 1.34</w:t>
            </w:r>
          </w:p>
        </w:tc>
        <w:tc>
          <w:tcPr>
            <w:tcW w:type="dxa" w:w="1095"/>
            <w:vAlign w:val="center"/>
          </w:tcPr>
          <w:p>
            <w:pPr>
              <w:keepLines/>
              <w:spacing w:after="0" w:line="240" w:lineRule="auto"/>
              <w:jc w:val="center"/>
            </w:pPr>
            <w:r>
              <w:rPr>
                <w:rFonts w:ascii="Times New Roman" w:hAnsi="Times New Roman" w:eastAsia="Times New Roman"/>
                <w:b w:val="0"/>
                <w:sz w:val="13"/>
              </w:rPr>
              <w:t>0.350 ± 0.027</w:t>
            </w:r>
          </w:p>
        </w:tc>
        <w:tc>
          <w:tcPr>
            <w:tcW w:type="dxa" w:w="1095"/>
            <w:vAlign w:val="center"/>
          </w:tcPr>
          <w:p>
            <w:pPr>
              <w:keepLines/>
              <w:spacing w:after="0" w:line="240" w:lineRule="auto"/>
              <w:jc w:val="center"/>
            </w:pPr>
            <w:r>
              <w:rPr>
                <w:rFonts w:ascii="Times New Roman" w:hAnsi="Times New Roman" w:eastAsia="Times New Roman"/>
                <w:b w:val="0"/>
                <w:sz w:val="13"/>
              </w:rPr>
              <w:t>0.399 ± 0.031</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Hybrid</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0.956 ± 0.012</w:t>
            </w:r>
          </w:p>
        </w:tc>
        <w:tc>
          <w:tcPr>
            <w:tcW w:type="dxa" w:w="1095"/>
            <w:vAlign w:val="center"/>
          </w:tcPr>
          <w:p>
            <w:pPr>
              <w:keepLines/>
              <w:spacing w:after="0" w:line="240" w:lineRule="auto"/>
              <w:jc w:val="center"/>
            </w:pPr>
            <w:r>
              <w:rPr>
                <w:rFonts w:ascii="Times New Roman" w:hAnsi="Times New Roman" w:eastAsia="Times New Roman"/>
                <w:b w:val="0"/>
                <w:sz w:val="13"/>
              </w:rPr>
              <w:t>1.882 ± 0.012</w:t>
            </w:r>
          </w:p>
        </w:tc>
        <w:tc>
          <w:tcPr>
            <w:tcW w:type="dxa" w:w="1095"/>
            <w:vAlign w:val="center"/>
          </w:tcPr>
          <w:p>
            <w:pPr>
              <w:keepLines/>
              <w:spacing w:after="0" w:line="240" w:lineRule="auto"/>
              <w:jc w:val="center"/>
            </w:pPr>
            <w:r>
              <w:rPr>
                <w:rFonts w:ascii="Times New Roman" w:hAnsi="Times New Roman" w:eastAsia="Times New Roman"/>
                <w:b w:val="0"/>
                <w:sz w:val="13"/>
              </w:rPr>
              <w:t>69.56 ± 0.94</w:t>
            </w:r>
          </w:p>
        </w:tc>
        <w:tc>
          <w:tcPr>
            <w:tcW w:type="dxa" w:w="1095"/>
            <w:vAlign w:val="center"/>
          </w:tcPr>
          <w:p>
            <w:pPr>
              <w:keepLines/>
              <w:spacing w:after="0" w:line="240" w:lineRule="auto"/>
              <w:jc w:val="center"/>
            </w:pPr>
            <w:r>
              <w:rPr>
                <w:rFonts w:ascii="Times New Roman" w:hAnsi="Times New Roman" w:eastAsia="Times New Roman"/>
                <w:b w:val="0"/>
                <w:sz w:val="13"/>
              </w:rPr>
              <w:t>0.231 ± 0.005</w:t>
            </w:r>
          </w:p>
        </w:tc>
        <w:tc>
          <w:tcPr>
            <w:tcW w:type="dxa" w:w="1095"/>
            <w:vAlign w:val="center"/>
          </w:tcPr>
          <w:p>
            <w:pPr>
              <w:keepLines/>
              <w:spacing w:after="0" w:line="240" w:lineRule="auto"/>
              <w:jc w:val="center"/>
            </w:pPr>
            <w:r>
              <w:rPr>
                <w:rFonts w:ascii="Times New Roman" w:hAnsi="Times New Roman" w:eastAsia="Times New Roman"/>
                <w:b w:val="0"/>
                <w:sz w:val="13"/>
              </w:rPr>
              <w:t>0.330 ± 0.005</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3</w:t>
            </w:r>
          </w:p>
        </w:tc>
        <w:tc>
          <w:tcPr>
            <w:tcW w:type="dxa" w:w="1095"/>
            <w:vAlign w:val="center"/>
          </w:tcPr>
          <w:p>
            <w:pPr>
              <w:keepLines/>
              <w:spacing w:after="0" w:line="240" w:lineRule="auto"/>
              <w:jc w:val="center"/>
            </w:pPr>
            <w:r>
              <w:rPr>
                <w:rFonts w:ascii="Times New Roman" w:hAnsi="Times New Roman" w:eastAsia="Times New Roman"/>
                <w:b w:val="0"/>
                <w:sz w:val="13"/>
              </w:rPr>
              <w:t>0.956 ± 0.012</w:t>
            </w:r>
          </w:p>
        </w:tc>
        <w:tc>
          <w:tcPr>
            <w:tcW w:type="dxa" w:w="1095"/>
            <w:vAlign w:val="center"/>
          </w:tcPr>
          <w:p>
            <w:pPr>
              <w:keepLines/>
              <w:spacing w:after="0" w:line="240" w:lineRule="auto"/>
              <w:jc w:val="center"/>
            </w:pPr>
            <w:r>
              <w:rPr>
                <w:rFonts w:ascii="Times New Roman" w:hAnsi="Times New Roman" w:eastAsia="Times New Roman"/>
                <w:b w:val="0"/>
                <w:sz w:val="13"/>
              </w:rPr>
              <w:t>1.881 ± 0.014</w:t>
            </w:r>
          </w:p>
        </w:tc>
        <w:tc>
          <w:tcPr>
            <w:tcW w:type="dxa" w:w="1095"/>
            <w:vAlign w:val="center"/>
          </w:tcPr>
          <w:p>
            <w:pPr>
              <w:keepLines/>
              <w:spacing w:after="0" w:line="240" w:lineRule="auto"/>
              <w:jc w:val="center"/>
            </w:pPr>
            <w:r>
              <w:rPr>
                <w:rFonts w:ascii="Times New Roman" w:hAnsi="Times New Roman" w:eastAsia="Times New Roman"/>
                <w:b w:val="0"/>
                <w:sz w:val="13"/>
              </w:rPr>
              <w:t>69.58 ± 0.96</w:t>
            </w:r>
          </w:p>
        </w:tc>
        <w:tc>
          <w:tcPr>
            <w:tcW w:type="dxa" w:w="1095"/>
            <w:vAlign w:val="center"/>
          </w:tcPr>
          <w:p>
            <w:pPr>
              <w:keepLines/>
              <w:spacing w:after="0" w:line="240" w:lineRule="auto"/>
              <w:jc w:val="center"/>
            </w:pPr>
            <w:r>
              <w:rPr>
                <w:rFonts w:ascii="Times New Roman" w:hAnsi="Times New Roman" w:eastAsia="Times New Roman"/>
                <w:b w:val="0"/>
                <w:sz w:val="13"/>
              </w:rPr>
              <w:t>0.214 ± 0.006</w:t>
            </w:r>
          </w:p>
        </w:tc>
        <w:tc>
          <w:tcPr>
            <w:tcW w:type="dxa" w:w="1095"/>
            <w:vAlign w:val="center"/>
          </w:tcPr>
          <w:p>
            <w:pPr>
              <w:keepLines/>
              <w:spacing w:after="0" w:line="240" w:lineRule="auto"/>
              <w:jc w:val="center"/>
            </w:pPr>
            <w:r>
              <w:rPr>
                <w:rFonts w:ascii="Times New Roman" w:hAnsi="Times New Roman" w:eastAsia="Times New Roman"/>
                <w:b w:val="0"/>
                <w:sz w:val="13"/>
              </w:rPr>
              <w:t>0.318 ± 0.007</w:t>
            </w:r>
          </w:p>
        </w:tc>
      </w:tr>
    </w:tbl>
    <w:p>
      <w:pPr>
        <w:pStyle w:val="Para"/>
      </w:pPr>
      <w:r/>
    </w:p>
    <w:p>
      <w:pPr>
        <w:pStyle w:val="Image"/>
        <w:jc w:val="center"/>
      </w:pPr>
      <w:r>
        <w:drawing>
          <wp:inline xmlns:a="http://schemas.openxmlformats.org/drawingml/2006/main" xmlns:pic="http://schemas.openxmlformats.org/drawingml/2006/picture">
            <wp:extent cx="5349240" cy="2305620"/>
            <wp:docPr id="24" name="Picture 24" title="Figure 1" descr="Main results comparing RMSE and Forecast Stability Score across 1000, 3000, and 4000 demand series only."/>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349240" cy="2305620"/>
                    </a:xfrm>
                    <a:prstGeom prst="rect"/>
                  </pic:spPr>
                </pic:pic>
              </a:graphicData>
            </a:graphic>
          </wp:inline>
        </w:drawing>
      </w:r>
    </w:p>
    <w:p>
      <w:pPr>
        <w:pStyle w:val="FigureCaption"/>
        <w:keepNext/>
        <w:keepLines/>
      </w:pPr>
      <w:r>
        <w:t>Figure 1. Main results under consistent full training configurations. Error bars denote standard deviation across three random seeds.</w:t>
      </w:r>
    </w:p>
    <w:p>
      <w:pPr>
        <w:pStyle w:val="Head2"/>
      </w:pPr>
      <w:r>
        <w:t>Stability-Accuracy Trade-off</w:t>
      </w:r>
    </w:p>
    <w:p>
      <w:pPr>
        <w:pStyle w:val="Para"/>
      </w:pPr>
      <w:r>
        <w:t>The central empirical pattern remains stable after the consistency revision. As shown in Table 2, the stability-aware hybrid model improves FSS over XGBoost by 6.91%, 6.66%, and 7.68% at 1000, 3000, and 4000 series, respectively. Across these scales, the largest absolute RMSE change is 0.72%. Figure 2 places the methods on the accuracy-stability plane and shows that stability regularization moves the operating point toward smoother forecasts while keeping RMSE close to the structured baseline.</w:t>
      </w:r>
    </w:p>
    <w:p>
      <w:pPr>
        <w:pStyle w:val="TableCaption"/>
        <w:keepNext/>
        <w:keepLines/>
      </w:pPr>
      <w:r>
        <w:t>Table 2. Relative stability, accuracy, and volatility changes for the stability-aware hybrid model versus XGBoost.</w:t>
      </w:r>
    </w:p>
    <w:tbl>
      <w:tblPr>
        <w:tblStyle w:val="a9"/>
        <w:tblW w:type="auto" w:w="0"/>
        <w:jc w:val="center"/>
        <w:tblLayout w:type="autofit"/>
        <w:tblLook w:firstColumn="1" w:firstRow="1" w:lastColumn="0" w:lastRow="0" w:noHBand="0" w:noVBand="1" w:val="04A0"/>
      </w:tblPr>
      <w:tblGrid>
        <w:gridCol w:w="1460"/>
        <w:gridCol w:w="1460"/>
        <w:gridCol w:w="1460"/>
        <w:gridCol w:w="1460"/>
        <w:gridCol w:w="1460"/>
        <w:gridCol w:w="1460"/>
      </w:tblGrid>
      <w:tr>
        <w:trPr>
          <w:tblHeader w:val="true"/>
          <w:cantSplit/>
        </w:trPr>
        <w:tc>
          <w:tcPr>
            <w:tcW w:type="dxa" w:w="1460"/>
            <w:vAlign w:val="center"/>
            <w:shd w:fill="EDEDED"/>
          </w:tcPr>
          <w:p>
            <w:pPr>
              <w:keepLines/>
              <w:spacing w:after="0" w:line="240" w:lineRule="auto"/>
              <w:jc w:val="center"/>
            </w:pPr>
            <w:r>
              <w:rPr>
                <w:rFonts w:ascii="Times New Roman" w:hAnsi="Times New Roman" w:eastAsia="Times New Roman"/>
                <w:b/>
                <w:sz w:val="14"/>
              </w:rPr>
              <w:t>Series</w:t>
            </w:r>
          </w:p>
        </w:tc>
        <w:tc>
          <w:tcPr>
            <w:tcW w:type="dxa" w:w="1460"/>
            <w:vAlign w:val="center"/>
            <w:shd w:fill="EDEDED"/>
          </w:tcPr>
          <w:p>
            <w:pPr>
              <w:keepLines/>
              <w:spacing w:after="0" w:line="240" w:lineRule="auto"/>
              <w:jc w:val="center"/>
            </w:pPr>
            <w:r>
              <w:rPr>
                <w:rFonts w:ascii="Times New Roman" w:hAnsi="Times New Roman" w:eastAsia="Times New Roman"/>
                <w:b/>
                <w:sz w:val="14"/>
              </w:rPr>
              <w:t>FSS Improvement (%)</w:t>
            </w:r>
          </w:p>
        </w:tc>
        <w:tc>
          <w:tcPr>
            <w:tcW w:type="dxa" w:w="1460"/>
            <w:vAlign w:val="center"/>
            <w:shd w:fill="EDEDED"/>
          </w:tcPr>
          <w:p>
            <w:pPr>
              <w:keepLines/>
              <w:spacing w:after="0" w:line="240" w:lineRule="auto"/>
              <w:jc w:val="center"/>
            </w:pPr>
            <w:r>
              <w:rPr>
                <w:rFonts w:ascii="Times New Roman" w:hAnsi="Times New Roman" w:eastAsia="Times New Roman"/>
                <w:b/>
                <w:sz w:val="14"/>
              </w:rPr>
              <w:t>RMSE Change (%)</w:t>
            </w:r>
          </w:p>
        </w:tc>
        <w:tc>
          <w:tcPr>
            <w:tcW w:type="dxa" w:w="1460"/>
            <w:vAlign w:val="center"/>
            <w:shd w:fill="EDEDED"/>
          </w:tcPr>
          <w:p>
            <w:pPr>
              <w:keepLines/>
              <w:spacing w:after="0" w:line="240" w:lineRule="auto"/>
              <w:jc w:val="left"/>
            </w:pPr>
            <w:r>
              <w:rPr>
                <w:rFonts w:ascii="Times New Roman" w:hAnsi="Times New Roman" w:eastAsia="Times New Roman"/>
                <w:b/>
                <w:sz w:val="14"/>
              </w:rPr>
              <w:t>Volatility Improvement (%)</w:t>
            </w:r>
          </w:p>
        </w:tc>
        <w:tc>
          <w:tcPr>
            <w:tcW w:type="dxa" w:w="1460"/>
            <w:vAlign w:val="center"/>
            <w:shd w:fill="EDEDED"/>
          </w:tcPr>
          <w:p>
            <w:pPr>
              <w:keepLines/>
              <w:spacing w:after="0" w:line="240" w:lineRule="auto"/>
              <w:jc w:val="center"/>
            </w:pPr>
            <w:r>
              <w:rPr>
                <w:rFonts w:ascii="Times New Roman" w:hAnsi="Times New Roman" w:eastAsia="Times New Roman"/>
                <w:b/>
                <w:sz w:val="14"/>
              </w:rPr>
              <w:t>Seeds Improved</w:t>
            </w:r>
          </w:p>
        </w:tc>
        <w:tc>
          <w:tcPr>
            <w:tcW w:type="dxa" w:w="1460"/>
            <w:vAlign w:val="center"/>
            <w:shd w:fill="EDEDED"/>
          </w:tcPr>
          <w:p>
            <w:pPr>
              <w:keepLines/>
              <w:spacing w:after="0" w:line="240" w:lineRule="auto"/>
              <w:jc w:val="center"/>
            </w:pPr>
            <w:r>
              <w:rPr>
                <w:rFonts w:ascii="Times New Roman" w:hAnsi="Times New Roman" w:eastAsia="Times New Roman"/>
                <w:b/>
                <w:sz w:val="14"/>
              </w:rPr>
              <w:t>Runs</w:t>
            </w:r>
          </w:p>
        </w:tc>
      </w:tr>
      <w:tr>
        <w:trPr>
          <w:cantSplit/>
        </w:trPr>
        <w:tc>
          <w:tcPr>
            <w:tcW w:type="dxa" w:w="1460"/>
            <w:vAlign w:val="center"/>
          </w:tcPr>
          <w:p>
            <w:pPr>
              <w:keepLines/>
              <w:spacing w:after="0" w:line="240" w:lineRule="auto"/>
              <w:jc w:val="center"/>
            </w:pPr>
            <w:r>
              <w:rPr>
                <w:rFonts w:ascii="Times New Roman" w:hAnsi="Times New Roman" w:eastAsia="Times New Roman"/>
                <w:b w:val="0"/>
                <w:sz w:val="14"/>
              </w:rPr>
              <w:t>1000</w:t>
            </w:r>
          </w:p>
        </w:tc>
        <w:tc>
          <w:tcPr>
            <w:tcW w:type="dxa" w:w="1460"/>
            <w:vAlign w:val="center"/>
          </w:tcPr>
          <w:p>
            <w:pPr>
              <w:keepLines/>
              <w:spacing w:after="0" w:line="240" w:lineRule="auto"/>
              <w:jc w:val="center"/>
            </w:pPr>
            <w:r>
              <w:rPr>
                <w:rFonts w:ascii="Times New Roman" w:hAnsi="Times New Roman" w:eastAsia="Times New Roman"/>
                <w:b w:val="0"/>
                <w:sz w:val="14"/>
              </w:rPr>
              <w:t>6.91</w:t>
            </w:r>
          </w:p>
        </w:tc>
        <w:tc>
          <w:tcPr>
            <w:tcW w:type="dxa" w:w="1460"/>
            <w:vAlign w:val="center"/>
          </w:tcPr>
          <w:p>
            <w:pPr>
              <w:keepLines/>
              <w:spacing w:after="0" w:line="240" w:lineRule="auto"/>
              <w:jc w:val="center"/>
            </w:pPr>
            <w:r>
              <w:rPr>
                <w:rFonts w:ascii="Times New Roman" w:hAnsi="Times New Roman" w:eastAsia="Times New Roman"/>
                <w:b w:val="0"/>
                <w:sz w:val="14"/>
              </w:rPr>
              <w:t>0.72</w:t>
            </w:r>
          </w:p>
        </w:tc>
        <w:tc>
          <w:tcPr>
            <w:tcW w:type="dxa" w:w="1460"/>
            <w:vAlign w:val="center"/>
          </w:tcPr>
          <w:p>
            <w:pPr>
              <w:keepLines/>
              <w:spacing w:after="0" w:line="240" w:lineRule="auto"/>
              <w:jc w:val="center"/>
            </w:pPr>
            <w:r>
              <w:rPr>
                <w:rFonts w:ascii="Times New Roman" w:hAnsi="Times New Roman" w:eastAsia="Times New Roman"/>
                <w:b w:val="0"/>
                <w:sz w:val="14"/>
              </w:rPr>
              <w:t>3.77</w:t>
            </w:r>
          </w:p>
        </w:tc>
        <w:tc>
          <w:tcPr>
            <w:tcW w:type="dxa" w:w="1460"/>
            <w:vAlign w:val="center"/>
          </w:tcPr>
          <w:p>
            <w:pPr>
              <w:keepLines/>
              <w:spacing w:after="0" w:line="240" w:lineRule="auto"/>
              <w:jc w:val="center"/>
            </w:pPr>
            <w:r>
              <w:rPr>
                <w:rFonts w:ascii="Times New Roman" w:hAnsi="Times New Roman" w:eastAsia="Times New Roman"/>
                <w:b w:val="0"/>
                <w:sz w:val="14"/>
              </w:rPr>
              <w:t>3</w:t>
            </w:r>
          </w:p>
        </w:tc>
        <w:tc>
          <w:tcPr>
            <w:tcW w:type="dxa" w:w="1460"/>
            <w:vAlign w:val="center"/>
          </w:tcPr>
          <w:p>
            <w:pPr>
              <w:keepLines/>
              <w:spacing w:after="0" w:line="240" w:lineRule="auto"/>
              <w:jc w:val="center"/>
            </w:pPr>
            <w:r>
              <w:rPr>
                <w:rFonts w:ascii="Times New Roman" w:hAnsi="Times New Roman" w:eastAsia="Times New Roman"/>
                <w:b w:val="0"/>
                <w:sz w:val="14"/>
              </w:rPr>
              <w:t>3</w:t>
            </w:r>
          </w:p>
        </w:tc>
      </w:tr>
      <w:tr>
        <w:trPr>
          <w:cantSplit/>
        </w:trPr>
        <w:tc>
          <w:tcPr>
            <w:tcW w:type="dxa" w:w="1460"/>
            <w:vAlign w:val="center"/>
          </w:tcPr>
          <w:p>
            <w:pPr>
              <w:keepLines/>
              <w:spacing w:after="0" w:line="240" w:lineRule="auto"/>
              <w:jc w:val="center"/>
            </w:pPr>
            <w:r>
              <w:rPr>
                <w:rFonts w:ascii="Times New Roman" w:hAnsi="Times New Roman" w:eastAsia="Times New Roman"/>
                <w:b w:val="0"/>
                <w:sz w:val="14"/>
              </w:rPr>
              <w:t>3000</w:t>
            </w:r>
          </w:p>
        </w:tc>
        <w:tc>
          <w:tcPr>
            <w:tcW w:type="dxa" w:w="1460"/>
            <w:vAlign w:val="center"/>
          </w:tcPr>
          <w:p>
            <w:pPr>
              <w:keepLines/>
              <w:spacing w:after="0" w:line="240" w:lineRule="auto"/>
              <w:jc w:val="center"/>
            </w:pPr>
            <w:r>
              <w:rPr>
                <w:rFonts w:ascii="Times New Roman" w:hAnsi="Times New Roman" w:eastAsia="Times New Roman"/>
                <w:b w:val="0"/>
                <w:sz w:val="14"/>
              </w:rPr>
              <w:t>6.66</w:t>
            </w:r>
          </w:p>
        </w:tc>
        <w:tc>
          <w:tcPr>
            <w:tcW w:type="dxa" w:w="1460"/>
            <w:vAlign w:val="center"/>
          </w:tcPr>
          <w:p>
            <w:pPr>
              <w:keepLines/>
              <w:spacing w:after="0" w:line="240" w:lineRule="auto"/>
              <w:jc w:val="center"/>
            </w:pPr>
            <w:r>
              <w:rPr>
                <w:rFonts w:ascii="Times New Roman" w:hAnsi="Times New Roman" w:eastAsia="Times New Roman"/>
                <w:b w:val="0"/>
                <w:sz w:val="14"/>
              </w:rPr>
              <w:t>0.10</w:t>
            </w:r>
          </w:p>
        </w:tc>
        <w:tc>
          <w:tcPr>
            <w:tcW w:type="dxa" w:w="1460"/>
            <w:vAlign w:val="center"/>
          </w:tcPr>
          <w:p>
            <w:pPr>
              <w:keepLines/>
              <w:spacing w:after="0" w:line="240" w:lineRule="auto"/>
              <w:jc w:val="center"/>
            </w:pPr>
            <w:r>
              <w:rPr>
                <w:rFonts w:ascii="Times New Roman" w:hAnsi="Times New Roman" w:eastAsia="Times New Roman"/>
                <w:b w:val="0"/>
                <w:sz w:val="14"/>
              </w:rPr>
              <w:t>3.18</w:t>
            </w:r>
          </w:p>
        </w:tc>
        <w:tc>
          <w:tcPr>
            <w:tcW w:type="dxa" w:w="1460"/>
            <w:vAlign w:val="center"/>
          </w:tcPr>
          <w:p>
            <w:pPr>
              <w:keepLines/>
              <w:spacing w:after="0" w:line="240" w:lineRule="auto"/>
              <w:jc w:val="center"/>
            </w:pPr>
            <w:r>
              <w:rPr>
                <w:rFonts w:ascii="Times New Roman" w:hAnsi="Times New Roman" w:eastAsia="Times New Roman"/>
                <w:b w:val="0"/>
                <w:sz w:val="14"/>
              </w:rPr>
              <w:t>3</w:t>
            </w:r>
          </w:p>
        </w:tc>
        <w:tc>
          <w:tcPr>
            <w:tcW w:type="dxa" w:w="1460"/>
            <w:vAlign w:val="center"/>
          </w:tcPr>
          <w:p>
            <w:pPr>
              <w:keepLines/>
              <w:spacing w:after="0" w:line="240" w:lineRule="auto"/>
              <w:jc w:val="center"/>
            </w:pPr>
            <w:r>
              <w:rPr>
                <w:rFonts w:ascii="Times New Roman" w:hAnsi="Times New Roman" w:eastAsia="Times New Roman"/>
                <w:b w:val="0"/>
                <w:sz w:val="14"/>
              </w:rPr>
              <w:t>3</w:t>
            </w:r>
          </w:p>
        </w:tc>
      </w:tr>
      <w:tr>
        <w:trPr>
          <w:cantSplit/>
        </w:trPr>
        <w:tc>
          <w:tcPr>
            <w:tcW w:type="dxa" w:w="1460"/>
            <w:vAlign w:val="center"/>
          </w:tcPr>
          <w:p>
            <w:pPr>
              <w:keepLines/>
              <w:spacing w:after="0" w:line="240" w:lineRule="auto"/>
              <w:jc w:val="center"/>
            </w:pPr>
            <w:r>
              <w:rPr>
                <w:rFonts w:ascii="Times New Roman" w:hAnsi="Times New Roman" w:eastAsia="Times New Roman"/>
                <w:b w:val="0"/>
                <w:sz w:val="14"/>
              </w:rPr>
              <w:t>4000</w:t>
            </w:r>
          </w:p>
        </w:tc>
        <w:tc>
          <w:tcPr>
            <w:tcW w:type="dxa" w:w="1460"/>
            <w:vAlign w:val="center"/>
          </w:tcPr>
          <w:p>
            <w:pPr>
              <w:keepLines/>
              <w:spacing w:after="0" w:line="240" w:lineRule="auto"/>
              <w:jc w:val="center"/>
            </w:pPr>
            <w:r>
              <w:rPr>
                <w:rFonts w:ascii="Times New Roman" w:hAnsi="Times New Roman" w:eastAsia="Times New Roman"/>
                <w:b w:val="0"/>
                <w:sz w:val="14"/>
              </w:rPr>
              <w:t>7.68</w:t>
            </w:r>
          </w:p>
        </w:tc>
        <w:tc>
          <w:tcPr>
            <w:tcW w:type="dxa" w:w="1460"/>
            <w:vAlign w:val="center"/>
          </w:tcPr>
          <w:p>
            <w:pPr>
              <w:keepLines/>
              <w:spacing w:after="0" w:line="240" w:lineRule="auto"/>
              <w:jc w:val="center"/>
            </w:pPr>
            <w:r>
              <w:rPr>
                <w:rFonts w:ascii="Times New Roman" w:hAnsi="Times New Roman" w:eastAsia="Times New Roman"/>
                <w:b w:val="0"/>
                <w:sz w:val="14"/>
              </w:rPr>
              <w:t>0.24</w:t>
            </w:r>
          </w:p>
        </w:tc>
        <w:tc>
          <w:tcPr>
            <w:tcW w:type="dxa" w:w="1460"/>
            <w:vAlign w:val="center"/>
          </w:tcPr>
          <w:p>
            <w:pPr>
              <w:keepLines/>
              <w:spacing w:after="0" w:line="240" w:lineRule="auto"/>
              <w:jc w:val="center"/>
            </w:pPr>
            <w:r>
              <w:rPr>
                <w:rFonts w:ascii="Times New Roman" w:hAnsi="Times New Roman" w:eastAsia="Times New Roman"/>
                <w:b w:val="0"/>
                <w:sz w:val="14"/>
              </w:rPr>
              <w:t>3.85</w:t>
            </w:r>
          </w:p>
        </w:tc>
        <w:tc>
          <w:tcPr>
            <w:tcW w:type="dxa" w:w="1460"/>
            <w:vAlign w:val="center"/>
          </w:tcPr>
          <w:p>
            <w:pPr>
              <w:keepLines/>
              <w:spacing w:after="0" w:line="240" w:lineRule="auto"/>
              <w:jc w:val="center"/>
            </w:pPr>
            <w:r>
              <w:rPr>
                <w:rFonts w:ascii="Times New Roman" w:hAnsi="Times New Roman" w:eastAsia="Times New Roman"/>
                <w:b w:val="0"/>
                <w:sz w:val="14"/>
              </w:rPr>
              <w:t>3</w:t>
            </w:r>
          </w:p>
        </w:tc>
        <w:tc>
          <w:tcPr>
            <w:tcW w:type="dxa" w:w="1460"/>
            <w:vAlign w:val="center"/>
          </w:tcPr>
          <w:p>
            <w:pPr>
              <w:keepLines/>
              <w:spacing w:after="0" w:line="240" w:lineRule="auto"/>
              <w:jc w:val="center"/>
            </w:pPr>
            <w:r>
              <w:rPr>
                <w:rFonts w:ascii="Times New Roman" w:hAnsi="Times New Roman" w:eastAsia="Times New Roman"/>
                <w:b w:val="0"/>
                <w:sz w:val="14"/>
              </w:rPr>
              <w:t>3</w:t>
            </w:r>
          </w:p>
        </w:tc>
      </w:tr>
    </w:tbl>
    <w:p>
      <w:pPr>
        <w:pStyle w:val="Para"/>
      </w:pPr>
      <w:r/>
    </w:p>
    <w:p>
      <w:pPr>
        <w:pStyle w:val="Image"/>
        <w:jc w:val="center"/>
      </w:pPr>
      <w:r>
        <w:drawing>
          <wp:inline xmlns:a="http://schemas.openxmlformats.org/drawingml/2006/main" xmlns:pic="http://schemas.openxmlformats.org/drawingml/2006/picture">
            <wp:extent cx="5349240" cy="1858452"/>
            <wp:docPr id="25" name="Picture 25" title="Figure 2" descr="Accuracy-stability trade-off across 1000, 3000, and 4000 demand series only."/>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49240" cy="1858452"/>
                    </a:xfrm>
                    <a:prstGeom prst="rect"/>
                  </pic:spPr>
                </pic:pic>
              </a:graphicData>
            </a:graphic>
          </wp:inline>
        </w:drawing>
      </w:r>
    </w:p>
    <w:p>
      <w:pPr>
        <w:pStyle w:val="FigureCaption"/>
        <w:keepNext/>
        <w:keepLines/>
      </w:pPr>
      <w:r>
        <w:t>Figure 2. Accuracy-stability trade-off under the revised consistent scalability setup. Points show method-level operating positions at each scale.</w:t>
      </w:r>
    </w:p>
    <w:p>
      <w:pPr>
        <w:pStyle w:val="Head2"/>
      </w:pPr>
      <w:r>
        <w:t>Smoothing Baselines and Normalized Stability</w:t>
      </w:r>
    </w:p>
    <w:p>
      <w:pPr>
        <w:pStyle w:val="Para"/>
      </w:pPr>
      <w:r>
        <w:t>Table 3 compares training-time stability regularization with the strongest post-processing smoothing setting from the tested grid. The evidence is mixed in a useful way. With α=0.5, exponential smoothing gives the lowest raw FSS, as expected, because it directly damps consecutive prediction changes. The cost appears in RMSE. Hybrid + smoothing increases RMSE by roughly 1.66–2.33% relative to XGBoost, while the stability-aware objective remains within the main-paper bound of 0.72%.</w:t>
      </w:r>
    </w:p>
    <w:p>
      <w:pPr>
        <w:pStyle w:val="Para"/>
      </w:pPr>
      <w:r>
        <w:t>The same pattern appears in the accuracy-stability trade-off: smoothing reduces raw movement more aggressively, while the stability-aware objective preserves more accuracy-oriented forecast structure.</w:t>
      </w:r>
    </w:p>
    <w:p>
      <w:pPr>
        <w:pStyle w:val="TableCaption"/>
        <w:keepNext/>
        <w:keepLines/>
      </w:pPr>
      <w:r>
        <w:rPr>
          <w:b w:val="0"/>
        </w:rPr>
        <w:t>Table 3. Smoothing baseline comparison. Smoothing rows use the best raw-FSS setting from α ∈ {0.5, 0.7, 0.9}; lower FSS and nFSS are better.</w:t>
      </w:r>
    </w:p>
    <w:tbl>
      <w:tblPr>
        <w:tblStyle w:val="a9"/>
        <w:tblW w:type="auto" w:w="0"/>
        <w:jc w:val="center"/>
        <w:tblLayout w:type="autofit"/>
        <w:tblLook w:firstColumn="1" w:firstRow="1" w:lastColumn="0" w:lastRow="0" w:noHBand="0" w:noVBand="1" w:val="04A0"/>
      </w:tblPr>
      <w:tblGrid>
        <w:gridCol w:w="1095"/>
        <w:gridCol w:w="1095"/>
        <w:gridCol w:w="1095"/>
        <w:gridCol w:w="1095"/>
        <w:gridCol w:w="1095"/>
        <w:gridCol w:w="1095"/>
        <w:gridCol w:w="1095"/>
        <w:gridCol w:w="1095"/>
      </w:tblGrid>
      <w:tr>
        <w:trPr>
          <w:tblHeader w:val="true"/>
          <w:cantSplit/>
        </w:trPr>
        <w:tc>
          <w:tcPr>
            <w:tcW w:type="dxa" w:w="1095"/>
            <w:vAlign w:val="center"/>
            <w:shd w:fill="EDEDED"/>
          </w:tcPr>
          <w:p>
            <w:pPr>
              <w:keepLines/>
              <w:spacing w:after="0" w:line="240" w:lineRule="auto"/>
              <w:jc w:val="center"/>
            </w:pPr>
            <w:r>
              <w:rPr>
                <w:rFonts w:ascii="Times New Roman" w:hAnsi="Times New Roman" w:eastAsia="Times New Roman"/>
                <w:b/>
                <w:sz w:val="13"/>
              </w:rPr>
              <w:t>Series</w:t>
            </w:r>
          </w:p>
        </w:tc>
        <w:tc>
          <w:tcPr>
            <w:tcW w:type="dxa" w:w="1095"/>
            <w:vAlign w:val="center"/>
            <w:shd w:fill="EDEDED"/>
          </w:tcPr>
          <w:p>
            <w:pPr>
              <w:keepLines/>
              <w:spacing w:after="0" w:line="240" w:lineRule="auto"/>
              <w:jc w:val="center"/>
            </w:pPr>
            <w:r>
              <w:rPr>
                <w:rFonts w:ascii="Times New Roman" w:hAnsi="Times New Roman" w:eastAsia="Times New Roman"/>
                <w:b/>
                <w:sz w:val="13"/>
              </w:rPr>
              <w:t>Method</w:t>
            </w:r>
          </w:p>
        </w:tc>
        <w:tc>
          <w:tcPr>
            <w:tcW w:type="dxa" w:w="1095"/>
            <w:vAlign w:val="center"/>
            <w:shd w:fill="EDEDED"/>
          </w:tcPr>
          <w:p>
            <w:pPr>
              <w:keepLines/>
              <w:spacing w:after="0" w:line="240" w:lineRule="auto"/>
              <w:jc w:val="center"/>
            </w:pPr>
            <w:r>
              <w:rPr>
                <w:rFonts w:ascii="Times New Roman" w:hAnsi="Times New Roman" w:eastAsia="Times New Roman"/>
                <w:b/>
                <w:sz w:val="13"/>
              </w:rPr>
              <w:t>α</w:t>
            </w:r>
          </w:p>
        </w:tc>
        <w:tc>
          <w:tcPr>
            <w:tcW w:type="dxa" w:w="1095"/>
            <w:vAlign w:val="center"/>
            <w:shd w:fill="EDEDED"/>
          </w:tcPr>
          <w:p>
            <w:pPr>
              <w:keepLines/>
              <w:spacing w:after="0" w:line="240" w:lineRule="auto"/>
              <w:jc w:val="center"/>
            </w:pPr>
            <w:r>
              <w:rPr>
                <w:rFonts w:ascii="Times New Roman" w:hAnsi="Times New Roman" w:eastAsia="Times New Roman"/>
                <w:b/>
                <w:sz w:val="13"/>
              </w:rPr>
              <w:t>RMSE</w:t>
            </w:r>
          </w:p>
        </w:tc>
        <w:tc>
          <w:tcPr>
            <w:tcW w:type="dxa" w:w="1095"/>
            <w:vAlign w:val="center"/>
            <w:shd w:fill="EDEDED"/>
          </w:tcPr>
          <w:p>
            <w:pPr>
              <w:keepLines/>
              <w:spacing w:after="0" w:line="240" w:lineRule="auto"/>
              <w:jc w:val="center"/>
            </w:pPr>
            <w:r>
              <w:rPr>
                <w:rFonts w:ascii="Times New Roman" w:hAnsi="Times New Roman" w:eastAsia="Times New Roman"/>
                <w:b/>
                <w:sz w:val="13"/>
              </w:rPr>
              <w:t>WAPE (%)</w:t>
            </w:r>
          </w:p>
        </w:tc>
        <w:tc>
          <w:tcPr>
            <w:tcW w:type="dxa" w:w="1095"/>
            <w:vAlign w:val="center"/>
            <w:shd w:fill="EDEDED"/>
          </w:tcPr>
          <w:p>
            <w:pPr>
              <w:keepLines/>
              <w:spacing w:after="0" w:line="240" w:lineRule="auto"/>
              <w:jc w:val="center"/>
            </w:pPr>
            <w:r>
              <w:rPr>
                <w:rFonts w:ascii="Times New Roman" w:hAnsi="Times New Roman" w:eastAsia="Times New Roman"/>
                <w:b/>
                <w:sz w:val="13"/>
              </w:rPr>
              <w:t>FSS</w:t>
            </w:r>
          </w:p>
        </w:tc>
        <w:tc>
          <w:tcPr>
            <w:tcW w:type="dxa" w:w="1095"/>
            <w:vAlign w:val="center"/>
            <w:shd w:fill="EDEDED"/>
          </w:tcPr>
          <w:p>
            <w:pPr>
              <w:keepLines/>
              <w:spacing w:after="0" w:line="240" w:lineRule="auto"/>
              <w:jc w:val="center"/>
            </w:pPr>
            <w:r>
              <w:rPr>
                <w:rFonts w:ascii="Times New Roman" w:hAnsi="Times New Roman" w:eastAsia="Times New Roman"/>
                <w:b/>
                <w:sz w:val="13"/>
              </w:rPr>
              <w:t>nFSS</w:t>
            </w:r>
          </w:p>
        </w:tc>
        <w:tc>
          <w:tcPr>
            <w:tcW w:type="dxa" w:w="1095"/>
            <w:vAlign w:val="center"/>
            <w:shd w:fill="EDEDED"/>
          </w:tcPr>
          <w:p>
            <w:pPr>
              <w:keepLines/>
              <w:spacing w:after="0" w:line="240" w:lineRule="auto"/>
              <w:jc w:val="center"/>
            </w:pPr>
            <w:r>
              <w:rPr>
                <w:rFonts w:ascii="Times New Roman" w:hAnsi="Times New Roman" w:eastAsia="Times New Roman"/>
                <w:b/>
                <w:sz w:val="13"/>
              </w:rPr>
              <w:t>RMSE Δ (%)</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w:t>
            </w:r>
          </w:p>
        </w:tc>
        <w:tc>
          <w:tcPr>
            <w:tcW w:type="dxa" w:w="1095"/>
            <w:vAlign w:val="center"/>
          </w:tcPr>
          <w:p>
            <w:pPr>
              <w:keepLines/>
              <w:spacing w:after="0" w:line="240" w:lineRule="auto"/>
              <w:jc w:val="center"/>
            </w:pPr>
            <w:r>
              <w:rPr>
                <w:rFonts w:ascii="Times New Roman" w:hAnsi="Times New Roman" w:eastAsia="Times New Roman"/>
                <w:b w:val="0"/>
                <w:sz w:val="13"/>
              </w:rPr>
              <w:t>1.787 ± 0.208</w:t>
            </w:r>
          </w:p>
        </w:tc>
        <w:tc>
          <w:tcPr>
            <w:tcW w:type="dxa" w:w="1095"/>
            <w:vAlign w:val="center"/>
          </w:tcPr>
          <w:p>
            <w:pPr>
              <w:keepLines/>
              <w:spacing w:after="0" w:line="240" w:lineRule="auto"/>
              <w:jc w:val="center"/>
            </w:pPr>
            <w:r>
              <w:rPr>
                <w:rFonts w:ascii="Times New Roman" w:hAnsi="Times New Roman" w:eastAsia="Times New Roman"/>
                <w:b w:val="0"/>
                <w:sz w:val="13"/>
              </w:rPr>
              <w:t>70.08 ± 4.71</w:t>
            </w:r>
          </w:p>
        </w:tc>
        <w:tc>
          <w:tcPr>
            <w:tcW w:type="dxa" w:w="1095"/>
            <w:vAlign w:val="center"/>
          </w:tcPr>
          <w:p>
            <w:pPr>
              <w:keepLines/>
              <w:spacing w:after="0" w:line="240" w:lineRule="auto"/>
              <w:jc w:val="center"/>
            </w:pPr>
            <w:r>
              <w:rPr>
                <w:rFonts w:ascii="Times New Roman" w:hAnsi="Times New Roman" w:eastAsia="Times New Roman"/>
                <w:b w:val="0"/>
                <w:sz w:val="13"/>
              </w:rPr>
              <w:t>0.205 ± 0.030</w:t>
            </w:r>
          </w:p>
        </w:tc>
        <w:tc>
          <w:tcPr>
            <w:tcW w:type="dxa" w:w="1095"/>
            <w:vAlign w:val="center"/>
          </w:tcPr>
          <w:p>
            <w:pPr>
              <w:keepLines/>
              <w:spacing w:after="0" w:line="240" w:lineRule="auto"/>
              <w:jc w:val="center"/>
            </w:pPr>
            <w:r>
              <w:rPr>
                <w:rFonts w:ascii="Times New Roman" w:hAnsi="Times New Roman" w:eastAsia="Times New Roman"/>
                <w:b w:val="0"/>
                <w:sz w:val="13"/>
              </w:rPr>
              <w:t>388.7 ± 113.8</w:t>
            </w:r>
          </w:p>
        </w:tc>
        <w:tc>
          <w:tcPr>
            <w:tcW w:type="dxa" w:w="1095"/>
            <w:vAlign w:val="center"/>
          </w:tcPr>
          <w:p>
            <w:pPr>
              <w:keepLines/>
              <w:spacing w:after="0" w:line="240" w:lineRule="auto"/>
              <w:jc w:val="center"/>
            </w:pPr>
            <w:r>
              <w:rPr>
                <w:rFonts w:ascii="Times New Roman" w:hAnsi="Times New Roman" w:eastAsia="Times New Roman"/>
                <w:b w:val="0"/>
                <w:sz w:val="13"/>
              </w:rPr>
              <w:t>0.72</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XGBoost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1.812 ± 0.217</w:t>
            </w:r>
          </w:p>
        </w:tc>
        <w:tc>
          <w:tcPr>
            <w:tcW w:type="dxa" w:w="1095"/>
            <w:vAlign w:val="center"/>
          </w:tcPr>
          <w:p>
            <w:pPr>
              <w:keepLines/>
              <w:spacing w:after="0" w:line="240" w:lineRule="auto"/>
              <w:jc w:val="center"/>
            </w:pPr>
            <w:r>
              <w:rPr>
                <w:rFonts w:ascii="Times New Roman" w:hAnsi="Times New Roman" w:eastAsia="Times New Roman"/>
                <w:b w:val="0"/>
                <w:sz w:val="13"/>
              </w:rPr>
              <w:t>70.54 ± 4.56</w:t>
            </w:r>
          </w:p>
        </w:tc>
        <w:tc>
          <w:tcPr>
            <w:tcW w:type="dxa" w:w="1095"/>
            <w:vAlign w:val="center"/>
          </w:tcPr>
          <w:p>
            <w:pPr>
              <w:keepLines/>
              <w:spacing w:after="0" w:line="240" w:lineRule="auto"/>
              <w:jc w:val="center"/>
            </w:pPr>
            <w:r>
              <w:rPr>
                <w:rFonts w:ascii="Times New Roman" w:hAnsi="Times New Roman" w:eastAsia="Times New Roman"/>
                <w:b w:val="0"/>
                <w:sz w:val="13"/>
              </w:rPr>
              <w:t>0.116 ± 0.015</w:t>
            </w:r>
          </w:p>
        </w:tc>
        <w:tc>
          <w:tcPr>
            <w:tcW w:type="dxa" w:w="1095"/>
            <w:vAlign w:val="center"/>
          </w:tcPr>
          <w:p>
            <w:pPr>
              <w:keepLines/>
              <w:spacing w:after="0" w:line="240" w:lineRule="auto"/>
              <w:jc w:val="center"/>
            </w:pPr>
            <w:r>
              <w:rPr>
                <w:rFonts w:ascii="Times New Roman" w:hAnsi="Times New Roman" w:eastAsia="Times New Roman"/>
                <w:b w:val="0"/>
                <w:sz w:val="13"/>
              </w:rPr>
              <w:t>449.0 ± 132.9</w:t>
            </w:r>
          </w:p>
        </w:tc>
        <w:tc>
          <w:tcPr>
            <w:tcW w:type="dxa" w:w="1095"/>
            <w:vAlign w:val="center"/>
          </w:tcPr>
          <w:p>
            <w:pPr>
              <w:keepLines/>
              <w:spacing w:after="0" w:line="240" w:lineRule="auto"/>
              <w:jc w:val="center"/>
            </w:pPr>
            <w:r>
              <w:rPr>
                <w:rFonts w:ascii="Times New Roman" w:hAnsi="Times New Roman" w:eastAsia="Times New Roman"/>
                <w:b w:val="0"/>
                <w:sz w:val="13"/>
              </w:rPr>
              <w:t>2.15</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1000</w:t>
            </w:r>
          </w:p>
        </w:tc>
        <w:tc>
          <w:tcPr>
            <w:tcW w:type="dxa" w:w="1095"/>
            <w:vAlign w:val="center"/>
          </w:tcPr>
          <w:p>
            <w:pPr>
              <w:keepLines/>
              <w:spacing w:after="0" w:line="240" w:lineRule="auto"/>
              <w:jc w:val="center"/>
            </w:pPr>
            <w:r>
              <w:rPr>
                <w:rFonts w:ascii="Times New Roman" w:hAnsi="Times New Roman" w:eastAsia="Times New Roman"/>
                <w:b w:val="0"/>
                <w:sz w:val="13"/>
              </w:rPr>
              <w:t>Hybrid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1.815 ± 0.223</w:t>
            </w:r>
          </w:p>
        </w:tc>
        <w:tc>
          <w:tcPr>
            <w:tcW w:type="dxa" w:w="1095"/>
            <w:vAlign w:val="center"/>
          </w:tcPr>
          <w:p>
            <w:pPr>
              <w:keepLines/>
              <w:spacing w:after="0" w:line="240" w:lineRule="auto"/>
              <w:jc w:val="center"/>
            </w:pPr>
            <w:r>
              <w:rPr>
                <w:rFonts w:ascii="Times New Roman" w:hAnsi="Times New Roman" w:eastAsia="Times New Roman"/>
                <w:b w:val="0"/>
                <w:sz w:val="13"/>
              </w:rPr>
              <w:t>70.53 ± 4.55</w:t>
            </w:r>
          </w:p>
        </w:tc>
        <w:tc>
          <w:tcPr>
            <w:tcW w:type="dxa" w:w="1095"/>
            <w:vAlign w:val="center"/>
          </w:tcPr>
          <w:p>
            <w:pPr>
              <w:keepLines/>
              <w:spacing w:after="0" w:line="240" w:lineRule="auto"/>
              <w:jc w:val="center"/>
            </w:pPr>
            <w:r>
              <w:rPr>
                <w:rFonts w:ascii="Times New Roman" w:hAnsi="Times New Roman" w:eastAsia="Times New Roman"/>
                <w:b w:val="0"/>
                <w:sz w:val="13"/>
              </w:rPr>
              <w:t>0.116 ± 0.015</w:t>
            </w:r>
          </w:p>
        </w:tc>
        <w:tc>
          <w:tcPr>
            <w:tcW w:type="dxa" w:w="1095"/>
            <w:vAlign w:val="center"/>
          </w:tcPr>
          <w:p>
            <w:pPr>
              <w:keepLines/>
              <w:spacing w:after="0" w:line="240" w:lineRule="auto"/>
              <w:jc w:val="center"/>
            </w:pPr>
            <w:r>
              <w:rPr>
                <w:rFonts w:ascii="Times New Roman" w:hAnsi="Times New Roman" w:eastAsia="Times New Roman"/>
                <w:b w:val="0"/>
                <w:sz w:val="13"/>
              </w:rPr>
              <w:t>423.4 ± 94.7</w:t>
            </w:r>
          </w:p>
        </w:tc>
        <w:tc>
          <w:tcPr>
            <w:tcW w:type="dxa" w:w="1095"/>
            <w:vAlign w:val="center"/>
          </w:tcPr>
          <w:p>
            <w:pPr>
              <w:keepLines/>
              <w:spacing w:after="0" w:line="240" w:lineRule="auto"/>
              <w:jc w:val="center"/>
            </w:pPr>
            <w:r>
              <w:rPr>
                <w:rFonts w:ascii="Times New Roman" w:hAnsi="Times New Roman" w:eastAsia="Times New Roman"/>
                <w:b w:val="0"/>
                <w:sz w:val="13"/>
              </w:rPr>
              <w:t>2.33</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w:t>
            </w:r>
          </w:p>
        </w:tc>
        <w:tc>
          <w:tcPr>
            <w:tcW w:type="dxa" w:w="1095"/>
            <w:vAlign w:val="center"/>
          </w:tcPr>
          <w:p>
            <w:pPr>
              <w:keepLines/>
              <w:spacing w:after="0" w:line="240" w:lineRule="auto"/>
              <w:jc w:val="center"/>
            </w:pPr>
            <w:r>
              <w:rPr>
                <w:rFonts w:ascii="Times New Roman" w:hAnsi="Times New Roman" w:eastAsia="Times New Roman"/>
                <w:b w:val="0"/>
                <w:sz w:val="13"/>
              </w:rPr>
              <w:t>1.854 ± 0.082</w:t>
            </w:r>
          </w:p>
        </w:tc>
        <w:tc>
          <w:tcPr>
            <w:tcW w:type="dxa" w:w="1095"/>
            <w:vAlign w:val="center"/>
          </w:tcPr>
          <w:p>
            <w:pPr>
              <w:keepLines/>
              <w:spacing w:after="0" w:line="240" w:lineRule="auto"/>
              <w:jc w:val="center"/>
            </w:pPr>
            <w:r>
              <w:rPr>
                <w:rFonts w:ascii="Times New Roman" w:hAnsi="Times New Roman" w:eastAsia="Times New Roman"/>
                <w:b w:val="0"/>
                <w:sz w:val="13"/>
              </w:rPr>
              <w:t>69.91 ± 1.46</w:t>
            </w:r>
          </w:p>
        </w:tc>
        <w:tc>
          <w:tcPr>
            <w:tcW w:type="dxa" w:w="1095"/>
            <w:vAlign w:val="center"/>
          </w:tcPr>
          <w:p>
            <w:pPr>
              <w:keepLines/>
              <w:spacing w:after="0" w:line="240" w:lineRule="auto"/>
              <w:jc w:val="center"/>
            </w:pPr>
            <w:r>
              <w:rPr>
                <w:rFonts w:ascii="Times New Roman" w:hAnsi="Times New Roman" w:eastAsia="Times New Roman"/>
                <w:b w:val="0"/>
                <w:sz w:val="13"/>
              </w:rPr>
              <w:t>0.213 ± 0.008</w:t>
            </w:r>
          </w:p>
        </w:tc>
        <w:tc>
          <w:tcPr>
            <w:tcW w:type="dxa" w:w="1095"/>
            <w:vAlign w:val="center"/>
          </w:tcPr>
          <w:p>
            <w:pPr>
              <w:keepLines/>
              <w:spacing w:after="0" w:line="240" w:lineRule="auto"/>
              <w:jc w:val="center"/>
            </w:pPr>
            <w:r>
              <w:rPr>
                <w:rFonts w:ascii="Times New Roman" w:hAnsi="Times New Roman" w:eastAsia="Times New Roman"/>
                <w:b w:val="0"/>
                <w:sz w:val="13"/>
              </w:rPr>
              <w:t>373.5 ± 56.1</w:t>
            </w:r>
          </w:p>
        </w:tc>
        <w:tc>
          <w:tcPr>
            <w:tcW w:type="dxa" w:w="1095"/>
            <w:vAlign w:val="center"/>
          </w:tcPr>
          <w:p>
            <w:pPr>
              <w:keepLines/>
              <w:spacing w:after="0" w:line="240" w:lineRule="auto"/>
              <w:jc w:val="center"/>
            </w:pPr>
            <w:r>
              <w:rPr>
                <w:rFonts w:ascii="Times New Roman" w:hAnsi="Times New Roman" w:eastAsia="Times New Roman"/>
                <w:b w:val="0"/>
                <w:sz w:val="13"/>
              </w:rPr>
              <w:t>0.10</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XGBoost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1.887 ± 0.090</w:t>
            </w:r>
          </w:p>
        </w:tc>
        <w:tc>
          <w:tcPr>
            <w:tcW w:type="dxa" w:w="1095"/>
            <w:vAlign w:val="center"/>
          </w:tcPr>
          <w:p>
            <w:pPr>
              <w:keepLines/>
              <w:spacing w:after="0" w:line="240" w:lineRule="auto"/>
              <w:jc w:val="center"/>
            </w:pPr>
            <w:r>
              <w:rPr>
                <w:rFonts w:ascii="Times New Roman" w:hAnsi="Times New Roman" w:eastAsia="Times New Roman"/>
                <w:b w:val="0"/>
                <w:sz w:val="13"/>
              </w:rPr>
              <w:t>70.41 ± 1.43</w:t>
            </w:r>
          </w:p>
        </w:tc>
        <w:tc>
          <w:tcPr>
            <w:tcW w:type="dxa" w:w="1095"/>
            <w:vAlign w:val="center"/>
          </w:tcPr>
          <w:p>
            <w:pPr>
              <w:keepLines/>
              <w:spacing w:after="0" w:line="240" w:lineRule="auto"/>
              <w:jc w:val="center"/>
            </w:pPr>
            <w:r>
              <w:rPr>
                <w:rFonts w:ascii="Times New Roman" w:hAnsi="Times New Roman" w:eastAsia="Times New Roman"/>
                <w:b w:val="0"/>
                <w:sz w:val="13"/>
              </w:rPr>
              <w:t>0.118 ± 0.004</w:t>
            </w:r>
          </w:p>
        </w:tc>
        <w:tc>
          <w:tcPr>
            <w:tcW w:type="dxa" w:w="1095"/>
            <w:vAlign w:val="center"/>
          </w:tcPr>
          <w:p>
            <w:pPr>
              <w:keepLines/>
              <w:spacing w:after="0" w:line="240" w:lineRule="auto"/>
              <w:jc w:val="center"/>
            </w:pPr>
            <w:r>
              <w:rPr>
                <w:rFonts w:ascii="Times New Roman" w:hAnsi="Times New Roman" w:eastAsia="Times New Roman"/>
                <w:b w:val="0"/>
                <w:sz w:val="13"/>
              </w:rPr>
              <w:t>452.1 ± 90.3</w:t>
            </w:r>
          </w:p>
        </w:tc>
        <w:tc>
          <w:tcPr>
            <w:tcW w:type="dxa" w:w="1095"/>
            <w:vAlign w:val="center"/>
          </w:tcPr>
          <w:p>
            <w:pPr>
              <w:keepLines/>
              <w:spacing w:after="0" w:line="240" w:lineRule="auto"/>
              <w:jc w:val="center"/>
            </w:pPr>
            <w:r>
              <w:rPr>
                <w:rFonts w:ascii="Times New Roman" w:hAnsi="Times New Roman" w:eastAsia="Times New Roman"/>
                <w:b w:val="0"/>
                <w:sz w:val="13"/>
              </w:rPr>
              <w:t>1.87</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3000</w:t>
            </w:r>
          </w:p>
        </w:tc>
        <w:tc>
          <w:tcPr>
            <w:tcW w:type="dxa" w:w="1095"/>
            <w:vAlign w:val="center"/>
          </w:tcPr>
          <w:p>
            <w:pPr>
              <w:keepLines/>
              <w:spacing w:after="0" w:line="240" w:lineRule="auto"/>
              <w:jc w:val="center"/>
            </w:pPr>
            <w:r>
              <w:rPr>
                <w:rFonts w:ascii="Times New Roman" w:hAnsi="Times New Roman" w:eastAsia="Times New Roman"/>
                <w:b w:val="0"/>
                <w:sz w:val="13"/>
              </w:rPr>
              <w:t>Hybrid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1.883 ± 0.087</w:t>
            </w:r>
          </w:p>
        </w:tc>
        <w:tc>
          <w:tcPr>
            <w:tcW w:type="dxa" w:w="1095"/>
            <w:vAlign w:val="center"/>
          </w:tcPr>
          <w:p>
            <w:pPr>
              <w:keepLines/>
              <w:spacing w:after="0" w:line="240" w:lineRule="auto"/>
              <w:jc w:val="center"/>
            </w:pPr>
            <w:r>
              <w:rPr>
                <w:rFonts w:ascii="Times New Roman" w:hAnsi="Times New Roman" w:eastAsia="Times New Roman"/>
                <w:b w:val="0"/>
                <w:sz w:val="13"/>
              </w:rPr>
              <w:t>70.41 ± 1.39</w:t>
            </w:r>
          </w:p>
        </w:tc>
        <w:tc>
          <w:tcPr>
            <w:tcW w:type="dxa" w:w="1095"/>
            <w:vAlign w:val="center"/>
          </w:tcPr>
          <w:p>
            <w:pPr>
              <w:keepLines/>
              <w:spacing w:after="0" w:line="240" w:lineRule="auto"/>
              <w:jc w:val="center"/>
            </w:pPr>
            <w:r>
              <w:rPr>
                <w:rFonts w:ascii="Times New Roman" w:hAnsi="Times New Roman" w:eastAsia="Times New Roman"/>
                <w:b w:val="0"/>
                <w:sz w:val="13"/>
              </w:rPr>
              <w:t>0.119 ± 0.004</w:t>
            </w:r>
          </w:p>
        </w:tc>
        <w:tc>
          <w:tcPr>
            <w:tcW w:type="dxa" w:w="1095"/>
            <w:vAlign w:val="center"/>
          </w:tcPr>
          <w:p>
            <w:pPr>
              <w:keepLines/>
              <w:spacing w:after="0" w:line="240" w:lineRule="auto"/>
              <w:jc w:val="center"/>
            </w:pPr>
            <w:r>
              <w:rPr>
                <w:rFonts w:ascii="Times New Roman" w:hAnsi="Times New Roman" w:eastAsia="Times New Roman"/>
                <w:b w:val="0"/>
                <w:sz w:val="13"/>
              </w:rPr>
              <w:t>437.3 ± 50.0</w:t>
            </w:r>
          </w:p>
        </w:tc>
        <w:tc>
          <w:tcPr>
            <w:tcW w:type="dxa" w:w="1095"/>
            <w:vAlign w:val="center"/>
          </w:tcPr>
          <w:p>
            <w:pPr>
              <w:keepLines/>
              <w:spacing w:after="0" w:line="240" w:lineRule="auto"/>
              <w:jc w:val="center"/>
            </w:pPr>
            <w:r>
              <w:rPr>
                <w:rFonts w:ascii="Times New Roman" w:hAnsi="Times New Roman" w:eastAsia="Times New Roman"/>
                <w:b w:val="0"/>
                <w:sz w:val="13"/>
              </w:rPr>
              <w:t>1.66</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Hybrid + Stable</w:t>
            </w:r>
          </w:p>
        </w:tc>
        <w:tc>
          <w:tcPr>
            <w:tcW w:type="dxa" w:w="1095"/>
            <w:vAlign w:val="center"/>
          </w:tcPr>
          <w:p>
            <w:pPr>
              <w:keepLines/>
              <w:spacing w:after="0" w:line="240" w:lineRule="auto"/>
              <w:jc w:val="center"/>
            </w:pPr>
            <w:r>
              <w:rPr>
                <w:rFonts w:ascii="Times New Roman" w:hAnsi="Times New Roman" w:eastAsia="Times New Roman"/>
                <w:b w:val="0"/>
                <w:sz w:val="13"/>
              </w:rPr>
              <w:t>–</w:t>
            </w:r>
          </w:p>
        </w:tc>
        <w:tc>
          <w:tcPr>
            <w:tcW w:type="dxa" w:w="1095"/>
            <w:vAlign w:val="center"/>
          </w:tcPr>
          <w:p>
            <w:pPr>
              <w:keepLines/>
              <w:spacing w:after="0" w:line="240" w:lineRule="auto"/>
              <w:jc w:val="center"/>
            </w:pPr>
            <w:r>
              <w:rPr>
                <w:rFonts w:ascii="Times New Roman" w:hAnsi="Times New Roman" w:eastAsia="Times New Roman"/>
                <w:b w:val="0"/>
                <w:sz w:val="13"/>
              </w:rPr>
              <w:t>1.881 ± 0.014</w:t>
            </w:r>
          </w:p>
        </w:tc>
        <w:tc>
          <w:tcPr>
            <w:tcW w:type="dxa" w:w="1095"/>
            <w:vAlign w:val="center"/>
          </w:tcPr>
          <w:p>
            <w:pPr>
              <w:keepLines/>
              <w:spacing w:after="0" w:line="240" w:lineRule="auto"/>
              <w:jc w:val="center"/>
            </w:pPr>
            <w:r>
              <w:rPr>
                <w:rFonts w:ascii="Times New Roman" w:hAnsi="Times New Roman" w:eastAsia="Times New Roman"/>
                <w:b w:val="0"/>
                <w:sz w:val="13"/>
              </w:rPr>
              <w:t>69.58 ± 0.96</w:t>
            </w:r>
          </w:p>
        </w:tc>
        <w:tc>
          <w:tcPr>
            <w:tcW w:type="dxa" w:w="1095"/>
            <w:vAlign w:val="center"/>
          </w:tcPr>
          <w:p>
            <w:pPr>
              <w:keepLines/>
              <w:spacing w:after="0" w:line="240" w:lineRule="auto"/>
              <w:jc w:val="center"/>
            </w:pPr>
            <w:r>
              <w:rPr>
                <w:rFonts w:ascii="Times New Roman" w:hAnsi="Times New Roman" w:eastAsia="Times New Roman"/>
                <w:b w:val="0"/>
                <w:sz w:val="13"/>
              </w:rPr>
              <w:t>0.214 ± 0.006</w:t>
            </w:r>
          </w:p>
        </w:tc>
        <w:tc>
          <w:tcPr>
            <w:tcW w:type="dxa" w:w="1095"/>
            <w:vAlign w:val="center"/>
          </w:tcPr>
          <w:p>
            <w:pPr>
              <w:keepLines/>
              <w:spacing w:after="0" w:line="240" w:lineRule="auto"/>
              <w:jc w:val="center"/>
            </w:pPr>
            <w:r>
              <w:rPr>
                <w:rFonts w:ascii="Times New Roman" w:hAnsi="Times New Roman" w:eastAsia="Times New Roman"/>
                <w:b w:val="0"/>
                <w:sz w:val="13"/>
              </w:rPr>
              <w:t>377.5 ± 73.7</w:t>
            </w:r>
          </w:p>
        </w:tc>
        <w:tc>
          <w:tcPr>
            <w:tcW w:type="dxa" w:w="1095"/>
            <w:vAlign w:val="center"/>
          </w:tcPr>
          <w:p>
            <w:pPr>
              <w:keepLines/>
              <w:spacing w:after="0" w:line="240" w:lineRule="auto"/>
              <w:jc w:val="center"/>
            </w:pPr>
            <w:r>
              <w:rPr>
                <w:rFonts w:ascii="Times New Roman" w:hAnsi="Times New Roman" w:eastAsia="Times New Roman"/>
                <w:b w:val="0"/>
                <w:sz w:val="13"/>
              </w:rPr>
              <w:t>0.24</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XGBoost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1.911 ± 0.016</w:t>
            </w:r>
          </w:p>
        </w:tc>
        <w:tc>
          <w:tcPr>
            <w:tcW w:type="dxa" w:w="1095"/>
            <w:vAlign w:val="center"/>
          </w:tcPr>
          <w:p>
            <w:pPr>
              <w:keepLines/>
              <w:spacing w:after="0" w:line="240" w:lineRule="auto"/>
              <w:jc w:val="center"/>
            </w:pPr>
            <w:r>
              <w:rPr>
                <w:rFonts w:ascii="Times New Roman" w:hAnsi="Times New Roman" w:eastAsia="Times New Roman"/>
                <w:b w:val="0"/>
                <w:sz w:val="13"/>
              </w:rPr>
              <w:t>70.12 ± 0.92</w:t>
            </w:r>
          </w:p>
        </w:tc>
        <w:tc>
          <w:tcPr>
            <w:tcW w:type="dxa" w:w="1095"/>
            <w:vAlign w:val="center"/>
          </w:tcPr>
          <w:p>
            <w:pPr>
              <w:keepLines/>
              <w:spacing w:after="0" w:line="240" w:lineRule="auto"/>
              <w:jc w:val="center"/>
            </w:pPr>
            <w:r>
              <w:rPr>
                <w:rFonts w:ascii="Times New Roman" w:hAnsi="Times New Roman" w:eastAsia="Times New Roman"/>
                <w:b w:val="0"/>
                <w:sz w:val="13"/>
              </w:rPr>
              <w:t>0.121 ± 0.004</w:t>
            </w:r>
          </w:p>
        </w:tc>
        <w:tc>
          <w:tcPr>
            <w:tcW w:type="dxa" w:w="1095"/>
            <w:vAlign w:val="center"/>
          </w:tcPr>
          <w:p>
            <w:pPr>
              <w:keepLines/>
              <w:spacing w:after="0" w:line="240" w:lineRule="auto"/>
              <w:jc w:val="center"/>
            </w:pPr>
            <w:r>
              <w:rPr>
                <w:rFonts w:ascii="Times New Roman" w:hAnsi="Times New Roman" w:eastAsia="Times New Roman"/>
                <w:b w:val="0"/>
                <w:sz w:val="13"/>
              </w:rPr>
              <w:t>416.9 ± 74.6</w:t>
            </w:r>
          </w:p>
        </w:tc>
        <w:tc>
          <w:tcPr>
            <w:tcW w:type="dxa" w:w="1095"/>
            <w:vAlign w:val="center"/>
          </w:tcPr>
          <w:p>
            <w:pPr>
              <w:keepLines/>
              <w:spacing w:after="0" w:line="240" w:lineRule="auto"/>
              <w:jc w:val="center"/>
            </w:pPr>
            <w:r>
              <w:rPr>
                <w:rFonts w:ascii="Times New Roman" w:hAnsi="Times New Roman" w:eastAsia="Times New Roman"/>
                <w:b w:val="0"/>
                <w:sz w:val="13"/>
              </w:rPr>
              <w:t>1.88</w:t>
            </w:r>
          </w:p>
        </w:tc>
      </w:tr>
      <w:tr>
        <w:trPr>
          <w:cantSplit/>
        </w:trPr>
        <w:tc>
          <w:tcPr>
            <w:tcW w:type="dxa" w:w="1095"/>
            <w:vAlign w:val="center"/>
          </w:tcPr>
          <w:p>
            <w:pPr>
              <w:keepLines/>
              <w:spacing w:after="0" w:line="240" w:lineRule="auto"/>
              <w:jc w:val="center"/>
            </w:pPr>
            <w:r>
              <w:rPr>
                <w:rFonts w:ascii="Times New Roman" w:hAnsi="Times New Roman" w:eastAsia="Times New Roman"/>
                <w:b w:val="0"/>
                <w:sz w:val="13"/>
              </w:rPr>
              <w:t>4000</w:t>
            </w:r>
          </w:p>
        </w:tc>
        <w:tc>
          <w:tcPr>
            <w:tcW w:type="dxa" w:w="1095"/>
            <w:vAlign w:val="center"/>
          </w:tcPr>
          <w:p>
            <w:pPr>
              <w:keepLines/>
              <w:spacing w:after="0" w:line="240" w:lineRule="auto"/>
              <w:jc w:val="center"/>
            </w:pPr>
            <w:r>
              <w:rPr>
                <w:rFonts w:ascii="Times New Roman" w:hAnsi="Times New Roman" w:eastAsia="Times New Roman"/>
                <w:b w:val="0"/>
                <w:sz w:val="13"/>
              </w:rPr>
              <w:t>Hybrid + Smooth</w:t>
            </w:r>
          </w:p>
        </w:tc>
        <w:tc>
          <w:tcPr>
            <w:tcW w:type="dxa" w:w="1095"/>
            <w:vAlign w:val="center"/>
          </w:tcPr>
          <w:p>
            <w:pPr>
              <w:keepLines/>
              <w:spacing w:after="0" w:line="240" w:lineRule="auto"/>
              <w:jc w:val="center"/>
            </w:pPr>
            <w:r>
              <w:rPr>
                <w:rFonts w:ascii="Times New Roman" w:hAnsi="Times New Roman" w:eastAsia="Times New Roman"/>
                <w:b w:val="0"/>
                <w:sz w:val="13"/>
              </w:rPr>
              <w:t>0.5</w:t>
            </w:r>
          </w:p>
        </w:tc>
        <w:tc>
          <w:tcPr>
            <w:tcW w:type="dxa" w:w="1095"/>
            <w:vAlign w:val="center"/>
          </w:tcPr>
          <w:p>
            <w:pPr>
              <w:keepLines/>
              <w:spacing w:after="0" w:line="240" w:lineRule="auto"/>
              <w:jc w:val="center"/>
            </w:pPr>
            <w:r>
              <w:rPr>
                <w:rFonts w:ascii="Times New Roman" w:hAnsi="Times New Roman" w:eastAsia="Times New Roman"/>
                <w:b w:val="0"/>
                <w:sz w:val="13"/>
              </w:rPr>
              <w:t>1.917 ± 0.021</w:t>
            </w:r>
          </w:p>
        </w:tc>
        <w:tc>
          <w:tcPr>
            <w:tcW w:type="dxa" w:w="1095"/>
            <w:vAlign w:val="center"/>
          </w:tcPr>
          <w:p>
            <w:pPr>
              <w:keepLines/>
              <w:spacing w:after="0" w:line="240" w:lineRule="auto"/>
              <w:jc w:val="center"/>
            </w:pPr>
            <w:r>
              <w:rPr>
                <w:rFonts w:ascii="Times New Roman" w:hAnsi="Times New Roman" w:eastAsia="Times New Roman"/>
                <w:b w:val="0"/>
                <w:sz w:val="13"/>
              </w:rPr>
              <w:t>70.15 ± 0.88</w:t>
            </w:r>
          </w:p>
        </w:tc>
        <w:tc>
          <w:tcPr>
            <w:tcW w:type="dxa" w:w="1095"/>
            <w:vAlign w:val="center"/>
          </w:tcPr>
          <w:p>
            <w:pPr>
              <w:keepLines/>
              <w:spacing w:after="0" w:line="240" w:lineRule="auto"/>
              <w:jc w:val="center"/>
            </w:pPr>
            <w:r>
              <w:rPr>
                <w:rFonts w:ascii="Times New Roman" w:hAnsi="Times New Roman" w:eastAsia="Times New Roman"/>
                <w:b w:val="0"/>
                <w:sz w:val="13"/>
              </w:rPr>
              <w:t>0.120 ± 0.003</w:t>
            </w:r>
          </w:p>
        </w:tc>
        <w:tc>
          <w:tcPr>
            <w:tcW w:type="dxa" w:w="1095"/>
            <w:vAlign w:val="center"/>
          </w:tcPr>
          <w:p>
            <w:pPr>
              <w:keepLines/>
              <w:spacing w:after="0" w:line="240" w:lineRule="auto"/>
              <w:jc w:val="center"/>
            </w:pPr>
            <w:r>
              <w:rPr>
                <w:rFonts w:ascii="Times New Roman" w:hAnsi="Times New Roman" w:eastAsia="Times New Roman"/>
                <w:b w:val="0"/>
                <w:sz w:val="13"/>
              </w:rPr>
              <w:t>423.3 ± 90.1</w:t>
            </w:r>
          </w:p>
        </w:tc>
        <w:tc>
          <w:tcPr>
            <w:tcW w:type="dxa" w:w="1095"/>
            <w:vAlign w:val="center"/>
          </w:tcPr>
          <w:p>
            <w:pPr>
              <w:keepLines/>
              <w:spacing w:after="0" w:line="240" w:lineRule="auto"/>
              <w:jc w:val="center"/>
            </w:pPr>
            <w:r>
              <w:rPr>
                <w:rFonts w:ascii="Times New Roman" w:hAnsi="Times New Roman" w:eastAsia="Times New Roman"/>
                <w:b w:val="0"/>
                <w:sz w:val="13"/>
              </w:rPr>
              <w:t>2.16</w:t>
            </w:r>
          </w:p>
        </w:tc>
      </w:tr>
    </w:tbl>
    <w:p>
      <w:pPr>
        <w:pStyle w:val="Para"/>
      </w:pPr>
      <w:r/>
    </w:p>
    <w:p>
      <w:pPr>
        <w:pStyle w:val="Para"/>
      </w:pPr>
      <w:r>
        <w:t>Scale-normalized stability supports the same interpretation: the stability-aware objective improves nFSS over XGBoost by 40.21%, 45.66%, and 41.93% at 1000, 3000, and 4000 series and outperforms the best Hybrid + smoothing baseline on nFSS. Because nFSS divides by average realized demand, we interpret it as a relative metric rather than an operational threshold.</w:t>
      </w:r>
    </w:p>
    <w:p>
      <w:pPr>
        <w:pStyle w:val="Head2"/>
      </w:pPr>
      <w:r>
        <w:t>Scalability and Runtime Analysis</w:t>
      </w:r>
    </w:p>
    <w:p>
      <w:pPr>
        <w:pStyle w:val="Para"/>
      </w:pPr>
      <w:r>
        <w:t>Table 4 reports runtime under consistent full-row, 300-tree configurations. Relative to XGBoost, the final stability-aware hybrid method incurs multipliers of 4.39×, 7.71×, and 9.72× at 1000, 3000, and 4000 series. Smoothing adds little post-processing time but does not reduce the cost of fitting the underlying models.</w:t>
      </w:r>
    </w:p>
    <w:p>
      <w:pPr>
        <w:pStyle w:val="TableCaption"/>
        <w:keepNext/>
        <w:keepLines/>
      </w:pPr>
      <w:r>
        <w:t>Table 4. Runtime scalability under the revised consistent configuration. All main scales use full selected training rows and 300 XGBoost trees.</w:t>
      </w:r>
    </w:p>
    <w:tbl>
      <w:tblPr>
        <w:tblStyle w:val="a9"/>
        <w:tblW w:type="auto" w:w="0"/>
        <w:jc w:val="center"/>
        <w:tblLayout w:type="autofit"/>
        <w:tblLook w:firstColumn="1" w:firstRow="1" w:lastColumn="0" w:lastRow="0" w:noHBand="0" w:noVBand="1" w:val="04A0"/>
      </w:tblPr>
      <w:tblGrid>
        <w:gridCol w:w="1752"/>
        <w:gridCol w:w="1752"/>
        <w:gridCol w:w="1752"/>
        <w:gridCol w:w="1752"/>
        <w:gridCol w:w="1752"/>
      </w:tblGrid>
      <w:tr>
        <w:trPr>
          <w:tblHeader w:val="true"/>
          <w:cantSplit/>
        </w:trPr>
        <w:tc>
          <w:tcPr>
            <w:tcW w:type="dxa" w:w="1752"/>
            <w:vAlign w:val="center"/>
            <w:shd w:fill="EDEDED"/>
          </w:tcPr>
          <w:p>
            <w:pPr>
              <w:keepLines/>
              <w:spacing w:after="0" w:line="240" w:lineRule="auto"/>
              <w:jc w:val="center"/>
            </w:pPr>
            <w:r>
              <w:rPr>
                <w:rFonts w:ascii="Times New Roman" w:hAnsi="Times New Roman" w:eastAsia="Times New Roman"/>
                <w:b/>
                <w:sz w:val="14"/>
              </w:rPr>
              <w:t>Series</w:t>
            </w:r>
          </w:p>
        </w:tc>
        <w:tc>
          <w:tcPr>
            <w:tcW w:type="dxa" w:w="1752"/>
            <w:vAlign w:val="center"/>
            <w:shd w:fill="EDEDED"/>
          </w:tcPr>
          <w:p>
            <w:pPr>
              <w:keepLines/>
              <w:spacing w:after="0" w:line="240" w:lineRule="auto"/>
              <w:jc w:val="center"/>
            </w:pPr>
            <w:r>
              <w:rPr>
                <w:rFonts w:ascii="Times New Roman" w:hAnsi="Times New Roman" w:eastAsia="Times New Roman"/>
                <w:b/>
                <w:sz w:val="14"/>
              </w:rPr>
              <w:t>Method</w:t>
            </w:r>
          </w:p>
        </w:tc>
        <w:tc>
          <w:tcPr>
            <w:tcW w:type="dxa" w:w="1752"/>
            <w:vAlign w:val="center"/>
            <w:shd w:fill="EDEDED"/>
          </w:tcPr>
          <w:p>
            <w:pPr>
              <w:keepLines/>
              <w:spacing w:after="0" w:line="240" w:lineRule="auto"/>
              <w:jc w:val="center"/>
            </w:pPr>
            <w:r>
              <w:rPr>
                <w:rFonts w:ascii="Times New Roman" w:hAnsi="Times New Roman" w:eastAsia="Times New Roman"/>
                <w:b/>
                <w:sz w:val="14"/>
              </w:rPr>
              <w:t>Runtime Mean (s)</w:t>
            </w:r>
          </w:p>
        </w:tc>
        <w:tc>
          <w:tcPr>
            <w:tcW w:type="dxa" w:w="1752"/>
            <w:vAlign w:val="center"/>
            <w:shd w:fill="EDEDED"/>
          </w:tcPr>
          <w:p>
            <w:pPr>
              <w:keepLines/>
              <w:spacing w:after="0" w:line="240" w:lineRule="auto"/>
              <w:jc w:val="center"/>
            </w:pPr>
            <w:r>
              <w:rPr>
                <w:rFonts w:ascii="Times New Roman" w:hAnsi="Times New Roman" w:eastAsia="Times New Roman"/>
                <w:b/>
                <w:sz w:val="14"/>
              </w:rPr>
              <w:t>Runtime Std (s)</w:t>
            </w:r>
          </w:p>
        </w:tc>
        <w:tc>
          <w:tcPr>
            <w:tcW w:type="dxa" w:w="1752"/>
            <w:vAlign w:val="center"/>
            <w:shd w:fill="EDEDED"/>
          </w:tcPr>
          <w:p>
            <w:pPr>
              <w:keepLines/>
              <w:spacing w:after="0" w:line="240" w:lineRule="auto"/>
              <w:jc w:val="center"/>
            </w:pPr>
            <w:r>
              <w:rPr>
                <w:rFonts w:ascii="Times New Roman" w:hAnsi="Times New Roman" w:eastAsia="Times New Roman"/>
                <w:b/>
                <w:sz w:val="14"/>
              </w:rPr>
              <w:t>Peak Memory (MB)</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1000</w:t>
            </w:r>
          </w:p>
        </w:tc>
        <w:tc>
          <w:tcPr>
            <w:tcW w:type="dxa" w:w="1752"/>
            <w:vAlign w:val="center"/>
          </w:tcPr>
          <w:p>
            <w:pPr>
              <w:keepLines/>
              <w:spacing w:after="0" w:line="240" w:lineRule="auto"/>
              <w:jc w:val="center"/>
            </w:pPr>
            <w:r>
              <w:rPr>
                <w:rFonts w:ascii="Times New Roman" w:hAnsi="Times New Roman" w:eastAsia="Times New Roman"/>
                <w:b w:val="0"/>
                <w:sz w:val="14"/>
              </w:rPr>
              <w:t>XGBoost</w:t>
            </w:r>
          </w:p>
        </w:tc>
        <w:tc>
          <w:tcPr>
            <w:tcW w:type="dxa" w:w="1752"/>
            <w:vAlign w:val="center"/>
          </w:tcPr>
          <w:p>
            <w:pPr>
              <w:keepLines/>
              <w:spacing w:after="0" w:line="240" w:lineRule="auto"/>
              <w:jc w:val="center"/>
            </w:pPr>
            <w:r>
              <w:rPr>
                <w:rFonts w:ascii="Times New Roman" w:hAnsi="Times New Roman" w:eastAsia="Times New Roman"/>
                <w:b w:val="0"/>
                <w:sz w:val="14"/>
              </w:rPr>
              <w:t>17.31</w:t>
            </w:r>
          </w:p>
        </w:tc>
        <w:tc>
          <w:tcPr>
            <w:tcW w:type="dxa" w:w="1752"/>
            <w:vAlign w:val="center"/>
          </w:tcPr>
          <w:p>
            <w:pPr>
              <w:keepLines/>
              <w:spacing w:after="0" w:line="240" w:lineRule="auto"/>
              <w:jc w:val="center"/>
            </w:pPr>
            <w:r>
              <w:rPr>
                <w:rFonts w:ascii="Times New Roman" w:hAnsi="Times New Roman" w:eastAsia="Times New Roman"/>
                <w:b w:val="0"/>
                <w:sz w:val="14"/>
              </w:rPr>
              <w:t>6.53</w:t>
            </w:r>
          </w:p>
        </w:tc>
        <w:tc>
          <w:tcPr>
            <w:tcW w:type="dxa" w:w="1752"/>
            <w:vAlign w:val="center"/>
          </w:tcPr>
          <w:p>
            <w:pPr>
              <w:keepLines/>
              <w:spacing w:after="0" w:line="240" w:lineRule="auto"/>
              <w:jc w:val="center"/>
            </w:pPr>
            <w:r>
              <w:rPr>
                <w:rFonts w:ascii="Times New Roman" w:hAnsi="Times New Roman" w:eastAsia="Times New Roman"/>
                <w:b w:val="0"/>
                <w:sz w:val="14"/>
              </w:rPr>
              <w:t>3147.36</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1000</w:t>
            </w:r>
          </w:p>
        </w:tc>
        <w:tc>
          <w:tcPr>
            <w:tcW w:type="dxa" w:w="1752"/>
            <w:vAlign w:val="center"/>
          </w:tcPr>
          <w:p>
            <w:pPr>
              <w:keepLines/>
              <w:spacing w:after="0" w:line="240" w:lineRule="auto"/>
              <w:jc w:val="center"/>
            </w:pPr>
            <w:r>
              <w:rPr>
                <w:rFonts w:ascii="Times New Roman" w:hAnsi="Times New Roman" w:eastAsia="Times New Roman"/>
                <w:b w:val="0"/>
                <w:sz w:val="14"/>
              </w:rPr>
              <w:t>TimeMixer</w:t>
            </w:r>
          </w:p>
        </w:tc>
        <w:tc>
          <w:tcPr>
            <w:tcW w:type="dxa" w:w="1752"/>
            <w:vAlign w:val="center"/>
          </w:tcPr>
          <w:p>
            <w:pPr>
              <w:keepLines/>
              <w:spacing w:after="0" w:line="240" w:lineRule="auto"/>
              <w:jc w:val="center"/>
            </w:pPr>
            <w:r>
              <w:rPr>
                <w:rFonts w:ascii="Times New Roman" w:hAnsi="Times New Roman" w:eastAsia="Times New Roman"/>
                <w:b w:val="0"/>
                <w:sz w:val="14"/>
              </w:rPr>
              <w:t>27.24</w:t>
            </w:r>
          </w:p>
        </w:tc>
        <w:tc>
          <w:tcPr>
            <w:tcW w:type="dxa" w:w="1752"/>
            <w:vAlign w:val="center"/>
          </w:tcPr>
          <w:p>
            <w:pPr>
              <w:keepLines/>
              <w:spacing w:after="0" w:line="240" w:lineRule="auto"/>
              <w:jc w:val="center"/>
            </w:pPr>
            <w:r>
              <w:rPr>
                <w:rFonts w:ascii="Times New Roman" w:hAnsi="Times New Roman" w:eastAsia="Times New Roman"/>
                <w:b w:val="0"/>
                <w:sz w:val="14"/>
              </w:rPr>
              <w:t>4.28</w:t>
            </w:r>
          </w:p>
        </w:tc>
        <w:tc>
          <w:tcPr>
            <w:tcW w:type="dxa" w:w="1752"/>
            <w:vAlign w:val="center"/>
          </w:tcPr>
          <w:p>
            <w:pPr>
              <w:keepLines/>
              <w:spacing w:after="0" w:line="240" w:lineRule="auto"/>
              <w:jc w:val="center"/>
            </w:pPr>
            <w:r>
              <w:rPr>
                <w:rFonts w:ascii="Times New Roman" w:hAnsi="Times New Roman" w:eastAsia="Times New Roman"/>
                <w:b w:val="0"/>
                <w:sz w:val="14"/>
              </w:rPr>
              <w:t>3147.36</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1000</w:t>
            </w:r>
          </w:p>
        </w:tc>
        <w:tc>
          <w:tcPr>
            <w:tcW w:type="dxa" w:w="1752"/>
            <w:vAlign w:val="center"/>
          </w:tcPr>
          <w:p>
            <w:pPr>
              <w:keepLines/>
              <w:spacing w:after="0" w:line="240" w:lineRule="auto"/>
              <w:jc w:val="center"/>
            </w:pPr>
            <w:r>
              <w:rPr>
                <w:rFonts w:ascii="Times New Roman" w:hAnsi="Times New Roman" w:eastAsia="Times New Roman"/>
                <w:b w:val="0"/>
                <w:sz w:val="14"/>
              </w:rPr>
              <w:t>Hybrid</w:t>
            </w:r>
          </w:p>
        </w:tc>
        <w:tc>
          <w:tcPr>
            <w:tcW w:type="dxa" w:w="1752"/>
            <w:vAlign w:val="center"/>
          </w:tcPr>
          <w:p>
            <w:pPr>
              <w:keepLines/>
              <w:spacing w:after="0" w:line="240" w:lineRule="auto"/>
              <w:jc w:val="center"/>
            </w:pPr>
            <w:r>
              <w:rPr>
                <w:rFonts w:ascii="Times New Roman" w:hAnsi="Times New Roman" w:eastAsia="Times New Roman"/>
                <w:b w:val="0"/>
                <w:sz w:val="14"/>
              </w:rPr>
              <w:t>47.91</w:t>
            </w:r>
          </w:p>
        </w:tc>
        <w:tc>
          <w:tcPr>
            <w:tcW w:type="dxa" w:w="1752"/>
            <w:vAlign w:val="center"/>
          </w:tcPr>
          <w:p>
            <w:pPr>
              <w:keepLines/>
              <w:spacing w:after="0" w:line="240" w:lineRule="auto"/>
              <w:jc w:val="center"/>
            </w:pPr>
            <w:r>
              <w:rPr>
                <w:rFonts w:ascii="Times New Roman" w:hAnsi="Times New Roman" w:eastAsia="Times New Roman"/>
                <w:b w:val="0"/>
                <w:sz w:val="14"/>
              </w:rPr>
              <w:t>9.83</w:t>
            </w:r>
          </w:p>
        </w:tc>
        <w:tc>
          <w:tcPr>
            <w:tcW w:type="dxa" w:w="1752"/>
            <w:vAlign w:val="center"/>
          </w:tcPr>
          <w:p>
            <w:pPr>
              <w:keepLines/>
              <w:spacing w:after="0" w:line="240" w:lineRule="auto"/>
              <w:jc w:val="center"/>
            </w:pPr>
            <w:r>
              <w:rPr>
                <w:rFonts w:ascii="Times New Roman" w:hAnsi="Times New Roman" w:eastAsia="Times New Roman"/>
                <w:b w:val="0"/>
                <w:sz w:val="14"/>
              </w:rPr>
              <w:t>3147.36</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1000</w:t>
            </w:r>
          </w:p>
        </w:tc>
        <w:tc>
          <w:tcPr>
            <w:tcW w:type="dxa" w:w="1752"/>
            <w:vAlign w:val="center"/>
          </w:tcPr>
          <w:p>
            <w:pPr>
              <w:keepLines/>
              <w:spacing w:after="0" w:line="240" w:lineRule="auto"/>
              <w:jc w:val="center"/>
            </w:pPr>
            <w:r>
              <w:rPr>
                <w:rFonts w:ascii="Times New Roman" w:hAnsi="Times New Roman" w:eastAsia="Times New Roman"/>
                <w:b w:val="0"/>
                <w:sz w:val="14"/>
              </w:rPr>
              <w:t>Hybrid + Stable</w:t>
            </w:r>
          </w:p>
        </w:tc>
        <w:tc>
          <w:tcPr>
            <w:tcW w:type="dxa" w:w="1752"/>
            <w:vAlign w:val="center"/>
          </w:tcPr>
          <w:p>
            <w:pPr>
              <w:keepLines/>
              <w:spacing w:after="0" w:line="240" w:lineRule="auto"/>
              <w:jc w:val="center"/>
            </w:pPr>
            <w:r>
              <w:rPr>
                <w:rFonts w:ascii="Times New Roman" w:hAnsi="Times New Roman" w:eastAsia="Times New Roman"/>
                <w:b w:val="0"/>
                <w:sz w:val="14"/>
              </w:rPr>
              <w:t>75.90</w:t>
            </w:r>
          </w:p>
        </w:tc>
        <w:tc>
          <w:tcPr>
            <w:tcW w:type="dxa" w:w="1752"/>
            <w:vAlign w:val="center"/>
          </w:tcPr>
          <w:p>
            <w:pPr>
              <w:keepLines/>
              <w:spacing w:after="0" w:line="240" w:lineRule="auto"/>
              <w:jc w:val="center"/>
            </w:pPr>
            <w:r>
              <w:rPr>
                <w:rFonts w:ascii="Times New Roman" w:hAnsi="Times New Roman" w:eastAsia="Times New Roman"/>
                <w:b w:val="0"/>
                <w:sz w:val="14"/>
              </w:rPr>
              <w:t>13.97</w:t>
            </w:r>
          </w:p>
        </w:tc>
        <w:tc>
          <w:tcPr>
            <w:tcW w:type="dxa" w:w="1752"/>
            <w:vAlign w:val="center"/>
          </w:tcPr>
          <w:p>
            <w:pPr>
              <w:keepLines/>
              <w:spacing w:after="0" w:line="240" w:lineRule="auto"/>
              <w:jc w:val="center"/>
            </w:pPr>
            <w:r>
              <w:rPr>
                <w:rFonts w:ascii="Times New Roman" w:hAnsi="Times New Roman" w:eastAsia="Times New Roman"/>
                <w:b w:val="0"/>
                <w:sz w:val="14"/>
              </w:rPr>
              <w:t>3147.36</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3000</w:t>
            </w:r>
          </w:p>
        </w:tc>
        <w:tc>
          <w:tcPr>
            <w:tcW w:type="dxa" w:w="1752"/>
            <w:vAlign w:val="center"/>
          </w:tcPr>
          <w:p>
            <w:pPr>
              <w:keepLines/>
              <w:spacing w:after="0" w:line="240" w:lineRule="auto"/>
              <w:jc w:val="center"/>
            </w:pPr>
            <w:r>
              <w:rPr>
                <w:rFonts w:ascii="Times New Roman" w:hAnsi="Times New Roman" w:eastAsia="Times New Roman"/>
                <w:b w:val="0"/>
                <w:sz w:val="14"/>
              </w:rPr>
              <w:t>XGBoost</w:t>
            </w:r>
          </w:p>
        </w:tc>
        <w:tc>
          <w:tcPr>
            <w:tcW w:type="dxa" w:w="1752"/>
            <w:vAlign w:val="center"/>
          </w:tcPr>
          <w:p>
            <w:pPr>
              <w:keepLines/>
              <w:spacing w:after="0" w:line="240" w:lineRule="auto"/>
              <w:jc w:val="center"/>
            </w:pPr>
            <w:r>
              <w:rPr>
                <w:rFonts w:ascii="Times New Roman" w:hAnsi="Times New Roman" w:eastAsia="Times New Roman"/>
                <w:b w:val="0"/>
                <w:sz w:val="14"/>
              </w:rPr>
              <w:t>45.77</w:t>
            </w:r>
          </w:p>
        </w:tc>
        <w:tc>
          <w:tcPr>
            <w:tcW w:type="dxa" w:w="1752"/>
            <w:vAlign w:val="center"/>
          </w:tcPr>
          <w:p>
            <w:pPr>
              <w:keepLines/>
              <w:spacing w:after="0" w:line="240" w:lineRule="auto"/>
              <w:jc w:val="center"/>
            </w:pPr>
            <w:r>
              <w:rPr>
                <w:rFonts w:ascii="Times New Roman" w:hAnsi="Times New Roman" w:eastAsia="Times New Roman"/>
                <w:b w:val="0"/>
                <w:sz w:val="14"/>
              </w:rPr>
              <w:t>4.61</w:t>
            </w:r>
          </w:p>
        </w:tc>
        <w:tc>
          <w:tcPr>
            <w:tcW w:type="dxa" w:w="1752"/>
            <w:vAlign w:val="center"/>
          </w:tcPr>
          <w:p>
            <w:pPr>
              <w:keepLines/>
              <w:spacing w:after="0" w:line="240" w:lineRule="auto"/>
              <w:jc w:val="center"/>
            </w:pPr>
            <w:r>
              <w:rPr>
                <w:rFonts w:ascii="Times New Roman" w:hAnsi="Times New Roman" w:eastAsia="Times New Roman"/>
                <w:b w:val="0"/>
                <w:sz w:val="14"/>
              </w:rPr>
              <w:t>2893.42</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3000</w:t>
            </w:r>
          </w:p>
        </w:tc>
        <w:tc>
          <w:tcPr>
            <w:tcW w:type="dxa" w:w="1752"/>
            <w:vAlign w:val="center"/>
          </w:tcPr>
          <w:p>
            <w:pPr>
              <w:keepLines/>
              <w:spacing w:after="0" w:line="240" w:lineRule="auto"/>
              <w:jc w:val="center"/>
            </w:pPr>
            <w:r>
              <w:rPr>
                <w:rFonts w:ascii="Times New Roman" w:hAnsi="Times New Roman" w:eastAsia="Times New Roman"/>
                <w:b w:val="0"/>
                <w:sz w:val="14"/>
              </w:rPr>
              <w:t>TimeMixer</w:t>
            </w:r>
          </w:p>
        </w:tc>
        <w:tc>
          <w:tcPr>
            <w:tcW w:type="dxa" w:w="1752"/>
            <w:vAlign w:val="center"/>
          </w:tcPr>
          <w:p>
            <w:pPr>
              <w:keepLines/>
              <w:spacing w:after="0" w:line="240" w:lineRule="auto"/>
              <w:jc w:val="center"/>
            </w:pPr>
            <w:r>
              <w:rPr>
                <w:rFonts w:ascii="Times New Roman" w:hAnsi="Times New Roman" w:eastAsia="Times New Roman"/>
                <w:b w:val="0"/>
                <w:sz w:val="14"/>
              </w:rPr>
              <w:t>187.26</w:t>
            </w:r>
          </w:p>
        </w:tc>
        <w:tc>
          <w:tcPr>
            <w:tcW w:type="dxa" w:w="1752"/>
            <w:vAlign w:val="center"/>
          </w:tcPr>
          <w:p>
            <w:pPr>
              <w:keepLines/>
              <w:spacing w:after="0" w:line="240" w:lineRule="auto"/>
              <w:jc w:val="center"/>
            </w:pPr>
            <w:r>
              <w:rPr>
                <w:rFonts w:ascii="Times New Roman" w:hAnsi="Times New Roman" w:eastAsia="Times New Roman"/>
                <w:b w:val="0"/>
                <w:sz w:val="14"/>
              </w:rPr>
              <w:t>21.47</w:t>
            </w:r>
          </w:p>
        </w:tc>
        <w:tc>
          <w:tcPr>
            <w:tcW w:type="dxa" w:w="1752"/>
            <w:vAlign w:val="center"/>
          </w:tcPr>
          <w:p>
            <w:pPr>
              <w:keepLines/>
              <w:spacing w:after="0" w:line="240" w:lineRule="auto"/>
              <w:jc w:val="center"/>
            </w:pPr>
            <w:r>
              <w:rPr>
                <w:rFonts w:ascii="Times New Roman" w:hAnsi="Times New Roman" w:eastAsia="Times New Roman"/>
                <w:b w:val="0"/>
                <w:sz w:val="14"/>
              </w:rPr>
              <w:t>2893.42</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3000</w:t>
            </w:r>
          </w:p>
        </w:tc>
        <w:tc>
          <w:tcPr>
            <w:tcW w:type="dxa" w:w="1752"/>
            <w:vAlign w:val="center"/>
          </w:tcPr>
          <w:p>
            <w:pPr>
              <w:keepLines/>
              <w:spacing w:after="0" w:line="240" w:lineRule="auto"/>
              <w:jc w:val="center"/>
            </w:pPr>
            <w:r>
              <w:rPr>
                <w:rFonts w:ascii="Times New Roman" w:hAnsi="Times New Roman" w:eastAsia="Times New Roman"/>
                <w:b w:val="0"/>
                <w:sz w:val="14"/>
              </w:rPr>
              <w:t>Hybrid</w:t>
            </w:r>
          </w:p>
        </w:tc>
        <w:tc>
          <w:tcPr>
            <w:tcW w:type="dxa" w:w="1752"/>
            <w:vAlign w:val="center"/>
          </w:tcPr>
          <w:p>
            <w:pPr>
              <w:keepLines/>
              <w:spacing w:after="0" w:line="240" w:lineRule="auto"/>
              <w:jc w:val="center"/>
            </w:pPr>
            <w:r>
              <w:rPr>
                <w:rFonts w:ascii="Times New Roman" w:hAnsi="Times New Roman" w:eastAsia="Times New Roman"/>
                <w:b w:val="0"/>
                <w:sz w:val="14"/>
              </w:rPr>
              <w:t>269.29</w:t>
            </w:r>
          </w:p>
        </w:tc>
        <w:tc>
          <w:tcPr>
            <w:tcW w:type="dxa" w:w="1752"/>
            <w:vAlign w:val="center"/>
          </w:tcPr>
          <w:p>
            <w:pPr>
              <w:keepLines/>
              <w:spacing w:after="0" w:line="240" w:lineRule="auto"/>
              <w:jc w:val="center"/>
            </w:pPr>
            <w:r>
              <w:rPr>
                <w:rFonts w:ascii="Times New Roman" w:hAnsi="Times New Roman" w:eastAsia="Times New Roman"/>
                <w:b w:val="0"/>
                <w:sz w:val="14"/>
              </w:rPr>
              <w:t>38.70</w:t>
            </w:r>
          </w:p>
        </w:tc>
        <w:tc>
          <w:tcPr>
            <w:tcW w:type="dxa" w:w="1752"/>
            <w:vAlign w:val="center"/>
          </w:tcPr>
          <w:p>
            <w:pPr>
              <w:keepLines/>
              <w:spacing w:after="0" w:line="240" w:lineRule="auto"/>
              <w:jc w:val="center"/>
            </w:pPr>
            <w:r>
              <w:rPr>
                <w:rFonts w:ascii="Times New Roman" w:hAnsi="Times New Roman" w:eastAsia="Times New Roman"/>
                <w:b w:val="0"/>
                <w:sz w:val="14"/>
              </w:rPr>
              <w:t>2893.42</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3000</w:t>
            </w:r>
          </w:p>
        </w:tc>
        <w:tc>
          <w:tcPr>
            <w:tcW w:type="dxa" w:w="1752"/>
            <w:vAlign w:val="center"/>
          </w:tcPr>
          <w:p>
            <w:pPr>
              <w:keepLines/>
              <w:spacing w:after="0" w:line="240" w:lineRule="auto"/>
              <w:jc w:val="center"/>
            </w:pPr>
            <w:r>
              <w:rPr>
                <w:rFonts w:ascii="Times New Roman" w:hAnsi="Times New Roman" w:eastAsia="Times New Roman"/>
                <w:b w:val="0"/>
                <w:sz w:val="14"/>
              </w:rPr>
              <w:t>Hybrid + Stable</w:t>
            </w:r>
          </w:p>
        </w:tc>
        <w:tc>
          <w:tcPr>
            <w:tcW w:type="dxa" w:w="1752"/>
            <w:vAlign w:val="center"/>
          </w:tcPr>
          <w:p>
            <w:pPr>
              <w:keepLines/>
              <w:spacing w:after="0" w:line="240" w:lineRule="auto"/>
              <w:jc w:val="center"/>
            </w:pPr>
            <w:r>
              <w:rPr>
                <w:rFonts w:ascii="Times New Roman" w:hAnsi="Times New Roman" w:eastAsia="Times New Roman"/>
                <w:b w:val="0"/>
                <w:sz w:val="14"/>
              </w:rPr>
              <w:t>352.97</w:t>
            </w:r>
          </w:p>
        </w:tc>
        <w:tc>
          <w:tcPr>
            <w:tcW w:type="dxa" w:w="1752"/>
            <w:vAlign w:val="center"/>
          </w:tcPr>
          <w:p>
            <w:pPr>
              <w:keepLines/>
              <w:spacing w:after="0" w:line="240" w:lineRule="auto"/>
              <w:jc w:val="center"/>
            </w:pPr>
            <w:r>
              <w:rPr>
                <w:rFonts w:ascii="Times New Roman" w:hAnsi="Times New Roman" w:eastAsia="Times New Roman"/>
                <w:b w:val="0"/>
                <w:sz w:val="14"/>
              </w:rPr>
              <w:t>39.81</w:t>
            </w:r>
          </w:p>
        </w:tc>
        <w:tc>
          <w:tcPr>
            <w:tcW w:type="dxa" w:w="1752"/>
            <w:vAlign w:val="center"/>
          </w:tcPr>
          <w:p>
            <w:pPr>
              <w:keepLines/>
              <w:spacing w:after="0" w:line="240" w:lineRule="auto"/>
              <w:jc w:val="center"/>
            </w:pPr>
            <w:r>
              <w:rPr>
                <w:rFonts w:ascii="Times New Roman" w:hAnsi="Times New Roman" w:eastAsia="Times New Roman"/>
                <w:b w:val="0"/>
                <w:sz w:val="14"/>
              </w:rPr>
              <w:t>2893.42</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4000</w:t>
            </w:r>
          </w:p>
        </w:tc>
        <w:tc>
          <w:tcPr>
            <w:tcW w:type="dxa" w:w="1752"/>
            <w:vAlign w:val="center"/>
          </w:tcPr>
          <w:p>
            <w:pPr>
              <w:keepLines/>
              <w:spacing w:after="0" w:line="240" w:lineRule="auto"/>
              <w:jc w:val="center"/>
            </w:pPr>
            <w:r>
              <w:rPr>
                <w:rFonts w:ascii="Times New Roman" w:hAnsi="Times New Roman" w:eastAsia="Times New Roman"/>
                <w:b w:val="0"/>
                <w:sz w:val="14"/>
              </w:rPr>
              <w:t>XGBoost</w:t>
            </w:r>
          </w:p>
        </w:tc>
        <w:tc>
          <w:tcPr>
            <w:tcW w:type="dxa" w:w="1752"/>
            <w:vAlign w:val="center"/>
          </w:tcPr>
          <w:p>
            <w:pPr>
              <w:keepLines/>
              <w:spacing w:after="0" w:line="240" w:lineRule="auto"/>
              <w:jc w:val="center"/>
            </w:pPr>
            <w:r>
              <w:rPr>
                <w:rFonts w:ascii="Times New Roman" w:hAnsi="Times New Roman" w:eastAsia="Times New Roman"/>
                <w:b w:val="0"/>
                <w:sz w:val="14"/>
              </w:rPr>
              <w:t>53.09</w:t>
            </w:r>
          </w:p>
        </w:tc>
        <w:tc>
          <w:tcPr>
            <w:tcW w:type="dxa" w:w="1752"/>
            <w:vAlign w:val="center"/>
          </w:tcPr>
          <w:p>
            <w:pPr>
              <w:keepLines/>
              <w:spacing w:after="0" w:line="240" w:lineRule="auto"/>
              <w:jc w:val="center"/>
            </w:pPr>
            <w:r>
              <w:rPr>
                <w:rFonts w:ascii="Times New Roman" w:hAnsi="Times New Roman" w:eastAsia="Times New Roman"/>
                <w:b w:val="0"/>
                <w:sz w:val="14"/>
              </w:rPr>
              <w:t>10.63</w:t>
            </w:r>
          </w:p>
        </w:tc>
        <w:tc>
          <w:tcPr>
            <w:tcW w:type="dxa" w:w="1752"/>
            <w:vAlign w:val="center"/>
          </w:tcPr>
          <w:p>
            <w:pPr>
              <w:keepLines/>
              <w:spacing w:after="0" w:line="240" w:lineRule="auto"/>
              <w:jc w:val="center"/>
            </w:pPr>
            <w:r>
              <w:rPr>
                <w:rFonts w:ascii="Times New Roman" w:hAnsi="Times New Roman" w:eastAsia="Times New Roman"/>
                <w:b w:val="0"/>
                <w:sz w:val="14"/>
              </w:rPr>
              <w:t>3352.53</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4000</w:t>
            </w:r>
          </w:p>
        </w:tc>
        <w:tc>
          <w:tcPr>
            <w:tcW w:type="dxa" w:w="1752"/>
            <w:vAlign w:val="center"/>
          </w:tcPr>
          <w:p>
            <w:pPr>
              <w:keepLines/>
              <w:spacing w:after="0" w:line="240" w:lineRule="auto"/>
              <w:jc w:val="center"/>
            </w:pPr>
            <w:r>
              <w:rPr>
                <w:rFonts w:ascii="Times New Roman" w:hAnsi="Times New Roman" w:eastAsia="Times New Roman"/>
                <w:b w:val="0"/>
                <w:sz w:val="14"/>
              </w:rPr>
              <w:t>TimeMixer</w:t>
            </w:r>
          </w:p>
        </w:tc>
        <w:tc>
          <w:tcPr>
            <w:tcW w:type="dxa" w:w="1752"/>
            <w:vAlign w:val="center"/>
          </w:tcPr>
          <w:p>
            <w:pPr>
              <w:keepLines/>
              <w:spacing w:after="0" w:line="240" w:lineRule="auto"/>
              <w:jc w:val="center"/>
            </w:pPr>
            <w:r>
              <w:rPr>
                <w:rFonts w:ascii="Times New Roman" w:hAnsi="Times New Roman" w:eastAsia="Times New Roman"/>
                <w:b w:val="0"/>
                <w:sz w:val="14"/>
              </w:rPr>
              <w:t>263.15</w:t>
            </w:r>
          </w:p>
        </w:tc>
        <w:tc>
          <w:tcPr>
            <w:tcW w:type="dxa" w:w="1752"/>
            <w:vAlign w:val="center"/>
          </w:tcPr>
          <w:p>
            <w:pPr>
              <w:keepLines/>
              <w:spacing w:after="0" w:line="240" w:lineRule="auto"/>
              <w:jc w:val="center"/>
            </w:pPr>
            <w:r>
              <w:rPr>
                <w:rFonts w:ascii="Times New Roman" w:hAnsi="Times New Roman" w:eastAsia="Times New Roman"/>
                <w:b w:val="0"/>
                <w:sz w:val="14"/>
              </w:rPr>
              <w:t>41.01</w:t>
            </w:r>
          </w:p>
        </w:tc>
        <w:tc>
          <w:tcPr>
            <w:tcW w:type="dxa" w:w="1752"/>
            <w:vAlign w:val="center"/>
          </w:tcPr>
          <w:p>
            <w:pPr>
              <w:keepLines/>
              <w:spacing w:after="0" w:line="240" w:lineRule="auto"/>
              <w:jc w:val="center"/>
            </w:pPr>
            <w:r>
              <w:rPr>
                <w:rFonts w:ascii="Times New Roman" w:hAnsi="Times New Roman" w:eastAsia="Times New Roman"/>
                <w:b w:val="0"/>
                <w:sz w:val="14"/>
              </w:rPr>
              <w:t>3352.53</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4000</w:t>
            </w:r>
          </w:p>
        </w:tc>
        <w:tc>
          <w:tcPr>
            <w:tcW w:type="dxa" w:w="1752"/>
            <w:vAlign w:val="center"/>
          </w:tcPr>
          <w:p>
            <w:pPr>
              <w:keepLines/>
              <w:spacing w:after="0" w:line="240" w:lineRule="auto"/>
              <w:jc w:val="center"/>
            </w:pPr>
            <w:r>
              <w:rPr>
                <w:rFonts w:ascii="Times New Roman" w:hAnsi="Times New Roman" w:eastAsia="Times New Roman"/>
                <w:b w:val="0"/>
                <w:sz w:val="14"/>
              </w:rPr>
              <w:t>Hybrid</w:t>
            </w:r>
          </w:p>
        </w:tc>
        <w:tc>
          <w:tcPr>
            <w:tcW w:type="dxa" w:w="1752"/>
            <w:vAlign w:val="center"/>
          </w:tcPr>
          <w:p>
            <w:pPr>
              <w:keepLines/>
              <w:spacing w:after="0" w:line="240" w:lineRule="auto"/>
              <w:jc w:val="center"/>
            </w:pPr>
            <w:r>
              <w:rPr>
                <w:rFonts w:ascii="Times New Roman" w:hAnsi="Times New Roman" w:eastAsia="Times New Roman"/>
                <w:b w:val="0"/>
                <w:sz w:val="14"/>
              </w:rPr>
              <w:t>372.59</w:t>
            </w:r>
          </w:p>
        </w:tc>
        <w:tc>
          <w:tcPr>
            <w:tcW w:type="dxa" w:w="1752"/>
            <w:vAlign w:val="center"/>
          </w:tcPr>
          <w:p>
            <w:pPr>
              <w:keepLines/>
              <w:spacing w:after="0" w:line="240" w:lineRule="auto"/>
              <w:jc w:val="center"/>
            </w:pPr>
            <w:r>
              <w:rPr>
                <w:rFonts w:ascii="Times New Roman" w:hAnsi="Times New Roman" w:eastAsia="Times New Roman"/>
                <w:b w:val="0"/>
                <w:sz w:val="14"/>
              </w:rPr>
              <w:t>73.37</w:t>
            </w:r>
          </w:p>
        </w:tc>
        <w:tc>
          <w:tcPr>
            <w:tcW w:type="dxa" w:w="1752"/>
            <w:vAlign w:val="center"/>
          </w:tcPr>
          <w:p>
            <w:pPr>
              <w:keepLines/>
              <w:spacing w:after="0" w:line="240" w:lineRule="auto"/>
              <w:jc w:val="center"/>
            </w:pPr>
            <w:r>
              <w:rPr>
                <w:rFonts w:ascii="Times New Roman" w:hAnsi="Times New Roman" w:eastAsia="Times New Roman"/>
                <w:b w:val="0"/>
                <w:sz w:val="14"/>
              </w:rPr>
              <w:t>3352.53</w:t>
            </w:r>
          </w:p>
        </w:tc>
      </w:tr>
      <w:tr>
        <w:trPr>
          <w:cantSplit/>
        </w:trPr>
        <w:tc>
          <w:tcPr>
            <w:tcW w:type="dxa" w:w="1752"/>
            <w:vAlign w:val="center"/>
          </w:tcPr>
          <w:p>
            <w:pPr>
              <w:keepLines/>
              <w:spacing w:after="0" w:line="240" w:lineRule="auto"/>
              <w:jc w:val="center"/>
            </w:pPr>
            <w:r>
              <w:rPr>
                <w:rFonts w:ascii="Times New Roman" w:hAnsi="Times New Roman" w:eastAsia="Times New Roman"/>
                <w:b w:val="0"/>
                <w:sz w:val="14"/>
              </w:rPr>
              <w:t>4000</w:t>
            </w:r>
          </w:p>
        </w:tc>
        <w:tc>
          <w:tcPr>
            <w:tcW w:type="dxa" w:w="1752"/>
            <w:vAlign w:val="center"/>
          </w:tcPr>
          <w:p>
            <w:pPr>
              <w:keepLines/>
              <w:spacing w:after="0" w:line="240" w:lineRule="auto"/>
              <w:jc w:val="center"/>
            </w:pPr>
            <w:r>
              <w:rPr>
                <w:rFonts w:ascii="Times New Roman" w:hAnsi="Times New Roman" w:eastAsia="Times New Roman"/>
                <w:b w:val="0"/>
                <w:sz w:val="14"/>
              </w:rPr>
              <w:t>Hybrid + Stable</w:t>
            </w:r>
          </w:p>
        </w:tc>
        <w:tc>
          <w:tcPr>
            <w:tcW w:type="dxa" w:w="1752"/>
            <w:vAlign w:val="center"/>
          </w:tcPr>
          <w:p>
            <w:pPr>
              <w:keepLines/>
              <w:spacing w:after="0" w:line="240" w:lineRule="auto"/>
              <w:jc w:val="center"/>
            </w:pPr>
            <w:r>
              <w:rPr>
                <w:rFonts w:ascii="Times New Roman" w:hAnsi="Times New Roman" w:eastAsia="Times New Roman"/>
                <w:b w:val="0"/>
                <w:sz w:val="14"/>
              </w:rPr>
              <w:t>515.96</w:t>
            </w:r>
          </w:p>
        </w:tc>
        <w:tc>
          <w:tcPr>
            <w:tcW w:type="dxa" w:w="1752"/>
            <w:vAlign w:val="center"/>
          </w:tcPr>
          <w:p>
            <w:pPr>
              <w:keepLines/>
              <w:spacing w:after="0" w:line="240" w:lineRule="auto"/>
              <w:jc w:val="center"/>
            </w:pPr>
            <w:r>
              <w:rPr>
                <w:rFonts w:ascii="Times New Roman" w:hAnsi="Times New Roman" w:eastAsia="Times New Roman"/>
                <w:b w:val="0"/>
                <w:sz w:val="14"/>
              </w:rPr>
              <w:t>61.28</w:t>
            </w:r>
          </w:p>
        </w:tc>
        <w:tc>
          <w:tcPr>
            <w:tcW w:type="dxa" w:w="1752"/>
            <w:vAlign w:val="center"/>
          </w:tcPr>
          <w:p>
            <w:pPr>
              <w:keepLines/>
              <w:spacing w:after="0" w:line="240" w:lineRule="auto"/>
              <w:jc w:val="center"/>
            </w:pPr>
            <w:r>
              <w:rPr>
                <w:rFonts w:ascii="Times New Roman" w:hAnsi="Times New Roman" w:eastAsia="Times New Roman"/>
                <w:b w:val="0"/>
                <w:sz w:val="14"/>
              </w:rPr>
              <w:t>3352.53</w:t>
            </w:r>
          </w:p>
        </w:tc>
      </w:tr>
    </w:tbl>
    <w:p>
      <w:pPr>
        <w:pStyle w:val="Para"/>
      </w:pPr>
      <w:r/>
    </w:p>
    <w:p>
      <w:pPr>
        <w:pStyle w:val="Head2"/>
      </w:pPr>
      <w:r>
        <w:t>Robustness Analysis</w:t>
      </w:r>
    </w:p>
    <w:p>
      <w:pPr>
        <w:pStyle w:val="Para"/>
      </w:pPr>
      <w:r>
        <w:t>Across seeds, the stability-aware hybrid model improves FSS over XGBoost at all revised main scales. Averaged over 1000, 3000, and 4000 series, FSS improves by 7.08%, while the largest absolute RMSE change remains 0.72%. Additional diagnostics were conducted for internal validation but are omitted from the submission manuscript due to page limits.</w:t>
      </w:r>
    </w:p>
    <w:p>
      <w:pPr>
        <w:pStyle w:val="Head1"/>
      </w:pPr>
      <w:r>
        <w:t>Discussion</w:t>
      </w:r>
    </w:p>
    <w:p>
      <w:pPr>
        <w:pStyle w:val="Para"/>
      </w:pPr>
      <w:r>
        <w:t>Objective-based regularization does not dominate smoothing in every setting. Smoothing is a strong and practical baseline when the only goal is to reduce raw forecast movement. In these experiments it gives the lowest raw FSS, and it is inexpensive once predictions have already been produced. That is a useful comparison point rather than a nuisance result.</w:t>
      </w:r>
    </w:p>
    <w:p>
      <w:pPr>
        <w:pStyle w:val="Para"/>
      </w:pPr>
      <w:r>
        <w:t>The stability-aware model offers a different operating point. It gives up some raw smoothness relative to post-hoc smoothing, but it preserves more of the accuracy-oriented forecast structure and performs better under scale-normalized stability. For supply chain planning, that distinction matters because forecast updates can affect replenishment and upstream variability [4, 5, 17]. A replenishment planner may prefer a forecast that is moderately smoother and still responsive to demand changes over one that suppresses movement more aggressively but drifts farther from the point-accuracy baseline.</w:t>
      </w:r>
    </w:p>
    <w:p>
      <w:pPr>
        <w:pStyle w:val="Para"/>
      </w:pPr>
      <w:r>
        <w:t>The stability term also fits naturally into the training process. Intermittent retail demand contains zeros, sparse spikes, and short-lived local shocks. A standard accuracy objective can react sharply to those patterns, especially when lag features encode recent demand. Penalizing within-series prediction changes gives the model a reason to avoid part of that local oscillation while still learning from calendar, price, and temporal context. This does not replace decision-aware inventory optimization, but it is a tractable way to put operational stability into the forecasting objective.</w:t>
      </w:r>
    </w:p>
    <w:p>
      <w:pPr>
        <w:pStyle w:val="Para"/>
      </w:pPr>
      <w:r>
        <w:t>The runtime cost is real: temporal embedding extraction and stability-aware boosted-tree training make the final method slower than XGBoost, with multipliers of 4.39×, 7.71×, and 9.72×. These values reflect end-to-end experimental cost, not deployment-time inference latency.</w:t>
      </w:r>
    </w:p>
    <w:p>
      <w:pPr>
        <w:pStyle w:val="Para"/>
      </w:pPr>
      <w:r>
        <w:t>Many supply-chain forecasts are generated in scheduled batch planning cycles rather than latency-critical online inference pipelines. Additional training-time cost may therefore be acceptable when reduced forecast churn lowers downstream planning instability. Still, this study profiles end-to-end experimental runtime rather than separating training-time and inference-time costs. Future work should report deployment-time inference profiles, including temporal embedding extraction and XGBoost prediction costs under realistic production batch sizes.</w:t>
      </w:r>
    </w:p>
    <w:p>
      <w:pPr>
        <w:pStyle w:val="Head1"/>
      </w:pPr>
      <w:r>
        <w:t>Limitations</w:t>
      </w:r>
    </w:p>
    <w:p>
      <w:pPr>
        <w:pStyle w:val="Para"/>
      </w:pPr>
      <w:r>
        <w:t>The evaluation is limited to the M5 retail demand dataset. M5 is a useful benchmark for sparse item-store demand, but it cannot represent every supply-chain environment. Industrial spare parts, perishables, and multi-echelon manufacturing systems may have different stability requirements and different costs for delayed response.</w:t>
      </w:r>
    </w:p>
    <w:p>
      <w:pPr>
        <w:pStyle w:val="Para"/>
      </w:pPr>
      <w:r>
        <w:t>The main scalability study uses selected subsets rather than the full M5 hierarchy. The largest full-configuration main experiment contains 4000 series. A capped 5000-series diagnostic was conducted for internal validation but is not used for the main runtime or scalability claims.</w:t>
      </w:r>
    </w:p>
    <w:p>
      <w:pPr>
        <w:pStyle w:val="Para"/>
      </w:pPr>
      <w:r>
        <w:t>The normalized FSS analysis reduces sensitivity to demand scale, but it also has a caveat: low-volume intermittent series can produce large absolute nFSS values because the denominator is small. We therefore treat nFSS as a relative robustness metric. Finally, the paper evaluates forecast metrics rather than downstream inventory outcomes. A stronger operational study would connect stability-aware forecasts to service level, stockouts, holding cost, and schedule changes.</w:t>
      </w:r>
    </w:p>
    <w:p>
      <w:pPr>
        <w:pStyle w:val="Head1"/>
      </w:pPr>
      <w:r>
        <w:t>Conclusion</w:t>
      </w:r>
    </w:p>
    <w:p>
      <w:pPr>
        <w:pStyle w:val="Para"/>
      </w:pPr>
      <w:r>
        <w:t>This paper studied accuracy-preserving stability regularization for large-scale retail demand forecasting. Penalizing consecutive within-series forecast movement during training improves stability on 1000, 3000, and 4000 M5 series while keeping RMSE changes small. The smoothing comparison clarifies the trade-off: post-hoc smoothing is stronger for raw FSS, while objective-based regularization is more accuracy-preserving and scale-robust. The results support treating forecast stability as an operational evaluation and training criterion, while leaving room for simpler baselines when raw smoothness or runtime is the priority.</w:t>
      </w:r>
    </w:p>
    <w:p>
      <w:pPr>
        <w:pStyle w:val="ReferenceHead"/>
      </w:pPr>
      <w:r>
        <w:t>References</w:t>
      </w:r>
    </w:p>
    <w:p>
      <w:pPr>
        <w:pStyle w:val="Bibentry"/>
      </w:pPr>
      <w:r>
        <w:rPr>
          <w:b w:val="0"/>
        </w:rPr>
        <w:t>Robert Fildes, Konstantinos Nikolopoulos, Sven F. Crone, and Aris A. Syntetos. 2008. Forecasting and Operational Research: A Review. Journal of the Operational Research Society 59, 9, 1150–1172. https://doi.org/10.1057/palgrave.jors.2602597</w:t>
      </w:r>
    </w:p>
    <w:p>
      <w:pPr>
        <w:pStyle w:val="Bibentry"/>
      </w:pPr>
      <w:r>
        <w:rPr>
          <w:b w:val="0"/>
        </w:rPr>
        <w:t>Robert Fildes, Shaohui Ma, and Stephan Kolassa. 2022. Retail Forecasting: Research and Practice. International Journal of Forecasting 38, 4, 1283–1318. https://doi.org/10.1016/j.ijforecast.2019.06.004</w:t>
      </w:r>
    </w:p>
    <w:p>
      <w:pPr>
        <w:pStyle w:val="Bibentry"/>
      </w:pPr>
      <w:r>
        <w:rPr>
          <w:b w:val="0"/>
        </w:rPr>
        <w:t>Fotios Petropoulos et al. 2022. Forecasting: Theory and Practice. International Journal of Forecasting 38, 3, 705–871. https://doi.org/10.1016/j.ijforecast.2021.11.001</w:t>
      </w:r>
    </w:p>
    <w:p>
      <w:pPr>
        <w:pStyle w:val="Bibentry"/>
      </w:pPr>
      <w:r>
        <w:rPr>
          <w:b w:val="0"/>
        </w:rPr>
        <w:t>Hau L. Lee, V. Padmanabhan, and Seungjin Whang. 1997. Information Distortion in a Supply Chain: The Bullwhip Effect. Management Science 43, 4, 546–558. https://doi.org/10.1287/mnsc.43.4.546</w:t>
      </w:r>
    </w:p>
    <w:p>
      <w:pPr>
        <w:pStyle w:val="Bibentry"/>
      </w:pPr>
      <w:r>
        <w:rPr>
          <w:b w:val="0"/>
        </w:rPr>
        <w:t>Frank Chen, Zvi Drezner, Jennifer K. Ryan, and David Simchi-Levi. 2000. Quantifying the Bullwhip Effect in a Simple Supply Chain: The Impact of Forecasting, Lead Times, and Information. Management Science 46, 3, 436–443. https://doi.org/10.1287/mnsc.46.3.436.12069</w:t>
      </w:r>
    </w:p>
    <w:p>
      <w:pPr>
        <w:pStyle w:val="Bibentry"/>
      </w:pPr>
      <w:r>
        <w:rPr>
          <w:b w:val="0"/>
        </w:rPr>
        <w:t>Rakshitha Godahewa, Christoph Bergmeir, Zeynep Erkin Baz, Chengjun Zhu, Zhangdi Song, Salvador García, et al. 2025. On Forecast Stability. International Journal of Forecasting 41, 4, 1539–1558. https://doi.org/10.1016/j.ijforecast.2025.01.006</w:t>
      </w:r>
    </w:p>
    <w:p>
      <w:pPr>
        <w:pStyle w:val="Bibentry"/>
      </w:pPr>
      <w:r>
        <w:rPr>
          <w:b w:val="0"/>
        </w:rPr>
        <w:t>J. D. Croston. 1972. Forecasting and Stock Control for Intermittent Demands. Operational Research Quarterly 23, 3, 289–303. https://doi.org/10.1057/jors.1972.50</w:t>
      </w:r>
    </w:p>
    <w:p>
      <w:pPr>
        <w:pStyle w:val="Bibentry"/>
      </w:pPr>
      <w:r>
        <w:rPr>
          <w:b w:val="0"/>
        </w:rPr>
        <w:t>Aris A. Syntetos and John E. Boylan. 2005. The Accuracy of Intermittent Demand Estimates. International Journal of Forecasting 21, 2, 303–314. https://doi.org/10.1016/j.ijforecast.2004.10.001</w:t>
      </w:r>
    </w:p>
    <w:p>
      <w:pPr>
        <w:pStyle w:val="Bibentry"/>
      </w:pPr>
      <w:r>
        <w:rPr>
          <w:b w:val="0"/>
        </w:rPr>
        <w:t>Spyros Makridakis, Evangelos Spiliotis, and Vassilios Assimakopoulos. 2022. M5 Accuracy Competition: Results, Findings, and Conclusions. International Journal of Forecasting 38, 4, 1346–1364. https://doi.org/10.1016/j.ijforecast.2021.11.013</w:t>
      </w:r>
    </w:p>
    <w:p>
      <w:pPr>
        <w:pStyle w:val="Bibentry"/>
      </w:pPr>
      <w:r>
        <w:rPr>
          <w:b w:val="0"/>
        </w:rPr>
        <w:t>Shiyu Wang, Haixu Wu, Xiaoming Shi, Tengge Hu, Huakun Luo, Lintao Ma, et al. 2024. TimeMixer: Decomposable Multiscale Mixing for Time Series Forecasting. International Conference on Learning Representations. https://openreview.net/forum?id=7oLshfEIC2</w:t>
      </w:r>
    </w:p>
    <w:p>
      <w:pPr>
        <w:pStyle w:val="Bibentry"/>
      </w:pPr>
      <w:r>
        <w:rPr>
          <w:b w:val="0"/>
        </w:rPr>
        <w:t>Yuqi Nie, Nam H. Nguyen, Phanwadee Sinthong, and Jayant Kalagnanam. 2023. A Time Series is Worth 64 Words: Long-term Forecasting with Transformers. International Conference on Learning Representations. https://openreview.net/forum?id=Jbdc0vTOcol</w:t>
      </w:r>
    </w:p>
    <w:p>
      <w:pPr>
        <w:pStyle w:val="Bibentry"/>
      </w:pPr>
      <w:r>
        <w:rPr>
          <w:b w:val="0"/>
        </w:rPr>
        <w:t>Haoyi Zhou, Shanghang Zhang, Jieqi Peng, Ying Huang, Jianxin Li, Hui Xiong, et al. 2021. Informer: Beyond Efficient Transformer for Long Sequence Time-Series Forecasting. Proceedings of the AAAI Conference on Artificial Intelligence 35, 12, 11106–11115. https://doi.org/10.1609/aaai.v35i12.17325</w:t>
      </w:r>
    </w:p>
    <w:p>
      <w:pPr>
        <w:pStyle w:val="Bibentry"/>
      </w:pPr>
      <w:r>
        <w:rPr>
          <w:b w:val="0"/>
        </w:rPr>
        <w:t>Haixu Wu, Jiehui Xu, Jianmin Wang, and Mingsheng Long. 2021. Autoformer: Decomposition Transformers with Auto-Correlation for Long-Term Series Forecasting. Advances in Neural Information Processing Systems 34, 22419–22430. https://proceedings.neurips.cc/paper_files/paper/2021/hash/bcc0d400288793e8bdcd7c19a8ac0c2b-Abstract.html</w:t>
      </w:r>
    </w:p>
    <w:p>
      <w:pPr>
        <w:pStyle w:val="Bibentry"/>
      </w:pPr>
      <w:r>
        <w:rPr>
          <w:b w:val="0"/>
        </w:rPr>
        <w:t>Si-An Chen, Chun-Liang Li, Sercan O. Arik, Nathanael Christian Yoder, and Tomas Pfister. 2023. TSMixer: An All-MLP Architecture for Time Series Forecasting. Transactions on Machine Learning Research. https://openreview.net/forum?id=wbpxTuXgm0</w:t>
      </w:r>
    </w:p>
    <w:p>
      <w:pPr>
        <w:pStyle w:val="Bibentry"/>
      </w:pPr>
      <w:r>
        <w:rPr>
          <w:b w:val="0"/>
        </w:rPr>
        <w:t>Tianqi Chen and Carlos Guestrin. 2016. XGBoost: A Scalable Tree Boosting System. Proceedings of the 22nd ACM SIGKDD International Conference on Knowledge Discovery and Data Mining, 785–794. https://doi.org/10.1145/2939672.2939785</w:t>
      </w:r>
    </w:p>
    <w:p>
      <w:pPr>
        <w:pStyle w:val="Bibentry"/>
      </w:pPr>
      <w:r>
        <w:rPr>
          <w:b w:val="0"/>
        </w:rPr>
        <w:t>Spyros Makridakis and Michele Hibon. 2000. The M3-Competition: Results, Conclusions and Implications. International Journal of Forecasting 16, 4, 451–476. https://doi.org/10.1016/S0169-2070(00)00057-1</w:t>
      </w:r>
    </w:p>
    <w:p>
      <w:pPr>
        <w:pStyle w:val="Bibentry"/>
      </w:pPr>
      <w:r>
        <w:rPr>
          <w:b w:val="0"/>
        </w:rPr>
        <w:t>Xiaolong Zhang. 2004. The Impact of Forecasting Methods on the Bullwhip Effect. International Journal of Production Economics 88, 1, 15–27. https://doi.org/10.1016/S0925-5273(03)00128-2</w:t>
      </w:r>
    </w:p>
    <w:p>
      <w:pPr>
        <w:pStyle w:val="Bibentry"/>
      </w:pPr>
      <w:r>
        <w:rPr>
          <w:b w:val="0"/>
        </w:rPr>
        <w:t>Aris A. Syntetos and John E. Boylan. 2006. On the Stock Control Performance of Intermittent Demand Estimators. International Journal of Production Economics 103, 1, 36–47. https://doi.org/10.1016/j.ijpe.2005.04.004</w:t>
      </w:r>
    </w:p>
    <w:p>
      <w:pPr>
        <w:pStyle w:val="Bibentry"/>
      </w:pPr>
      <w:r>
        <w:rPr>
          <w:b w:val="0"/>
        </w:rPr>
        <w:t>Devon Barrow, Nikolaos Kourentzes, Rickard Sandberg, and Jacek Niklewski. 2020. Automatic Robust Estimation for Exponential Smoothing: Perspectives from Statistics and Machine Learning. Expert Systems with Applications 160, 113637. https://doi.org/10.1016/j.eswa.2020.113637</w:t>
      </w:r>
    </w:p>
    <w:p>
      <w:pPr>
        <w:pStyle w:val="Bibentry"/>
      </w:pPr>
      <w:r>
        <w:rPr>
          <w:b w:val="0"/>
        </w:rPr>
        <w:t>Eivind Strøm and Odd Erik Gundersen. 2024. Performance metrics for multi-step forecasting measuring win-loss, seasonal variance and forecast stability: an empirical study. Applied Intelligence 54, 21, 10490–10515. https://doi.org/10.1007/s10489-024-05715-4</w:t>
      </w:r>
    </w:p>
    <w:p>
      <w:pPr>
        <w:pStyle w:val="Bibentry"/>
      </w:pPr>
      <w:r>
        <w:rPr>
          <w:b w:val="0"/>
        </w:rPr>
        <w:t>Rob J. Hyndman and Anne B. Koehler. 2006. Another Look at Measures of Forecast Accuracy. International Journal of Forecasting 22, 4, 679–688. https://doi.org/10.1016/j.ijforecast.2006.03.001</w:t>
      </w:r>
    </w:p>
    <w:sectPr w:rsidR="009F5D19" w:rsidRPr="009F5D19" w:rsidSect="000C6221">
      <w:footerReference w:type="default" r:id="rId25"/>
      <w:footerReference w:type="first" r:id="rId26"/>
      <w:headerReference w:type="default" r:id="rId29"/>
      <w:pgSz w:w="12240" w:h="15840"/>
      <w:pgMar w:top="1760" w:right="2040" w:bottom="2840" w:left="1440" w:header="706" w:footer="706" w:gutter="0"/>
      <w:cols w:space="708"/>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DE251" w14:textId="77777777" w:rsidR="00610855" w:rsidRDefault="00610855" w:rsidP="005B434B">
      <w:pPr>
        <w:spacing w:after="0" w:line="240" w:lineRule="auto"/>
      </w:pPr>
      <w:r>
        <w:separator/>
      </w:r>
    </w:p>
  </w:endnote>
  <w:endnote w:type="continuationSeparator" w:id="0">
    <w:p w14:paraId="511BA1A9" w14:textId="77777777" w:rsidR="00610855" w:rsidRDefault="00610855"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Linux Libertine O">
    <w:altName w:val="Arial"/>
    <w:panose1 w:val="00000000000000000000"/>
    <w:charset w:val="00"/>
    <w:family w:val="auto"/>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panose1 w:val="00000000000000000000"/>
    <w:charset w:val="00"/>
    <w:family w:val="auto"/>
    <w:notTrueType/>
    <w:pitch w:val="variable"/>
    <w:sig w:usb0="E0000AFF" w:usb1="5000E4FB" w:usb2="00000020" w:usb3="00000000" w:csb0="000001B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Helvetica">
    <w:panose1 w:val="020B0604020202020204"/>
    <w:charset w:val="00"/>
    <w:family w:val="swiss"/>
    <w:pitch w:val="variable"/>
    <w:sig w:usb0="E0002AFF" w:usb1="C0007843" w:usb2="00000009" w:usb3="00000000" w:csb0="000001FF" w:csb1="00000000"/>
  </w:font>
  <w:font w:name="PMingLiU">
    <w:altName w:val="新細明體"/>
    <w:panose1 w:val="020203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AC71B" w14:textId="2E096D1A" w:rsidR="00894B43" w:rsidRDefault="00737F1F" w:rsidP="00894B43"/>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89D2E" w14:textId="77777777" w:rsidR="000C6221" w:rsidRDefault="00610855">
    <w:pPr>
      <w:pStyle w:val="a7"/>
    </w:pPr>
  </w:p>
  <w:p w14:paraId="26529D98" w14:textId="77777777" w:rsidR="000C6221" w:rsidRDefault="00610855">
    <w:pPr>
      <w:pStyle w:val="a7"/>
    </w:pPr>
  </w:p>
  <w:p w14:paraId="4A748651" w14:textId="77777777" w:rsidR="000C6221" w:rsidRDefault="00610855">
    <w:pPr>
      <w:pStyle w:val="a7"/>
    </w:pPr>
  </w:p>
  <w:p w14:paraId="7351B0CF" w14:textId="77777777" w:rsidR="000C6221" w:rsidRDefault="00610855">
    <w:pPr>
      <w:pStyle w:val="a7"/>
    </w:pPr>
  </w:p>
  <w:p w14:paraId="1FF8D7CF" w14:textId="77777777" w:rsidR="000C6221" w:rsidRDefault="00610855">
    <w:pPr>
      <w:pStyle w:val="a7"/>
    </w:pPr>
  </w:p>
  <w:p w14:paraId="287BD52D" w14:textId="77777777" w:rsidR="000C6221" w:rsidRDefault="00610855">
    <w:pPr>
      <w:pStyle w:val="a7"/>
    </w:pPr>
  </w:p>
  <w:p w14:paraId="31ADE2EF" w14:textId="77777777" w:rsidR="000C6221" w:rsidRDefault="00610855">
    <w:pPr>
      <w:pStyle w:val="a7"/>
    </w:pPr>
  </w:p>
  <w:p w14:paraId="76E7BE84" w14:textId="77777777" w:rsidR="000C6221" w:rsidRDefault="00610855">
    <w:pPr>
      <w:pStyle w:val="a7"/>
    </w:pPr>
  </w:p>
  <w:p w14:paraId="3384CA09" w14:textId="77777777" w:rsidR="000C6221" w:rsidRDefault="00610855">
    <w:pPr>
      <w:pStyle w:val="a7"/>
    </w:pPr>
  </w:p>
  <w:p w14:paraId="08478D52" w14:textId="77777777" w:rsidR="001E2D05" w:rsidRDefault="0061085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68659" w14:textId="77777777" w:rsidR="00610855" w:rsidRDefault="00610855" w:rsidP="005B434B">
      <w:pPr>
        <w:spacing w:after="0" w:line="240" w:lineRule="auto"/>
      </w:pPr>
      <w:r>
        <w:separator/>
      </w:r>
    </w:p>
  </w:footnote>
  <w:footnote w:type="continuationSeparator" w:id="0">
    <w:p w14:paraId="2BDA7123" w14:textId="77777777" w:rsidR="00610855" w:rsidRDefault="00610855" w:rsidP="005B434B">
      <w:pPr>
        <w:spacing w:after="0" w:line="240" w:lineRule="auto"/>
      </w:pPr>
      <w:r>
        <w:continuationSeparator/>
      </w:r>
    </w:p>
  </w:footnote>
  <w:footnote w:id="1">
    <w:p w14:paraId="4B24700F" w14:textId="77777777" w:rsidR="005B434B" w:rsidRDefault="005B434B" w:rsidP="005B434B">
      <w:pPr>
        <w:pStyle w:val="AuthNotes"/>
        <w:spacing w:line="240" w:lineRule="auto"/>
      </w:pPr>
      <w:r w:rsidRPr="00695442">
        <w:t>*</w:t>
      </w:r>
      <w:r>
        <w:t xml:space="preserve"> Place the footnote text for the author (if applicable) here.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547F6A"/>
    <w:rsid w:val="005B434B"/>
    <w:rsid w:val="005C3913"/>
    <w:rsid w:val="00610855"/>
    <w:rsid w:val="006E1D11"/>
    <w:rsid w:val="00720F9D"/>
    <w:rsid w:val="00737F1F"/>
    <w:rsid w:val="007B36F5"/>
    <w:rsid w:val="007E20EF"/>
    <w:rsid w:val="00810484"/>
    <w:rsid w:val="0081437E"/>
    <w:rsid w:val="008D14C0"/>
    <w:rsid w:val="00920182"/>
    <w:rsid w:val="009641B8"/>
    <w:rsid w:val="009B76D7"/>
    <w:rsid w:val="009F5D19"/>
    <w:rsid w:val="009F684F"/>
    <w:rsid w:val="00A27A9F"/>
    <w:rsid w:val="00A3685D"/>
    <w:rsid w:val="00A55475"/>
    <w:rsid w:val="00A6011A"/>
    <w:rsid w:val="00AD6C5E"/>
    <w:rsid w:val="00AF5390"/>
    <w:rsid w:val="00B929C9"/>
    <w:rsid w:val="00BD04E6"/>
    <w:rsid w:val="00D07298"/>
    <w:rsid w:val="00DA1CE2"/>
    <w:rsid w:val="00E037CD"/>
    <w:rsid w:val="00E55E8D"/>
    <w:rsid w:val="00E8234D"/>
    <w:rsid w:val="00E92194"/>
    <w:rsid w:val="00EF33C2"/>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47E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0"/>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a6"/>
    <w:qFormat/>
    <w:rsid w:val="005B434B"/>
    <w:pPr>
      <w:spacing w:after="360" w:line="333" w:lineRule="atLeast"/>
    </w:pPr>
    <w:rPr>
      <w:rFonts w:ascii="Linux Biolinum O" w:eastAsia="MS Gothic" w:hAnsi="Linux Biolinum O" w:cs="Linux Biolinum O"/>
      <w:iCs/>
      <w:sz w:val="18"/>
      <w:szCs w:val="24"/>
    </w:rPr>
  </w:style>
  <w:style w:type="character" w:customStyle="1" w:styleId="a6">
    <w:name w:val="副标题 字符"/>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7">
    <w:name w:val="footer"/>
    <w:basedOn w:val="a0"/>
    <w:link w:val="a8"/>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a8">
    <w:name w:val="页脚 字符"/>
    <w:basedOn w:val="a1"/>
    <w:link w:val="a7"/>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9">
    <w:name w:val="Table Grid"/>
    <w:basedOn w:val="a2"/>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0">
    <w:name w:val="标题 1 字符"/>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0">
    <w:name w:val="标题 2 字符"/>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a">
    <w:name w:val="header"/>
    <w:basedOn w:val="a0"/>
    <w:link w:val="ab"/>
    <w:uiPriority w:val="99"/>
    <w:unhideWhenUsed/>
    <w:rsid w:val="006E1D11"/>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6E1D11"/>
    <w:rPr>
      <w:sz w:val="18"/>
      <w:szCs w:val="18"/>
    </w:rPr>
  </w:style>
  <w:style w:type="paragraph" w:customStyle="1" w:styleId="Paper-Title">
    <w:name w:val="Paper-Title"/>
    <w:basedOn w:val="a0"/>
    <w:rsid w:val="009F5D19"/>
    <w:pPr>
      <w:spacing w:after="120" w:line="240" w:lineRule="auto"/>
      <w:jc w:val="center"/>
    </w:pPr>
    <w:rPr>
      <w:rFonts w:ascii="Helvetica" w:hAnsi="Helvetica" w:cs="Times New Roman"/>
      <w:b/>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8" Type="http://schemas.openxmlformats.org/officeDocument/2006/relationships/hyperlink" Target="http://www.iesl.cs.umass.edu/data/data-umasscitationfiel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footer" Target="footer1.xml"/><Relationship Id="rId2" Type="http://schemas.openxmlformats.org/officeDocument/2006/relationships/styles" Target="styles.xml"/><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tinyurl.com/lzny753" TargetMode="External"/><Relationship Id="rId5" Type="http://schemas.openxmlformats.org/officeDocument/2006/relationships/footnotes" Target="footnotes.xml"/><Relationship Id="rId23" Type="http://schemas.openxmlformats.org/officeDocument/2006/relationships/hyperlink" Target="https://doi.org/10.1145/567752.567774" TargetMode="External"/><Relationship Id="rId28" Type="http://schemas.openxmlformats.org/officeDocument/2006/relationships/theme" Target="theme/theme1.xml"/><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22" Type="http://schemas.openxmlformats.org/officeDocument/2006/relationships/hyperlink" Target="https://doi.org/10.1145/1188913.1188915" TargetMode="External"/><Relationship Id="rId27" Type="http://schemas.openxmlformats.org/officeDocument/2006/relationships/fontTable" Target="fontTable.xml"/><Relationship Id="rId29" Type="http://schemas.openxmlformats.org/officeDocument/2006/relationships/header" Target="header1.xml"/><Relationship Id="rId30" Type="http://schemas.openxmlformats.org/officeDocument/2006/relationships/image" Target="media/image7.png"/><Relationship Id="rId3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14</Pages>
  <Words>5170</Words>
  <Characters>29471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微软用户</cp:lastModifiedBy>
  <cp:revision>28</cp:revision>
  <dcterms:created xsi:type="dcterms:W3CDTF">2020-08-18T11:08:00Z</dcterms:created>
  <dcterms:modified xsi:type="dcterms:W3CDTF">2020-11-26T02:49:00Z</dcterms:modified>
</cp:coreProperties>
</file>