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LOOMA</w:t>
      </w:r>
    </w:p>
    <w:p>
      <w:pPr>
        <w:pStyle w:val="Title"/>
      </w:pPr>
      <w:r>
        <w:t>灵犀胶囊</w:t>
        <w:br/>
        <w:t>让客户沟通有清楚的收尾</w:t>
      </w:r>
    </w:p>
    <w:p>
      <w:pPr>
        <w:pStyle w:val="Subtitle"/>
      </w:pPr>
      <w:r>
        <w:t>商业化、产品需求与系统技术架构</w:t>
      </w:r>
    </w:p>
    <w:p>
      <w:r>
        <w:t>版本 v5.0  /  批准 2026-10-27  /  沟通收尾与项目接续</w:t>
      </w:r>
    </w:p>
    <w:p>
      <w:r>
        <w:t>面向独立接单者、顾问与小工作室主理人。</w:t>
      </w:r>
    </w:p>
    <w:p>
      <w:pPr>
        <w:pStyle w:val="Flow"/>
      </w:pPr>
      <w:r>
        <w:t>本地草稿 → 四类核对 → 确认收尾 → 下次接续 → 独立审核纪要</w:t>
      </w:r>
    </w:p>
    <w:p>
      <w:pPr>
        <w:pStyle w:val="Heading1"/>
      </w:pPr>
      <w:r>
        <w:t>阅读说明</w:t>
      </w:r>
    </w:p>
    <w:p>
      <w:r>
        <w:t>本文汇编三份已更新的Markdown规范，记录已批准的v5设计与商业假设。工程实现、测试和真实运行结果见implementation-v5-status.md，本规格书不表示验收已通过。</w:t>
      </w:r>
    </w:p>
    <w:p>
      <w:r>
        <w:t>首轮为本地单人真实案例试用，不提供账户支付、云同步或团队协作。生活态保留，工作态承担本轮商业验证。</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1814"/>
            <w:vAlign w:val="center"/>
            <w:shd w:fill="E4F0ED"/>
          </w:tcPr>
          <w:p>
            <w:pPr>
              <w:keepNext/>
              <w:spacing w:after="80" w:before="80" w:line="276" w:lineRule="auto"/>
            </w:pPr>
            <w:r>
              <w:rPr>
                <w:b/>
                <w:color w:val="183344"/>
                <w:sz w:val="18"/>
              </w:rPr>
              <w:t>卷</w:t>
            </w:r>
          </w:p>
        </w:tc>
        <w:tc>
          <w:tcPr>
            <w:tcW w:type="dxa" w:w="3798"/>
            <w:vAlign w:val="center"/>
            <w:shd w:fill="E4F0ED"/>
          </w:tcPr>
          <w:p>
            <w:pPr>
              <w:keepNext/>
              <w:spacing w:after="80" w:before="80" w:line="276" w:lineRule="auto"/>
            </w:pPr>
            <w:r>
              <w:rPr>
                <w:b/>
                <w:color w:val="183344"/>
                <w:sz w:val="18"/>
              </w:rPr>
              <w:t>内容</w:t>
            </w:r>
          </w:p>
        </w:tc>
        <w:tc>
          <w:tcPr>
            <w:tcW w:type="dxa" w:w="3855"/>
            <w:vAlign w:val="center"/>
            <w:shd w:fill="E4F0ED"/>
          </w:tcPr>
          <w:p>
            <w:pPr>
              <w:keepNext/>
              <w:spacing w:after="80" w:before="80" w:line="276" w:lineRule="auto"/>
            </w:pPr>
            <w:r>
              <w:rPr>
                <w:b/>
                <w:color w:val="183344"/>
                <w:sz w:val="18"/>
              </w:rPr>
              <w:t>阅读目的</w:t>
            </w:r>
          </w:p>
        </w:tc>
      </w:tr>
      <w:tr>
        <w:trPr>
          <w:cantSplit/>
        </w:trPr>
        <w:tc>
          <w:tcPr>
            <w:tcW w:type="dxa" w:w="1814"/>
            <w:vAlign w:val="center"/>
          </w:tcPr>
          <w:p>
            <w:pPr>
              <w:keepNext w:val="0"/>
              <w:spacing w:after="80" w:before="80" w:line="276" w:lineRule="auto"/>
            </w:pPr>
            <w:r>
              <w:rPr>
                <w:sz w:val="18"/>
              </w:rPr>
              <w:t>第一卷</w:t>
            </w:r>
          </w:p>
        </w:tc>
        <w:tc>
          <w:tcPr>
            <w:tcW w:type="dxa" w:w="3798"/>
            <w:vAlign w:val="center"/>
          </w:tcPr>
          <w:p>
            <w:pPr>
              <w:keepNext w:val="0"/>
              <w:spacing w:after="80" w:before="80" w:line="276" w:lineRule="auto"/>
            </w:pPr>
            <w:r>
              <w:rPr>
                <w:sz w:val="18"/>
              </w:rPr>
              <w:t>商业化白皮书与商业计划书</w:t>
            </w:r>
          </w:p>
        </w:tc>
        <w:tc>
          <w:tcPr>
            <w:tcW w:type="dxa" w:w="3855"/>
            <w:vAlign w:val="center"/>
          </w:tcPr>
          <w:p>
            <w:pPr>
              <w:keepNext w:val="0"/>
              <w:spacing w:after="80" w:before="80" w:line="276" w:lineRule="auto"/>
            </w:pPr>
            <w:r>
              <w:rPr>
                <w:sz w:val="18"/>
              </w:rPr>
              <w:t>明确人群、竞争事实、价值假设与验证路径</w:t>
            </w:r>
          </w:p>
        </w:tc>
      </w:tr>
      <w:tr>
        <w:trPr>
          <w:cantSplit/>
        </w:trPr>
        <w:tc>
          <w:tcPr>
            <w:tcW w:type="dxa" w:w="1814"/>
            <w:vAlign w:val="center"/>
          </w:tcPr>
          <w:p>
            <w:pPr>
              <w:keepNext w:val="0"/>
              <w:spacing w:after="80" w:before="80" w:line="276" w:lineRule="auto"/>
            </w:pPr>
            <w:r>
              <w:rPr>
                <w:sz w:val="18"/>
              </w:rPr>
              <w:t>第二卷</w:t>
            </w:r>
          </w:p>
        </w:tc>
        <w:tc>
          <w:tcPr>
            <w:tcW w:type="dxa" w:w="3798"/>
            <w:vAlign w:val="center"/>
          </w:tcPr>
          <w:p>
            <w:pPr>
              <w:keepNext w:val="0"/>
              <w:spacing w:after="80" w:before="80" w:line="276" w:lineRule="auto"/>
            </w:pPr>
            <w:r>
              <w:rPr>
                <w:sz w:val="18"/>
              </w:rPr>
              <w:t>产品需求规格说明书</w:t>
            </w:r>
          </w:p>
        </w:tc>
        <w:tc>
          <w:tcPr>
            <w:tcW w:type="dxa" w:w="3855"/>
            <w:vAlign w:val="center"/>
          </w:tcPr>
          <w:p>
            <w:pPr>
              <w:keepNext w:val="0"/>
              <w:spacing w:after="80" w:before="80" w:line="276" w:lineRule="auto"/>
            </w:pPr>
            <w:r>
              <w:rPr>
                <w:sz w:val="18"/>
              </w:rPr>
              <w:t>明确确认流程、空间边界、提醒与外发规则</w:t>
            </w:r>
          </w:p>
        </w:tc>
      </w:tr>
      <w:tr>
        <w:trPr>
          <w:cantSplit/>
        </w:trPr>
        <w:tc>
          <w:tcPr>
            <w:tcW w:type="dxa" w:w="1814"/>
            <w:vAlign w:val="center"/>
          </w:tcPr>
          <w:p>
            <w:pPr>
              <w:keepNext w:val="0"/>
              <w:spacing w:after="80" w:before="80" w:line="276" w:lineRule="auto"/>
            </w:pPr>
            <w:r>
              <w:rPr>
                <w:sz w:val="18"/>
              </w:rPr>
              <w:t>第三卷</w:t>
            </w:r>
          </w:p>
        </w:tc>
        <w:tc>
          <w:tcPr>
            <w:tcW w:type="dxa" w:w="3798"/>
            <w:vAlign w:val="center"/>
          </w:tcPr>
          <w:p>
            <w:pPr>
              <w:keepNext w:val="0"/>
              <w:spacing w:after="80" w:before="80" w:line="276" w:lineRule="auto"/>
            </w:pPr>
            <w:r>
              <w:rPr>
                <w:sz w:val="18"/>
              </w:rPr>
              <w:t>系统技术架构与数据字典规范</w:t>
            </w:r>
          </w:p>
        </w:tc>
        <w:tc>
          <w:tcPr>
            <w:tcW w:type="dxa" w:w="3855"/>
            <w:vAlign w:val="center"/>
          </w:tcPr>
          <w:p>
            <w:pPr>
              <w:keepNext w:val="0"/>
              <w:spacing w:after="80" w:before="80" w:line="276" w:lineRule="auto"/>
            </w:pPr>
            <w:r>
              <w:rPr>
                <w:sz w:val="18"/>
              </w:rPr>
              <w:t>明确接口、迁移、凭据和工程验收边界</w:t>
            </w:r>
          </w:p>
        </w:tc>
      </w:tr>
    </w:tbl>
    <w:p>
      <w:pPr>
        <w:spacing w:after="40"/>
      </w:pPr>
    </w:p>
    <w:p>
      <w:r>
        <w:t>证据边界：网站开发者多客户场景是假设案例，待真实用户核对。竞品依据为2026-10-26公开一手资料，未穷尽全球检索。5人7天试用、目标阈值与历史试价均待验证。</w:t>
      </w:r>
    </w:p>
    <w:p>
      <w:r>
        <w:br w:type="page"/>
      </w:r>
    </w:p>
    <w:p>
      <w:pPr>
        <w:pStyle w:val="Title"/>
      </w:pPr>
      <w:r>
        <w:t>第一卷 / 商业化白皮书与商业计划书</w:t>
      </w:r>
    </w:p>
    <w:p>
      <w:r>
        <w:t>文档版本：v5.0 · 2026-10-27。阶段：本地单人真实案例试用改善版。本文区分已批准设计、价值假设与已取得证据；实现与测试状态见implementation-v5-status.md，v4记录保留为历史基线。</w:t>
      </w:r>
    </w:p>
    <w:p>
      <w:pPr>
        <w:pStyle w:val="Heading1"/>
      </w:pPr>
      <w:r>
        <w:t>一、定位与购买理由</w:t>
      </w:r>
    </w:p>
    <w:p>
      <w:r>
        <w:t>Looma 面向独立接单者、顾问和小工作室主理人，帮助他们在客户沟通后记清责任，在被打断后继续整理，在隔几天回来时找到下一步。</w:t>
      </w:r>
    </w:p>
    <w:p>
      <w:r>
        <w:t>首轮主张是“让客户沟通有清楚的收尾，让下一次处理有可靠的起点”。用户粘贴一段沟通后，系统先保存草稿，再把候选分成核对内容、我方下一步、等待客户和仍待确认。用户掌握修改与确认权；成功收尾后留下可回看的内部回执、项目记录与来源，方便后续接续和纠错。</w:t>
      </w:r>
    </w:p>
    <w:p>
      <w:r>
        <w:t>使用者、数据拥有者与潜在付费方通常是同一个人，首轮因此选择单人工作流程。生活态保留，但不把个人生活管理、团队 CRM 和企业管理同时作为首发商业任务。</w:t>
      </w:r>
    </w:p>
    <w:p>
      <w:r>
        <w:t>本轮用“网站开发者同时处理多个客户”构造假设案例：聊完客户后，开发者既要记下周五发原型，也要等待客户下周一补素材，同时把新增页面费用未定留为问题。这是假设情境，用于检查产品与工程，不是访谈发现或已有使用者证言；真实试用首先需要核对它是否贴近目标用户。</w:t>
      </w:r>
    </w:p>
    <w:p>
      <w:pPr>
        <w:pStyle w:val="Heading1"/>
      </w:pPr>
      <w:r>
        <w:t>二、问题与价值假设</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cantSplit/>
          <w:tblHeader/>
        </w:trPr>
        <w:tc>
          <w:tcPr>
            <w:tcW w:type="dxa" w:w="1701"/>
            <w:vAlign w:val="center"/>
            <w:shd w:fill="E4F0ED"/>
          </w:tcPr>
          <w:p>
            <w:pPr>
              <w:keepNext/>
              <w:spacing w:after="80" w:before="80" w:line="276" w:lineRule="auto"/>
            </w:pPr>
            <w:r>
              <w:rPr>
                <w:b/>
                <w:color w:val="183344"/>
                <w:sz w:val="18"/>
              </w:rPr>
              <w:t>用户任务</w:t>
            </w:r>
          </w:p>
        </w:tc>
        <w:tc>
          <w:tcPr>
            <w:tcW w:type="dxa" w:w="2324"/>
            <w:vAlign w:val="center"/>
            <w:shd w:fill="E4F0ED"/>
          </w:tcPr>
          <w:p>
            <w:pPr>
              <w:keepNext/>
              <w:spacing w:after="80" w:before="80" w:line="276" w:lineRule="auto"/>
            </w:pPr>
            <w:r>
              <w:rPr>
                <w:b/>
                <w:color w:val="183344"/>
                <w:sz w:val="18"/>
              </w:rPr>
              <w:t>当前可能付出的成本</w:t>
            </w:r>
          </w:p>
        </w:tc>
        <w:tc>
          <w:tcPr>
            <w:tcW w:type="dxa" w:w="2835"/>
            <w:vAlign w:val="center"/>
            <w:shd w:fill="E4F0ED"/>
          </w:tcPr>
          <w:p>
            <w:pPr>
              <w:keepNext/>
              <w:spacing w:after="80" w:before="80" w:line="276" w:lineRule="auto"/>
            </w:pPr>
            <w:r>
              <w:rPr>
                <w:b/>
                <w:color w:val="183344"/>
                <w:sz w:val="18"/>
              </w:rPr>
              <w:t>Looma 的设计回应</w:t>
            </w:r>
          </w:p>
        </w:tc>
        <w:tc>
          <w:tcPr>
            <w:tcW w:type="dxa" w:w="2608"/>
            <w:vAlign w:val="center"/>
            <w:shd w:fill="E4F0ED"/>
          </w:tcPr>
          <w:p>
            <w:pPr>
              <w:keepNext/>
              <w:spacing w:after="80" w:before="80" w:line="276" w:lineRule="auto"/>
            </w:pPr>
            <w:r>
              <w:rPr>
                <w:b/>
                <w:color w:val="183344"/>
                <w:sz w:val="18"/>
              </w:rPr>
              <w:t>待收集证据</w:t>
            </w:r>
          </w:p>
        </w:tc>
      </w:tr>
      <w:tr>
        <w:trPr>
          <w:cantSplit/>
        </w:trPr>
        <w:tc>
          <w:tcPr>
            <w:tcW w:type="dxa" w:w="1701"/>
            <w:vAlign w:val="center"/>
          </w:tcPr>
          <w:p>
            <w:pPr>
              <w:keepNext w:val="0"/>
              <w:spacing w:after="80" w:before="80" w:line="276" w:lineRule="auto"/>
            </w:pPr>
            <w:r>
              <w:rPr>
                <w:sz w:val="18"/>
              </w:rPr>
              <w:t>会谈后整理零散信息</w:t>
            </w:r>
          </w:p>
        </w:tc>
        <w:tc>
          <w:tcPr>
            <w:tcW w:type="dxa" w:w="2324"/>
            <w:vAlign w:val="center"/>
          </w:tcPr>
          <w:p>
            <w:pPr>
              <w:keepNext w:val="0"/>
              <w:spacing w:after="80" w:before="80" w:line="276" w:lineRule="auto"/>
            </w:pPr>
            <w:r>
              <w:rPr>
                <w:sz w:val="18"/>
              </w:rPr>
              <w:t>重复复制、分类、填字段，混淆责任</w:t>
            </w:r>
          </w:p>
        </w:tc>
        <w:tc>
          <w:tcPr>
            <w:tcW w:type="dxa" w:w="2835"/>
            <w:vAlign w:val="center"/>
          </w:tcPr>
          <w:p>
            <w:pPr>
              <w:keepNext w:val="0"/>
              <w:spacing w:after="80" w:before="80" w:line="276" w:lineRule="auto"/>
            </w:pPr>
            <w:r>
              <w:rPr>
                <w:sz w:val="18"/>
              </w:rPr>
              <w:t>四类沟通收尾卡，核对我方、客户与未定事项</w:t>
            </w:r>
          </w:p>
        </w:tc>
        <w:tc>
          <w:tcPr>
            <w:tcW w:type="dxa" w:w="2608"/>
            <w:vAlign w:val="center"/>
          </w:tcPr>
          <w:p>
            <w:pPr>
              <w:keepNext w:val="0"/>
              <w:spacing w:after="80" w:before="80" w:line="276" w:lineRule="auto"/>
            </w:pPr>
            <w:r>
              <w:rPr>
                <w:sz w:val="18"/>
              </w:rPr>
              <w:t>整理耗时、修正次数、责任辨认</w:t>
            </w:r>
          </w:p>
        </w:tc>
      </w:tr>
      <w:tr>
        <w:trPr>
          <w:cantSplit/>
        </w:trPr>
        <w:tc>
          <w:tcPr>
            <w:tcW w:type="dxa" w:w="1701"/>
            <w:vAlign w:val="center"/>
          </w:tcPr>
          <w:p>
            <w:pPr>
              <w:keepNext w:val="0"/>
              <w:spacing w:after="80" w:before="80" w:line="276" w:lineRule="auto"/>
            </w:pPr>
            <w:r>
              <w:rPr>
                <w:sz w:val="18"/>
              </w:rPr>
              <w:t>整理途中被打断</w:t>
            </w:r>
          </w:p>
        </w:tc>
        <w:tc>
          <w:tcPr>
            <w:tcW w:type="dxa" w:w="2324"/>
            <w:vAlign w:val="center"/>
          </w:tcPr>
          <w:p>
            <w:pPr>
              <w:keepNext w:val="0"/>
              <w:spacing w:after="80" w:before="80" w:line="276" w:lineRule="auto"/>
            </w:pPr>
            <w:r>
              <w:rPr>
                <w:sz w:val="18"/>
              </w:rPr>
              <w:t>原文丢失、重写或忘记核对进度</w:t>
            </w:r>
          </w:p>
        </w:tc>
        <w:tc>
          <w:tcPr>
            <w:tcW w:type="dxa" w:w="2835"/>
            <w:vAlign w:val="center"/>
          </w:tcPr>
          <w:p>
            <w:pPr>
              <w:keepNext w:val="0"/>
              <w:spacing w:after="80" w:before="80" w:line="276" w:lineRule="auto"/>
            </w:pPr>
            <w:r>
              <w:rPr>
                <w:sz w:val="18"/>
              </w:rPr>
              <w:t>本地保存草稿和手动编辑，返回可继续</w:t>
            </w:r>
          </w:p>
        </w:tc>
        <w:tc>
          <w:tcPr>
            <w:tcW w:type="dxa" w:w="2608"/>
            <w:vAlign w:val="center"/>
          </w:tcPr>
          <w:p>
            <w:pPr>
              <w:keepNext w:val="0"/>
              <w:spacing w:after="80" w:before="80" w:line="276" w:lineRule="auto"/>
            </w:pPr>
            <w:r>
              <w:rPr>
                <w:sz w:val="18"/>
              </w:rPr>
              <w:t>恢复成功率、重新寻找与输入负担</w:t>
            </w:r>
          </w:p>
        </w:tc>
      </w:tr>
      <w:tr>
        <w:trPr>
          <w:cantSplit/>
        </w:trPr>
        <w:tc>
          <w:tcPr>
            <w:tcW w:type="dxa" w:w="1701"/>
            <w:vAlign w:val="center"/>
          </w:tcPr>
          <w:p>
            <w:pPr>
              <w:keepNext w:val="0"/>
              <w:spacing w:after="80" w:before="80" w:line="276" w:lineRule="auto"/>
            </w:pPr>
            <w:r>
              <w:rPr>
                <w:sz w:val="18"/>
              </w:rPr>
              <w:t>隔几天维护下一步</w:t>
            </w:r>
          </w:p>
        </w:tc>
        <w:tc>
          <w:tcPr>
            <w:tcW w:type="dxa" w:w="2324"/>
            <w:vAlign w:val="center"/>
          </w:tcPr>
          <w:p>
            <w:pPr>
              <w:keepNext w:val="0"/>
              <w:spacing w:after="80" w:before="80" w:line="276" w:lineRule="auto"/>
            </w:pPr>
            <w:r>
              <w:rPr>
                <w:sz w:val="18"/>
              </w:rPr>
              <w:t>靠聊天翻找，忘记此前做了什么</w:t>
            </w:r>
          </w:p>
        </w:tc>
        <w:tc>
          <w:tcPr>
            <w:tcW w:type="dxa" w:w="2835"/>
            <w:vAlign w:val="center"/>
          </w:tcPr>
          <w:p>
            <w:pPr>
              <w:keepNext w:val="0"/>
              <w:spacing w:after="80" w:before="80" w:line="276" w:lineRule="auto"/>
            </w:pPr>
            <w:r>
              <w:rPr>
                <w:sz w:val="18"/>
              </w:rPr>
              <w:t>首页接续、项目当前值和最近沟通依据</w:t>
            </w:r>
          </w:p>
        </w:tc>
        <w:tc>
          <w:tcPr>
            <w:tcW w:type="dxa" w:w="2608"/>
            <w:vAlign w:val="center"/>
          </w:tcPr>
          <w:p>
            <w:pPr>
              <w:keepNext w:val="0"/>
              <w:spacing w:after="80" w:before="80" w:line="276" w:lineRule="auto"/>
            </w:pPr>
            <w:r>
              <w:rPr>
                <w:sz w:val="18"/>
              </w:rPr>
              <w:t>跨日找到下一步所需步骤、重复使用</w:t>
            </w:r>
          </w:p>
        </w:tc>
      </w:tr>
      <w:tr>
        <w:trPr>
          <w:cantSplit/>
        </w:trPr>
        <w:tc>
          <w:tcPr>
            <w:tcW w:type="dxa" w:w="1701"/>
            <w:vAlign w:val="center"/>
          </w:tcPr>
          <w:p>
            <w:pPr>
              <w:keepNext w:val="0"/>
              <w:spacing w:after="80" w:before="80" w:line="276" w:lineRule="auto"/>
            </w:pPr>
            <w:r>
              <w:rPr>
                <w:sz w:val="18"/>
              </w:rPr>
              <w:t>向客户复述沟通结果</w:t>
            </w:r>
          </w:p>
        </w:tc>
        <w:tc>
          <w:tcPr>
            <w:tcW w:type="dxa" w:w="2324"/>
            <w:vAlign w:val="center"/>
          </w:tcPr>
          <w:p>
            <w:pPr>
              <w:keepNext w:val="0"/>
              <w:spacing w:after="80" w:before="80" w:line="276" w:lineRule="auto"/>
            </w:pPr>
            <w:r>
              <w:rPr>
                <w:sz w:val="18"/>
              </w:rPr>
              <w:t>重新组织文字、排版、核对敏感信息</w:t>
            </w:r>
          </w:p>
        </w:tc>
        <w:tc>
          <w:tcPr>
            <w:tcW w:type="dxa" w:w="2835"/>
            <w:vAlign w:val="center"/>
          </w:tcPr>
          <w:p>
            <w:pPr>
              <w:keepNext w:val="0"/>
              <w:spacing w:after="80" w:before="80" w:line="276" w:lineRule="auto"/>
            </w:pPr>
            <w:r>
              <w:rPr>
                <w:sz w:val="18"/>
              </w:rPr>
              <w:t>选取明确字段形成待确认纪要</w:t>
            </w:r>
          </w:p>
        </w:tc>
        <w:tc>
          <w:tcPr>
            <w:tcW w:type="dxa" w:w="2608"/>
            <w:vAlign w:val="center"/>
          </w:tcPr>
          <w:p>
            <w:pPr>
              <w:keepNext w:val="0"/>
              <w:spacing w:after="80" w:before="80" w:line="276" w:lineRule="auto"/>
            </w:pPr>
            <w:r>
              <w:rPr>
                <w:sz w:val="18"/>
              </w:rPr>
              <w:t>纪要准备耗时、实际采用情况</w:t>
            </w:r>
          </w:p>
        </w:tc>
      </w:tr>
      <w:tr>
        <w:trPr>
          <w:cantSplit/>
        </w:trPr>
        <w:tc>
          <w:tcPr>
            <w:tcW w:type="dxa" w:w="1701"/>
            <w:vAlign w:val="center"/>
          </w:tcPr>
          <w:p>
            <w:pPr>
              <w:keepNext w:val="0"/>
              <w:spacing w:after="80" w:before="80" w:line="276" w:lineRule="auto"/>
            </w:pPr>
            <w:r>
              <w:rPr>
                <w:sz w:val="18"/>
              </w:rPr>
              <w:t>更正 AI 整理结果</w:t>
            </w:r>
          </w:p>
        </w:tc>
        <w:tc>
          <w:tcPr>
            <w:tcW w:type="dxa" w:w="2324"/>
            <w:vAlign w:val="center"/>
          </w:tcPr>
          <w:p>
            <w:pPr>
              <w:keepNext w:val="0"/>
              <w:spacing w:after="80" w:before="80" w:line="276" w:lineRule="auto"/>
            </w:pPr>
            <w:r>
              <w:rPr>
                <w:sz w:val="18"/>
              </w:rPr>
              <w:t>隐性错误、反复找字段</w:t>
            </w:r>
          </w:p>
        </w:tc>
        <w:tc>
          <w:tcPr>
            <w:tcW w:type="dxa" w:w="2835"/>
            <w:vAlign w:val="center"/>
          </w:tcPr>
          <w:p>
            <w:pPr>
              <w:keepNext w:val="0"/>
              <w:spacing w:after="80" w:before="80" w:line="276" w:lineRule="auto"/>
            </w:pPr>
            <w:r>
              <w:rPr>
                <w:sz w:val="18"/>
              </w:rPr>
              <w:t>确认前编辑，提交后逐步撤销</w:t>
            </w:r>
          </w:p>
        </w:tc>
        <w:tc>
          <w:tcPr>
            <w:tcW w:type="dxa" w:w="2608"/>
            <w:vAlign w:val="center"/>
          </w:tcPr>
          <w:p>
            <w:pPr>
              <w:keepNext w:val="0"/>
              <w:spacing w:after="80" w:before="80" w:line="276" w:lineRule="auto"/>
            </w:pPr>
            <w:r>
              <w:rPr>
                <w:sz w:val="18"/>
              </w:rPr>
              <w:t>发现与修正错误所需操作</w:t>
            </w:r>
          </w:p>
        </w:tc>
      </w:tr>
    </w:tbl>
    <w:p>
      <w:pPr>
        <w:spacing w:after="40"/>
      </w:pPr>
    </w:p>
    <w:p>
      <w:r>
        <w:t>这些问题是目标场景假设，尚未构成已验证的市场规模或收益结论。本文不沿用没有来源的“记账 30 日留存不足 8%”“销售每天填写 CRM 1.8 小时”“73% 视作行政负担”等数字。</w:t>
      </w:r>
    </w:p>
    <w:p>
      <w:pPr>
        <w:pStyle w:val="Heading1"/>
      </w:pPr>
      <w:r>
        <w:t>三、竞争事实与差异化意义</w:t>
      </w:r>
    </w:p>
    <w:p>
      <w:r>
        <w:t>核查日期为 2026-10-26，范围为以下产品公开的一手功能资料，不是完整全球竞品调查。</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1814"/>
            <w:vAlign w:val="center"/>
            <w:shd w:fill="E4F0ED"/>
          </w:tcPr>
          <w:p>
            <w:pPr>
              <w:keepNext/>
              <w:spacing w:after="80" w:before="80" w:line="276" w:lineRule="auto"/>
            </w:pPr>
            <w:r>
              <w:rPr>
                <w:b/>
                <w:color w:val="183344"/>
                <w:sz w:val="18"/>
              </w:rPr>
              <w:t>产品</w:t>
            </w:r>
          </w:p>
        </w:tc>
        <w:tc>
          <w:tcPr>
            <w:tcW w:type="dxa" w:w="3798"/>
            <w:vAlign w:val="center"/>
            <w:shd w:fill="E4F0ED"/>
          </w:tcPr>
          <w:p>
            <w:pPr>
              <w:keepNext/>
              <w:spacing w:after="80" w:before="80" w:line="276" w:lineRule="auto"/>
            </w:pPr>
            <w:r>
              <w:rPr>
                <w:b/>
                <w:color w:val="183344"/>
                <w:sz w:val="18"/>
              </w:rPr>
              <w:t>官方资料支持的重叠能力</w:t>
            </w:r>
          </w:p>
        </w:tc>
        <w:tc>
          <w:tcPr>
            <w:tcW w:type="dxa" w:w="3855"/>
            <w:vAlign w:val="center"/>
            <w:shd w:fill="E4F0ED"/>
          </w:tcPr>
          <w:p>
            <w:pPr>
              <w:keepNext/>
              <w:spacing w:after="80" w:before="80" w:line="276" w:lineRule="auto"/>
            </w:pPr>
            <w:r>
              <w:rPr>
                <w:b/>
                <w:color w:val="183344"/>
                <w:sz w:val="18"/>
              </w:rPr>
              <w:t>对 Looma 的启示</w:t>
            </w:r>
          </w:p>
        </w:tc>
      </w:tr>
      <w:tr>
        <w:trPr>
          <w:cantSplit/>
        </w:trPr>
        <w:tc>
          <w:tcPr>
            <w:tcW w:type="dxa" w:w="1814"/>
            <w:vAlign w:val="center"/>
          </w:tcPr>
          <w:p>
            <w:pPr>
              <w:keepNext w:val="0"/>
              <w:spacing w:after="80" w:before="80" w:line="276" w:lineRule="auto"/>
            </w:pPr>
            <w:r>
              <w:rPr>
                <w:sz w:val="18"/>
              </w:rPr>
              <w:t>Dex</w:t>
            </w:r>
          </w:p>
        </w:tc>
        <w:tc>
          <w:tcPr>
            <w:tcW w:type="dxa" w:w="3798"/>
            <w:vAlign w:val="center"/>
          </w:tcPr>
          <w:p>
            <w:pPr>
              <w:keepNext w:val="0"/>
              <w:spacing w:after="80" w:before="80" w:line="276" w:lineRule="auto"/>
            </w:pPr>
            <w:r>
              <w:rPr>
                <w:sz w:val="18"/>
              </w:rPr>
              <w:t>对话搜索人脉，创建或更新联系人、笔记与提醒</w:t>
            </w:r>
          </w:p>
        </w:tc>
        <w:tc>
          <w:tcPr>
            <w:tcW w:type="dxa" w:w="3855"/>
            <w:vAlign w:val="center"/>
          </w:tcPr>
          <w:p>
            <w:pPr>
              <w:keepNext w:val="0"/>
              <w:spacing w:after="80" w:before="80" w:line="276" w:lineRule="auto"/>
            </w:pPr>
            <w:r>
              <w:rPr>
                <w:sz w:val="18"/>
              </w:rPr>
              <w:t>对话式联系人维护已存在，不能将其描述为独占能力</w:t>
            </w:r>
          </w:p>
        </w:tc>
      </w:tr>
      <w:tr>
        <w:trPr>
          <w:cantSplit/>
        </w:trPr>
        <w:tc>
          <w:tcPr>
            <w:tcW w:type="dxa" w:w="1814"/>
            <w:vAlign w:val="center"/>
          </w:tcPr>
          <w:p>
            <w:pPr>
              <w:keepNext w:val="0"/>
              <w:spacing w:after="80" w:before="80" w:line="276" w:lineRule="auto"/>
            </w:pPr>
            <w:r>
              <w:rPr>
                <w:sz w:val="18"/>
              </w:rPr>
              <w:t>Tana</w:t>
            </w:r>
          </w:p>
        </w:tc>
        <w:tc>
          <w:tcPr>
            <w:tcW w:type="dxa" w:w="3798"/>
            <w:vAlign w:val="center"/>
          </w:tcPr>
          <w:p>
            <w:pPr>
              <w:keepNext w:val="0"/>
              <w:spacing w:after="80" w:before="80" w:line="276" w:lineRule="auto"/>
            </w:pPr>
            <w:r>
              <w:rPr>
                <w:sz w:val="18"/>
              </w:rPr>
              <w:t>把语音笔记转录并整理成结构化内容与字段</w:t>
            </w:r>
          </w:p>
        </w:tc>
        <w:tc>
          <w:tcPr>
            <w:tcW w:type="dxa" w:w="3855"/>
            <w:vAlign w:val="center"/>
          </w:tcPr>
          <w:p>
            <w:pPr>
              <w:keepNext w:val="0"/>
              <w:spacing w:after="80" w:before="80" w:line="276" w:lineRule="auto"/>
            </w:pPr>
            <w:r>
              <w:rPr>
                <w:sz w:val="18"/>
              </w:rPr>
              <w:t>自然语言到结构化资料已有成熟方向</w:t>
            </w:r>
          </w:p>
        </w:tc>
      </w:tr>
      <w:tr>
        <w:trPr>
          <w:cantSplit/>
        </w:trPr>
        <w:tc>
          <w:tcPr>
            <w:tcW w:type="dxa" w:w="1814"/>
            <w:vAlign w:val="center"/>
          </w:tcPr>
          <w:p>
            <w:pPr>
              <w:keepNext w:val="0"/>
              <w:spacing w:after="80" w:before="80" w:line="276" w:lineRule="auto"/>
            </w:pPr>
            <w:r>
              <w:rPr>
                <w:sz w:val="18"/>
              </w:rPr>
              <w:t>folk</w:t>
            </w:r>
          </w:p>
        </w:tc>
        <w:tc>
          <w:tcPr>
            <w:tcW w:type="dxa" w:w="3798"/>
            <w:vAlign w:val="center"/>
          </w:tcPr>
          <w:p>
            <w:pPr>
              <w:keepNext w:val="0"/>
              <w:spacing w:after="80" w:before="80" w:line="276" w:lineRule="auto"/>
            </w:pPr>
            <w:r>
              <w:rPr>
                <w:sz w:val="18"/>
              </w:rPr>
              <w:t>从笔记、邮件等来源自动更新 CRM 字段</w:t>
            </w:r>
          </w:p>
        </w:tc>
        <w:tc>
          <w:tcPr>
            <w:tcW w:type="dxa" w:w="3855"/>
            <w:vAlign w:val="center"/>
          </w:tcPr>
          <w:p>
            <w:pPr>
              <w:keepNext w:val="0"/>
              <w:spacing w:after="80" w:before="80" w:line="276" w:lineRule="auto"/>
            </w:pPr>
            <w:r>
              <w:rPr>
                <w:sz w:val="18"/>
              </w:rPr>
              <w:t>“不用逐格填写”本身不足以构成壁垒</w:t>
            </w:r>
          </w:p>
        </w:tc>
      </w:tr>
    </w:tbl>
    <w:p>
      <w:pPr>
        <w:spacing w:after="40"/>
      </w:pPr>
    </w:p>
    <w:p>
      <w:r>
        <w:t>来源：</w:t>
      </w:r>
      <w:hyperlink r:id="rId11">
        <w:r>
          <w:rPr>
            <w:color w:val="136E6A"/>
          </w:rPr>
          <w:t>Dex Voice Mode</w:t>
        </w:r>
      </w:hyperlink>
      <w:r>
        <w:t>、</w:t>
      </w:r>
      <w:hyperlink r:id="rId12">
        <w:r>
          <w:rPr>
            <w:color w:val="136E6A"/>
          </w:rPr>
          <w:t>Tana Voice Memos</w:t>
        </w:r>
      </w:hyperlink>
      <w:r>
        <w:t>、</w:t>
      </w:r>
      <w:hyperlink r:id="rId13">
        <w:r>
          <w:rPr>
            <w:color w:val="136E6A"/>
          </w:rPr>
          <w:t>folk AI Fields</w:t>
        </w:r>
      </w:hyperlink>
      <w:r>
        <w:t>。此处依据功能说明，不代表对这些产品完成了独立使用评测。</w:t>
      </w:r>
    </w:p>
    <w:p>
      <w:r>
        <w:t>Looma 应验证的差异化是：在轻量本地流程中，把沟通后收尾、中断恢复、跨日接续和可逆纠错衔接起来，帮助特定用户少翻找、少补做、分清责任。自然语言提取只是其中一步。没有发现完全相同的组合，不等于全球没有替代品；组合新颖也可能带来市场教育成本。</w:t>
      </w:r>
    </w:p>
    <w:p>
      <w:pPr>
        <w:pStyle w:val="Heading1"/>
      </w:pPr>
      <w:r>
        <w:t>四、优势建设与风险</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1814"/>
            <w:vAlign w:val="center"/>
            <w:shd w:fill="E4F0ED"/>
          </w:tcPr>
          <w:p>
            <w:pPr>
              <w:keepNext/>
              <w:spacing w:after="80" w:before="80" w:line="276" w:lineRule="auto"/>
            </w:pPr>
            <w:r>
              <w:rPr>
                <w:b/>
                <w:color w:val="183344"/>
                <w:sz w:val="18"/>
              </w:rPr>
              <w:t>潜在优势</w:t>
            </w:r>
          </w:p>
        </w:tc>
        <w:tc>
          <w:tcPr>
            <w:tcW w:type="dxa" w:w="3798"/>
            <w:vAlign w:val="center"/>
            <w:shd w:fill="E4F0ED"/>
          </w:tcPr>
          <w:p>
            <w:pPr>
              <w:keepNext/>
              <w:spacing w:after="80" w:before="80" w:line="276" w:lineRule="auto"/>
            </w:pPr>
            <w:r>
              <w:rPr>
                <w:b/>
                <w:color w:val="183344"/>
                <w:sz w:val="18"/>
              </w:rPr>
              <w:t>建设方式</w:t>
            </w:r>
          </w:p>
        </w:tc>
        <w:tc>
          <w:tcPr>
            <w:tcW w:type="dxa" w:w="3855"/>
            <w:vAlign w:val="center"/>
            <w:shd w:fill="E4F0ED"/>
          </w:tcPr>
          <w:p>
            <w:pPr>
              <w:keepNext/>
              <w:spacing w:after="80" w:before="80" w:line="276" w:lineRule="auto"/>
            </w:pPr>
            <w:r>
              <w:rPr>
                <w:b/>
                <w:color w:val="183344"/>
                <w:sz w:val="18"/>
              </w:rPr>
              <w:t>当前限制</w:t>
            </w:r>
          </w:p>
        </w:tc>
      </w:tr>
      <w:tr>
        <w:trPr>
          <w:cantSplit/>
        </w:trPr>
        <w:tc>
          <w:tcPr>
            <w:tcW w:type="dxa" w:w="1814"/>
            <w:vAlign w:val="center"/>
          </w:tcPr>
          <w:p>
            <w:pPr>
              <w:keepNext w:val="0"/>
              <w:spacing w:after="80" w:before="80" w:line="276" w:lineRule="auto"/>
            </w:pPr>
            <w:r>
              <w:rPr>
                <w:sz w:val="18"/>
              </w:rPr>
              <w:t>更短的收尾路径</w:t>
            </w:r>
          </w:p>
        </w:tc>
        <w:tc>
          <w:tcPr>
            <w:tcW w:type="dxa" w:w="3798"/>
            <w:vAlign w:val="center"/>
          </w:tcPr>
          <w:p>
            <w:pPr>
              <w:keepNext w:val="0"/>
              <w:spacing w:after="80" w:before="80" w:line="276" w:lineRule="auto"/>
            </w:pPr>
            <w:r>
              <w:rPr>
                <w:sz w:val="18"/>
              </w:rPr>
              <w:t>原文草稿、四类核对和项目更新衔接；常用动作就近完成</w:t>
            </w:r>
          </w:p>
        </w:tc>
        <w:tc>
          <w:tcPr>
            <w:tcW w:type="dxa" w:w="3855"/>
            <w:vAlign w:val="center"/>
          </w:tcPr>
          <w:p>
            <w:pPr>
              <w:keepNext w:val="0"/>
              <w:spacing w:after="80" w:before="80" w:line="276" w:lineRule="auto"/>
            </w:pPr>
            <w:r>
              <w:rPr>
                <w:sz w:val="18"/>
              </w:rPr>
              <w:t>本地规则覆盖有限，复杂表达可能需要模型增强或人工核对</w:t>
            </w:r>
          </w:p>
        </w:tc>
      </w:tr>
      <w:tr>
        <w:trPr>
          <w:cantSplit/>
        </w:trPr>
        <w:tc>
          <w:tcPr>
            <w:tcW w:type="dxa" w:w="1814"/>
            <w:vAlign w:val="center"/>
          </w:tcPr>
          <w:p>
            <w:pPr>
              <w:keepNext w:val="0"/>
              <w:spacing w:after="80" w:before="80" w:line="276" w:lineRule="auto"/>
            </w:pPr>
            <w:r>
              <w:rPr>
                <w:sz w:val="18"/>
              </w:rPr>
              <w:t>更可靠的再次处理</w:t>
            </w:r>
          </w:p>
        </w:tc>
        <w:tc>
          <w:tcPr>
            <w:tcW w:type="dxa" w:w="3798"/>
            <w:vAlign w:val="center"/>
          </w:tcPr>
          <w:p>
            <w:pPr>
              <w:keepNext w:val="0"/>
              <w:spacing w:after="80" w:before="80" w:line="276" w:lineRule="auto"/>
            </w:pPr>
            <w:r>
              <w:rPr>
                <w:sz w:val="18"/>
              </w:rPr>
              <w:t>已保存草稿、持久回执、项目下一步及最近依据可接续</w:t>
            </w:r>
          </w:p>
        </w:tc>
        <w:tc>
          <w:tcPr>
            <w:tcW w:type="dxa" w:w="3855"/>
            <w:vAlign w:val="center"/>
          </w:tcPr>
          <w:p>
            <w:pPr>
              <w:keepNext w:val="0"/>
              <w:spacing w:after="80" w:before="80" w:line="276" w:lineRule="auto"/>
            </w:pPr>
            <w:r>
              <w:rPr>
                <w:sz w:val="18"/>
              </w:rPr>
              <w:t>保留最近成功保存版本；仍需真实用户验证查找成本</w:t>
            </w:r>
          </w:p>
        </w:tc>
      </w:tr>
      <w:tr>
        <w:trPr>
          <w:cantSplit/>
        </w:trPr>
        <w:tc>
          <w:tcPr>
            <w:tcW w:type="dxa" w:w="1814"/>
            <w:vAlign w:val="center"/>
          </w:tcPr>
          <w:p>
            <w:pPr>
              <w:keepNext w:val="0"/>
              <w:spacing w:after="80" w:before="80" w:line="276" w:lineRule="auto"/>
            </w:pPr>
            <w:r>
              <w:rPr>
                <w:sz w:val="18"/>
              </w:rPr>
              <w:t>更可信的自动化</w:t>
            </w:r>
          </w:p>
        </w:tc>
        <w:tc>
          <w:tcPr>
            <w:tcW w:type="dxa" w:w="3798"/>
            <w:vAlign w:val="center"/>
          </w:tcPr>
          <w:p>
            <w:pPr>
              <w:keepNext w:val="0"/>
              <w:spacing w:after="80" w:before="80" w:line="276" w:lineRule="auto"/>
            </w:pPr>
            <w:r>
              <w:rPr>
                <w:sz w:val="18"/>
              </w:rPr>
              <w:t>统一提交、批次一致性、来源与撤销</w:t>
            </w:r>
          </w:p>
        </w:tc>
        <w:tc>
          <w:tcPr>
            <w:tcW w:type="dxa" w:w="3855"/>
            <w:vAlign w:val="center"/>
          </w:tcPr>
          <w:p>
            <w:pPr>
              <w:keepNext w:val="0"/>
              <w:spacing w:after="80" w:before="80" w:line="276" w:lineRule="auto"/>
            </w:pPr>
            <w:r>
              <w:rPr>
                <w:sz w:val="18"/>
              </w:rPr>
              <w:t>用户仍需审阅；不能保证所有语义判断正确</w:t>
            </w:r>
          </w:p>
        </w:tc>
      </w:tr>
      <w:tr>
        <w:trPr>
          <w:cantSplit/>
        </w:trPr>
        <w:tc>
          <w:tcPr>
            <w:tcW w:type="dxa" w:w="1814"/>
            <w:vAlign w:val="center"/>
          </w:tcPr>
          <w:p>
            <w:pPr>
              <w:keepNext w:val="0"/>
              <w:spacing w:after="80" w:before="80" w:line="276" w:lineRule="auto"/>
            </w:pPr>
            <w:r>
              <w:rPr>
                <w:sz w:val="18"/>
              </w:rPr>
              <w:t>记录转为交付材料</w:t>
            </w:r>
          </w:p>
        </w:tc>
        <w:tc>
          <w:tcPr>
            <w:tcW w:type="dxa" w:w="3798"/>
            <w:vAlign w:val="center"/>
          </w:tcPr>
          <w:p>
            <w:pPr>
              <w:keepNext w:val="0"/>
              <w:spacing w:after="80" w:before="80" w:line="276" w:lineRule="auto"/>
            </w:pPr>
            <w:r>
              <w:rPr>
                <w:sz w:val="18"/>
              </w:rPr>
              <w:t>独立外发字段、用户选择、可编辑预览</w:t>
            </w:r>
          </w:p>
        </w:tc>
        <w:tc>
          <w:tcPr>
            <w:tcW w:type="dxa" w:w="3855"/>
            <w:vAlign w:val="center"/>
          </w:tcPr>
          <w:p>
            <w:pPr>
              <w:keepNext w:val="0"/>
              <w:spacing w:after="80" w:before="80" w:line="276" w:lineRule="auto"/>
            </w:pPr>
            <w:r>
              <w:rPr>
                <w:sz w:val="18"/>
              </w:rPr>
              <w:t>不替客户确认事实，不承诺自动识别一切敏感文字</w:t>
            </w:r>
          </w:p>
        </w:tc>
      </w:tr>
      <w:tr>
        <w:trPr>
          <w:cantSplit/>
        </w:trPr>
        <w:tc>
          <w:tcPr>
            <w:tcW w:type="dxa" w:w="1814"/>
            <w:vAlign w:val="center"/>
          </w:tcPr>
          <w:p>
            <w:pPr>
              <w:keepNext w:val="0"/>
              <w:spacing w:after="80" w:before="80" w:line="276" w:lineRule="auto"/>
            </w:pPr>
            <w:r>
              <w:rPr>
                <w:sz w:val="18"/>
              </w:rPr>
              <w:t>本地使用与成本控制</w:t>
            </w:r>
          </w:p>
        </w:tc>
        <w:tc>
          <w:tcPr>
            <w:tcW w:type="dxa" w:w="3798"/>
            <w:vAlign w:val="center"/>
          </w:tcPr>
          <w:p>
            <w:pPr>
              <w:keepNext w:val="0"/>
              <w:spacing w:after="80" w:before="80" w:line="276" w:lineRule="auto"/>
            </w:pPr>
            <w:r>
              <w:rPr>
                <w:sz w:val="18"/>
              </w:rPr>
              <w:t>基础流程离线；模型由用户主动配置</w:t>
            </w:r>
          </w:p>
        </w:tc>
        <w:tc>
          <w:tcPr>
            <w:tcW w:type="dxa" w:w="3855"/>
            <w:vAlign w:val="center"/>
          </w:tcPr>
          <w:p>
            <w:pPr>
              <w:keepNext w:val="0"/>
              <w:spacing w:after="80" w:before="80" w:line="276" w:lineRule="auto"/>
            </w:pPr>
            <w:r>
              <w:rPr>
                <w:sz w:val="18"/>
              </w:rPr>
              <w:t>业务数据为逻辑分区，本轮没有业务数据加密或多用户权限</w:t>
            </w:r>
          </w:p>
        </w:tc>
      </w:tr>
      <w:tr>
        <w:trPr>
          <w:cantSplit/>
        </w:trPr>
        <w:tc>
          <w:tcPr>
            <w:tcW w:type="dxa" w:w="1814"/>
            <w:vAlign w:val="center"/>
          </w:tcPr>
          <w:p>
            <w:pPr>
              <w:keepNext w:val="0"/>
              <w:spacing w:after="80" w:before="80" w:line="276" w:lineRule="auto"/>
            </w:pPr>
            <w:r>
              <w:rPr>
                <w:sz w:val="18"/>
              </w:rPr>
              <w:t>长期领域经验</w:t>
            </w:r>
          </w:p>
        </w:tc>
        <w:tc>
          <w:tcPr>
            <w:tcW w:type="dxa" w:w="3798"/>
            <w:vAlign w:val="center"/>
          </w:tcPr>
          <w:p>
            <w:pPr>
              <w:keepNext w:val="0"/>
              <w:spacing w:after="80" w:before="80" w:line="276" w:lineRule="auto"/>
            </w:pPr>
            <w:r>
              <w:rPr>
                <w:sz w:val="18"/>
              </w:rPr>
              <w:t>在授权范围内沉淀行业模板和错误案例</w:t>
            </w:r>
          </w:p>
        </w:tc>
        <w:tc>
          <w:tcPr>
            <w:tcW w:type="dxa" w:w="3855"/>
            <w:vAlign w:val="center"/>
          </w:tcPr>
          <w:p>
            <w:pPr>
              <w:keepNext w:val="0"/>
              <w:spacing w:after="80" w:before="80" w:line="276" w:lineRule="auto"/>
            </w:pPr>
            <w:r>
              <w:rPr>
                <w:sz w:val="18"/>
              </w:rPr>
              <w:t>尚无试用数据证明留存或竞争壁垒；用户数据不等于企业可自由利用的资产</w:t>
            </w:r>
          </w:p>
        </w:tc>
      </w:tr>
    </w:tbl>
    <w:p>
      <w:pPr>
        <w:spacing w:after="40"/>
      </w:pPr>
    </w:p>
    <w:p>
      <w:r>
        <w:t>真正需要积累的是可靠工作流程、经验证的模板与用户使用习惯。首轮不使用“物理隔离”“100% 安全”“永不遗忘”“零获客成本”等绝对化宣传。</w:t>
      </w:r>
    </w:p>
    <w:p>
      <w:r>
        <w:t>沿用原创暖白浅绿豆形小精灵与双叶冠，以真实操作状态提供轻量引导，胶囊只显示通用状态。本轮不增加亲密承诺、未使用惩罚或虚假关怀通知。分层记忆继续区分当前项目、已确认事实、摘要和原文；业务纠正应落到项目值，不能只修一条记忆文本。外观亲和力、复用意愿和付费意愿仍需试用，不能由形象设计直接推出留存改善。</w:t>
      </w:r>
    </w:p>
    <w:p>
      <w:r>
        <w:t>长期使用价值应来自资料的可用性：用户能查到当时原文、分清当前值与旧说法、主动纠正或忘记，并保留本地控制权。桌面SQLite、浏览器IndexedDB逐条保存，日常只读有限近期记录，回忆使用有限证据。索引和摘要可以重建，原始档案保留到用户主动删除；历史总量和磁盘占用仍会增长，不承诺无限容量或零维护。</w:t>
      </w:r>
    </w:p>
    <w:p>
      <w:pPr>
        <w:pStyle w:val="Heading1"/>
      </w:pPr>
      <w:r>
        <w:t>五、商业模式与试价假设</w:t>
      </w:r>
    </w:p>
    <w:p>
      <w:r>
        <w:t>本轮不提供支付入口、官方模型额度、云同步或团队权限。先验证单人产品价值，再决定收费边界。</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1814"/>
            <w:vAlign w:val="center"/>
            <w:shd w:fill="E4F0ED"/>
          </w:tcPr>
          <w:p>
            <w:pPr>
              <w:keepNext/>
              <w:spacing w:after="80" w:before="80" w:line="276" w:lineRule="auto"/>
            </w:pPr>
            <w:r>
              <w:rPr>
                <w:b/>
                <w:color w:val="183344"/>
                <w:sz w:val="18"/>
              </w:rPr>
              <w:t>假设层级</w:t>
            </w:r>
          </w:p>
        </w:tc>
        <w:tc>
          <w:tcPr>
            <w:tcW w:type="dxa" w:w="3798"/>
            <w:vAlign w:val="center"/>
            <w:shd w:fill="E4F0ED"/>
          </w:tcPr>
          <w:p>
            <w:pPr>
              <w:keepNext/>
              <w:spacing w:after="80" w:before="80" w:line="276" w:lineRule="auto"/>
            </w:pPr>
            <w:r>
              <w:rPr>
                <w:b/>
                <w:color w:val="183344"/>
                <w:sz w:val="18"/>
              </w:rPr>
              <w:t>可能的后续价格参考</w:t>
            </w:r>
          </w:p>
        </w:tc>
        <w:tc>
          <w:tcPr>
            <w:tcW w:type="dxa" w:w="3855"/>
            <w:vAlign w:val="center"/>
            <w:shd w:fill="E4F0ED"/>
          </w:tcPr>
          <w:p>
            <w:pPr>
              <w:keepNext/>
              <w:spacing w:after="80" w:before="80" w:line="276" w:lineRule="auto"/>
            </w:pPr>
            <w:r>
              <w:rPr>
                <w:b/>
                <w:color w:val="183344"/>
                <w:sz w:val="18"/>
              </w:rPr>
              <w:t>进入验证的前提</w:t>
            </w:r>
          </w:p>
        </w:tc>
      </w:tr>
      <w:tr>
        <w:trPr>
          <w:cantSplit/>
        </w:trPr>
        <w:tc>
          <w:tcPr>
            <w:tcW w:type="dxa" w:w="1814"/>
            <w:vAlign w:val="center"/>
          </w:tcPr>
          <w:p>
            <w:pPr>
              <w:keepNext w:val="0"/>
              <w:spacing w:after="80" w:before="80" w:line="276" w:lineRule="auto"/>
            </w:pPr>
            <w:r>
              <w:rPr>
                <w:sz w:val="18"/>
              </w:rPr>
              <w:t>本地基础 / BYOK</w:t>
            </w:r>
          </w:p>
        </w:tc>
        <w:tc>
          <w:tcPr>
            <w:tcW w:type="dxa" w:w="3798"/>
            <w:vAlign w:val="center"/>
          </w:tcPr>
          <w:p>
            <w:pPr>
              <w:keepNext w:val="0"/>
              <w:spacing w:after="80" w:before="80" w:line="276" w:lineRule="auto"/>
            </w:pPr>
            <w:r>
              <w:rPr>
                <w:sz w:val="18"/>
              </w:rPr>
              <w:t>免费或一次性方案待定</w:t>
            </w:r>
          </w:p>
        </w:tc>
        <w:tc>
          <w:tcPr>
            <w:tcW w:type="dxa" w:w="3855"/>
            <w:vAlign w:val="center"/>
          </w:tcPr>
          <w:p>
            <w:pPr>
              <w:keepNext w:val="0"/>
              <w:spacing w:after="80" w:before="80" w:line="276" w:lineRule="auto"/>
            </w:pPr>
            <w:r>
              <w:rPr>
                <w:sz w:val="18"/>
              </w:rPr>
              <w:t>基础流程可靠、分发和支持成本可计量</w:t>
            </w:r>
          </w:p>
        </w:tc>
      </w:tr>
      <w:tr>
        <w:trPr>
          <w:cantSplit/>
        </w:trPr>
        <w:tc>
          <w:tcPr>
            <w:tcW w:type="dxa" w:w="1814"/>
            <w:vAlign w:val="center"/>
          </w:tcPr>
          <w:p>
            <w:pPr>
              <w:keepNext w:val="0"/>
              <w:spacing w:after="80" w:before="80" w:line="276" w:lineRule="auto"/>
            </w:pPr>
            <w:r>
              <w:rPr>
                <w:sz w:val="18"/>
              </w:rPr>
              <w:t>单人专业版</w:t>
            </w:r>
          </w:p>
        </w:tc>
        <w:tc>
          <w:tcPr>
            <w:tcW w:type="dxa" w:w="3798"/>
            <w:vAlign w:val="center"/>
          </w:tcPr>
          <w:p>
            <w:pPr>
              <w:keepNext w:val="0"/>
              <w:spacing w:after="80" w:before="80" w:line="276" w:lineRule="auto"/>
            </w:pPr>
            <w:r>
              <w:rPr>
                <w:sz w:val="18"/>
              </w:rPr>
              <w:t>¥28/月、¥268/年为历史试价参考</w:t>
            </w:r>
          </w:p>
        </w:tc>
        <w:tc>
          <w:tcPr>
            <w:tcW w:type="dxa" w:w="3855"/>
            <w:vAlign w:val="center"/>
          </w:tcPr>
          <w:p>
            <w:pPr>
              <w:keepNext w:val="0"/>
              <w:spacing w:after="80" w:before="80" w:line="276" w:lineRule="auto"/>
            </w:pPr>
            <w:r>
              <w:rPr>
                <w:sz w:val="18"/>
              </w:rPr>
              <w:t>目标用户重复使用，并愿意为节省时间与交付便利付费</w:t>
            </w:r>
          </w:p>
        </w:tc>
      </w:tr>
      <w:tr>
        <w:trPr>
          <w:cantSplit/>
        </w:trPr>
        <w:tc>
          <w:tcPr>
            <w:tcW w:type="dxa" w:w="1814"/>
            <w:vAlign w:val="center"/>
          </w:tcPr>
          <w:p>
            <w:pPr>
              <w:keepNext w:val="0"/>
              <w:spacing w:after="80" w:before="80" w:line="276" w:lineRule="auto"/>
            </w:pPr>
            <w:r>
              <w:rPr>
                <w:sz w:val="18"/>
              </w:rPr>
              <w:t>团队版路线图</w:t>
            </w:r>
          </w:p>
        </w:tc>
        <w:tc>
          <w:tcPr>
            <w:tcW w:type="dxa" w:w="3798"/>
            <w:vAlign w:val="center"/>
          </w:tcPr>
          <w:p>
            <w:pPr>
              <w:keepNext w:val="0"/>
              <w:spacing w:after="80" w:before="80" w:line="276" w:lineRule="auto"/>
            </w:pPr>
            <w:r>
              <w:rPr>
                <w:sz w:val="18"/>
              </w:rPr>
              <w:t>¥128/席位/月仅为后续试价参考</w:t>
            </w:r>
          </w:p>
        </w:tc>
        <w:tc>
          <w:tcPr>
            <w:tcW w:type="dxa" w:w="3855"/>
            <w:vAlign w:val="center"/>
          </w:tcPr>
          <w:p>
            <w:pPr>
              <w:keepNext w:val="0"/>
              <w:spacing w:after="80" w:before="80" w:line="276" w:lineRule="auto"/>
            </w:pPr>
            <w:r>
              <w:rPr>
                <w:sz w:val="18"/>
              </w:rPr>
              <w:t>单人价值已验证，另行完成组织、权限、数据归属与撤权设计</w:t>
            </w:r>
          </w:p>
        </w:tc>
      </w:tr>
    </w:tbl>
    <w:p>
      <w:pPr>
        <w:spacing w:after="40"/>
      </w:pPr>
    </w:p>
    <w:p>
      <w:r>
        <w:t>以上不是已经销售的套餐，不承诺免费权益永久不变，也不推导确定毛利。后续需要分别核算模型、分发、同步、支付、存储、支持与销售成本。水印外发可能产生自然曝光，但导出量不能替代实际分享、访问、激活或付费转化。</w:t>
      </w:r>
    </w:p>
    <w:p>
      <w:pPr>
        <w:pStyle w:val="Heading1"/>
      </w:pPr>
      <w:r>
        <w:t>六、首轮试用实验</w:t>
      </w:r>
    </w:p>
    <w:p>
      <w:r>
        <w:t>工程验收完成后，由项目负责人安排 5 名目标用户试用 7 天，不由代理自动联系或发送邀请。采用本地记录模板，不默认上传业务资料或远程采集行为。</w:t>
      </w:r>
    </w:p>
    <w:p>
      <w:r>
        <w:t>每人选择可脱敏的真实案例，分别记录原有方式与 Looma 的整理耗时、修正次数、完成的跟进、纪要采用情况和愿付价格。案例应尽量相近，避免把熟练程度变化当作产品收益。</w:t>
      </w:r>
    </w:p>
    <w:p>
      <w:r>
        <w:t>先核对网站开发者假设案例与实际工作是否相符，再观察：能否分清我方、客户及未定事项；被打断后能否继续；跨日能否找到下一步；仍需原工具补做什么。记录失败和未使用原因，不通过增加陪伴提醒人为制造活跃。</w:t>
      </w:r>
    </w:p>
    <w:p>
      <w:r>
        <w:t>初始目标：多数用户无需指导完成第一次沟通收尾；同类案例整理耗时下降约 50%；至少 3 人在一周内跨 3 天重复处理真实事项。这些均为待检验阈值，未执行前不能写成产品成绩。小样本只能用于早期方向判断，不代表总体留存或市场转化率。</w:t>
      </w:r>
    </w:p>
    <w:p>
      <w:r>
        <w:t>继续投入的依据是重复使用、修正负担可接受、交付材料被采用及真实付费意愿。若用户仍主要依赖原工具，优先定位流程摩擦，而不是扩展更多卡片。</w:t>
      </w:r>
    </w:p>
    <w:p>
      <w:pPr>
        <w:pStyle w:val="Heading1"/>
      </w:pPr>
      <w:r>
        <w:t>七、后续路线图</w:t>
      </w:r>
    </w:p>
    <w:p>
      <w:r>
        <w:t>当前交付目标：单人文字沟通收尾、草稿恢复、项目接续、明确操作直存及可逆纠错；沿用双态逻辑分区、受控模型、运行时提醒、待确认纪要、原创小精灵和SQLite/IndexedDB长期归档。实现情况与工程验收单独记录，不把批准设计等同完成。</w:t>
      </w:r>
    </w:p>
    <w:p>
      <w:r>
        <w:t>后续需另行验证：语音与截图录入、任意卡结构、跨设备同步、官方模型服务、团队权限、企业数据归属与收费。每项扩展都需要独立成本、隐私和验收设计，不能因已列入路线图就宣传为现有能力。</w:t>
      </w:r>
    </w:p>
    <w:p>
      <w:r>
        <w:br w:type="page"/>
      </w:r>
    </w:p>
    <w:p>
      <w:pPr>
        <w:pStyle w:val="Title"/>
      </w:pPr>
      <w:r>
        <w:t>第二卷 / 产品需求规格说明书</w:t>
      </w:r>
    </w:p>
    <w:p>
      <w:r>
        <w:t>版本：v5.0 · 批准日期 2026-10-27。目标版本：沟通有清楚收尾、下次处理有可靠起点的本地单人试用改善版。实际完成状态以implementation-v5-status.md和验收输出为准。</w:t>
      </w:r>
    </w:p>
    <w:p>
      <w:pPr>
        <w:pStyle w:val="Heading1"/>
      </w:pPr>
      <w:r>
        <w:t>一、目标用户与首轮范围</w:t>
      </w:r>
    </w:p>
    <w:p>
      <w:r>
        <w:t>首发用户为独立接单者、顾问和小工作室主理人。核心任务是刚聊完能记清，被打断能继续，隔几天能接上，发现错误能改对。“网站开发者同时处理多个客户”为假设案例，用于设计与工程验收，须由后续真实目标用户核对，不能表述为已有访谈结论。</w:t>
      </w:r>
    </w:p>
    <w:p>
      <w:r>
        <w:t>工作态承担本轮商业验证。生活态继续保留记账、个人状态、亲友备忘与手账，首轮只处理必要的隔离、迁移和恢复兼容问题。自报身体状态仅为个人记录，不表现为客观测量或诊断。</w:t>
      </w:r>
    </w:p>
    <w:p>
      <w:r>
        <w:t>本轮不做语音转写、截图识别、任意结构造卡、官方云模型、云同步、账户支付、多人 CRM、团队权限或退出应用后的后台提醒。</w:t>
      </w:r>
    </w:p>
    <w:p>
      <w:pPr>
        <w:pStyle w:val="Heading1"/>
      </w:pPr>
      <w:r>
        <w:t>二、首页、草稿与沟通收尾</w:t>
      </w:r>
    </w:p>
    <w:p>
      <w:pPr>
        <w:pStyle w:val="ListNumber"/>
      </w:pPr>
      <w:r>
        <w:t>空工作区突出“记下刚才的沟通”，演练入口明确标注，不生成真实客户。有资料后提供未完成整理、今日事项与最近沟通，每组先显示最多3项，可进入完整列表；今日和逾期分开，等待客户与未定问题独立呈现。</w:t>
      </w:r>
    </w:p>
    <w:p>
      <w:pPr>
        <w:pStyle w:val="ListNumber"/>
      </w:pPr>
      <w:r>
        <w:t>输入、项目归属和手动编辑候选在停止编辑500毫秒后尝试本地保存，显示未保存、保存中、已保存或失败。草稿不改变业务版本；查看记忆、项目、切换空间后可继续。正常桌面退出前尝试保存；浏览器离开前提示未落盘内容，异常关闭只承诺最近成功保存的版本。</w:t>
      </w:r>
    </w:p>
    <w:p>
      <w:pPr>
        <w:pStyle w:val="ListNumber"/>
      </w:pPr>
      <w:r>
        <w:t>本地规则或主动开启的模型提出候选，项目尚不改变。人物或项目不明确时只追问关键归属，可搜索已有项目，或明确填写普通姓名并预览新建；用户不必重写原文。也可仅保存原文，准确说明未更新项目或安排提醒。</w:t>
      </w:r>
    </w:p>
    <w:p>
      <w:pPr>
        <w:pStyle w:val="ListNumber"/>
      </w:pPr>
      <w:r>
        <w:t>核对页按项目呈现核对内容、我方下一步、等待客户和仍待确认；优先展示变化、修改前值和原文依据，完整字段按需展开。用户可编辑、忽略或返回继续整理。</w:t>
      </w:r>
    </w:p>
    <w:p>
      <w:pPr>
        <w:pStyle w:val="ListNumber"/>
      </w:pPr>
      <w:r>
        <w:t>确认后校验结构、关联和基础版本，在同一事务内保存业务、变更事件、持久收尾记录并结束草稿。回执说明保存了什么、我方行动、等待及未定内容，提供查看项目、继续记录和准备纪要；存在等待或未定事项时不称“全部完成”。</w:t>
      </w:r>
    </w:p>
    <w:p>
      <w:r>
        <w:t>未确认时使用“待核对”“发现候选变更”，不得说“已更新”。回执中的“已核对”只表示用户核对了记录，不代表客户已经确认共识。无法理解的内容保留原文供核对，不编造预算、行动、人物或成交结果。失败写入、连接失败或无可识别内容，不得以陪伴模板伪装为记录成功。</w:t>
      </w:r>
    </w:p>
    <w:p>
      <w:r>
        <w:t>同一输入版本和批次重复确认返回同一回执，不重复行动。提交结果分为已提交、被拒绝和暂不确定；成功写入但刷新失败时说明已保存、可重读，结果暂不确定时保留草稿并按批次核查。旧预览遇到新编辑时保留输入与手改；基础值未变的编辑可沿用，冲突字段展示当前值和拟修改值，由用户选择。</w:t>
      </w:r>
    </w:p>
    <w:p>
      <w:r>
        <w:t>项目详情集中当前值、下一步、等待项、问题与最近依据，可从预算或行动进入修改。自然语言和推断先核对；明确完成或重新打开直接保存，成功才更新状态，失败留在原列表并保留原状态。撤销绑定对应最近事件，不能撤销后续操作，也不重新激活已结束草稿。</w:t>
      </w:r>
    </w:p>
    <w:p>
      <w:r>
        <w:t>生活态保留原有识别交互，但一条输入涉及的生活业务更新必须一次保存，并按来源消息防止重复应用；原文与回复分别保存。业务成功而回复保存失败时，界面明确提示记录已经保存、请查看卡片且不要重复提交，不能将回复故障解释成业务未记录。</w:t>
      </w:r>
    </w:p>
    <w:p>
      <w:pPr>
        <w:pStyle w:val="Heading1"/>
      </w:pPr>
      <w:r>
        <w:t>三、客户合作项目与待办</w:t>
      </w:r>
    </w:p>
    <w:p>
      <w:r>
        <w:t>客户合作项目包括客户名称、项目标题、可未知的预算、当前阶段、内部资料、可外发摘要和下一步行动。同一客户可有多个合作项目；名字相同或指代不清时要求选择目标，不默认修改第一位客户。</w:t>
      </w:r>
    </w:p>
    <w:p>
      <w:r>
        <w:t>待办包括标题、完成状态、优先级、可选项目关联、原始截止日期表达与确认后的时间。旧资料中无明确关联的任务保留为未关联，不自动猜测归属。</w:t>
      </w:r>
    </w:p>
    <w:p>
      <w:r>
        <w:t>等待客户和待确认问题使用独立跟进项，包含项目、标题、开放或已处理状态与来源。客户预计提供日期／时刻与用户自设回访时间分开保存；未设置回访时间不自动催促。费用尚未谈定形成问题，不填入确定预算。</w:t>
      </w:r>
    </w:p>
    <w:p>
      <w:r>
        <w:t>必须覆盖以下语义边界：</w:t>
      </w:r>
    </w:p>
    <w:tbl>
      <w:tblPr>
        <w:tblStyle w:val="TableGrid"/>
        <w:tblW w:type="auto" w:w="0"/>
        <w:jc w:val="center"/>
        <w:tblLayout w:type="fixed"/>
        <w:tblLook w:firstColumn="1" w:firstRow="1" w:lastColumn="0" w:lastRow="0" w:noHBand="0" w:noVBand="1" w:val="04A0"/>
      </w:tblPr>
      <w:tblGrid>
        <w:gridCol w:w="4734"/>
        <w:gridCol w:w="4734"/>
      </w:tblGrid>
      <w:tr>
        <w:trPr>
          <w:cantSplit/>
          <w:tblHeader/>
        </w:trPr>
        <w:tc>
          <w:tcPr>
            <w:tcW w:type="dxa" w:w="4734"/>
            <w:vAlign w:val="center"/>
            <w:shd w:fill="E4F0ED"/>
          </w:tcPr>
          <w:p>
            <w:pPr>
              <w:keepNext/>
              <w:spacing w:after="80" w:before="80" w:line="276" w:lineRule="auto"/>
            </w:pPr>
            <w:r>
              <w:rPr>
                <w:b/>
                <w:color w:val="183344"/>
                <w:sz w:val="18"/>
              </w:rPr>
              <w:t>输入示例</w:t>
            </w:r>
          </w:p>
        </w:tc>
        <w:tc>
          <w:tcPr>
            <w:tcW w:type="dxa" w:w="4734"/>
            <w:vAlign w:val="center"/>
            <w:shd w:fill="E4F0ED"/>
          </w:tcPr>
          <w:p>
            <w:pPr>
              <w:keepNext/>
              <w:spacing w:after="80" w:before="80" w:line="276" w:lineRule="auto"/>
            </w:pPr>
            <w:r>
              <w:rPr>
                <w:b/>
                <w:color w:val="183344"/>
                <w:sz w:val="18"/>
              </w:rPr>
              <w:t>预期行为</w:t>
            </w:r>
          </w:p>
        </w:tc>
      </w:tr>
      <w:tr>
        <w:trPr>
          <w:cantSplit/>
        </w:trPr>
        <w:tc>
          <w:tcPr>
            <w:tcW w:type="dxa" w:w="4734"/>
            <w:vAlign w:val="center"/>
          </w:tcPr>
          <w:p>
            <w:pPr>
              <w:keepNext w:val="0"/>
              <w:spacing w:after="80" w:before="80" w:line="276" w:lineRule="auto"/>
            </w:pPr>
            <w:r>
              <w:rPr>
                <w:sz w:val="18"/>
              </w:rPr>
              <w:t>“王总预算 300 元”</w:t>
            </w:r>
          </w:p>
        </w:tc>
        <w:tc>
          <w:tcPr>
            <w:tcW w:type="dxa" w:w="4734"/>
            <w:vAlign w:val="center"/>
          </w:tcPr>
          <w:p>
            <w:pPr>
              <w:keepNext w:val="0"/>
              <w:spacing w:after="80" w:before="80" w:line="276" w:lineRule="auto"/>
            </w:pPr>
            <w:r>
              <w:rPr>
                <w:sz w:val="18"/>
              </w:rPr>
              <w:t>候选预算为 300 元，不能按小数额自动乘一万</w:t>
            </w:r>
          </w:p>
        </w:tc>
      </w:tr>
      <w:tr>
        <w:trPr>
          <w:cantSplit/>
        </w:trPr>
        <w:tc>
          <w:tcPr>
            <w:tcW w:type="dxa" w:w="4734"/>
            <w:vAlign w:val="center"/>
          </w:tcPr>
          <w:p>
            <w:pPr>
              <w:keepNext w:val="0"/>
              <w:spacing w:after="80" w:before="80" w:line="276" w:lineRule="auto"/>
            </w:pPr>
            <w:r>
              <w:rPr>
                <w:sz w:val="18"/>
              </w:rPr>
              <w:t>“预算从 8 万改为 12 万”</w:t>
            </w:r>
          </w:p>
        </w:tc>
        <w:tc>
          <w:tcPr>
            <w:tcW w:type="dxa" w:w="4734"/>
            <w:vAlign w:val="center"/>
          </w:tcPr>
          <w:p>
            <w:pPr>
              <w:keepNext w:val="0"/>
              <w:spacing w:after="80" w:before="80" w:line="276" w:lineRule="auto"/>
            </w:pPr>
            <w:r>
              <w:rPr>
                <w:sz w:val="18"/>
              </w:rPr>
              <w:t>在目标项目明确时提出最终预算 120000 元</w:t>
            </w:r>
          </w:p>
        </w:tc>
      </w:tr>
      <w:tr>
        <w:trPr>
          <w:cantSplit/>
        </w:trPr>
        <w:tc>
          <w:tcPr>
            <w:tcW w:type="dxa" w:w="4734"/>
            <w:vAlign w:val="center"/>
          </w:tcPr>
          <w:p>
            <w:pPr>
              <w:keepNext w:val="0"/>
              <w:spacing w:after="80" w:before="80" w:line="276" w:lineRule="auto"/>
            </w:pPr>
            <w:r>
              <w:rPr>
                <w:sz w:val="18"/>
              </w:rPr>
              <w:t>“还没成交” / “如果成交”</w:t>
            </w:r>
          </w:p>
        </w:tc>
        <w:tc>
          <w:tcPr>
            <w:tcW w:type="dxa" w:w="4734"/>
            <w:vAlign w:val="center"/>
          </w:tcPr>
          <w:p>
            <w:pPr>
              <w:keepNext w:val="0"/>
              <w:spacing w:after="80" w:before="80" w:line="276" w:lineRule="auto"/>
            </w:pPr>
            <w:r>
              <w:rPr>
                <w:sz w:val="18"/>
              </w:rPr>
              <w:t>不提出已经赢单的状态</w:t>
            </w:r>
          </w:p>
        </w:tc>
      </w:tr>
      <w:tr>
        <w:trPr>
          <w:cantSplit/>
        </w:trPr>
        <w:tc>
          <w:tcPr>
            <w:tcW w:type="dxa" w:w="4734"/>
            <w:vAlign w:val="center"/>
          </w:tcPr>
          <w:p>
            <w:pPr>
              <w:keepNext w:val="0"/>
              <w:spacing w:after="80" w:before="80" w:line="276" w:lineRule="auto"/>
            </w:pPr>
            <w:r>
              <w:rPr>
                <w:sz w:val="18"/>
              </w:rPr>
              <w:t>“张总和李总预算不同”</w:t>
            </w:r>
          </w:p>
        </w:tc>
        <w:tc>
          <w:tcPr>
            <w:tcW w:type="dxa" w:w="4734"/>
            <w:vAlign w:val="center"/>
          </w:tcPr>
          <w:p>
            <w:pPr>
              <w:keepNext w:val="0"/>
              <w:spacing w:after="80" w:before="80" w:line="276" w:lineRule="auto"/>
            </w:pPr>
            <w:r>
              <w:rPr>
                <w:sz w:val="18"/>
              </w:rPr>
              <w:t>分清实体，信息不足则提示核对，不互相覆盖</w:t>
            </w:r>
          </w:p>
        </w:tc>
      </w:tr>
      <w:tr>
        <w:trPr>
          <w:cantSplit/>
        </w:trPr>
        <w:tc>
          <w:tcPr>
            <w:tcW w:type="dxa" w:w="4734"/>
            <w:vAlign w:val="center"/>
          </w:tcPr>
          <w:p>
            <w:pPr>
              <w:keepNext w:val="0"/>
              <w:spacing w:after="80" w:before="80" w:line="276" w:lineRule="auto"/>
            </w:pPr>
            <w:r>
              <w:rPr>
                <w:sz w:val="18"/>
              </w:rPr>
              <w:t>“预算 300”</w:t>
            </w:r>
          </w:p>
        </w:tc>
        <w:tc>
          <w:tcPr>
            <w:tcW w:type="dxa" w:w="4734"/>
            <w:vAlign w:val="center"/>
          </w:tcPr>
          <w:p>
            <w:pPr>
              <w:keepNext w:val="0"/>
              <w:spacing w:after="80" w:before="80" w:line="276" w:lineRule="auto"/>
            </w:pPr>
            <w:r>
              <w:rPr>
                <w:sz w:val="18"/>
              </w:rPr>
              <w:t>提示单位待核对，不猜测元或万元</w:t>
            </w:r>
          </w:p>
        </w:tc>
      </w:tr>
      <w:tr>
        <w:trPr>
          <w:cantSplit/>
        </w:trPr>
        <w:tc>
          <w:tcPr>
            <w:tcW w:type="dxa" w:w="4734"/>
            <w:vAlign w:val="center"/>
          </w:tcPr>
          <w:p>
            <w:pPr>
              <w:keepNext w:val="0"/>
              <w:spacing w:after="80" w:before="80" w:line="276" w:lineRule="auto"/>
            </w:pPr>
            <w:r>
              <w:rPr>
                <w:sz w:val="18"/>
              </w:rPr>
              <w:t>“下周三前发方案”</w:t>
            </w:r>
          </w:p>
        </w:tc>
        <w:tc>
          <w:tcPr>
            <w:tcW w:type="dxa" w:w="4734"/>
            <w:vAlign w:val="center"/>
          </w:tcPr>
          <w:p>
            <w:pPr>
              <w:keepNext w:val="0"/>
              <w:spacing w:after="80" w:before="80" w:line="276" w:lineRule="auto"/>
            </w:pPr>
            <w:r>
              <w:rPr>
                <w:sz w:val="18"/>
              </w:rPr>
              <w:t>以输入时的 Asia/Shanghai 日期解释，并展示绝对日期</w:t>
            </w:r>
          </w:p>
        </w:tc>
      </w:tr>
      <w:tr>
        <w:trPr>
          <w:cantSplit/>
        </w:trPr>
        <w:tc>
          <w:tcPr>
            <w:tcW w:type="dxa" w:w="4734"/>
            <w:vAlign w:val="center"/>
          </w:tcPr>
          <w:p>
            <w:pPr>
              <w:keepNext w:val="0"/>
              <w:spacing w:after="80" w:before="80" w:line="276" w:lineRule="auto"/>
            </w:pPr>
            <w:r>
              <w:rPr>
                <w:sz w:val="18"/>
              </w:rPr>
              <w:t>“我周五发原型，客户下周一补素材，新增页面费用未定”</w:t>
            </w:r>
          </w:p>
        </w:tc>
        <w:tc>
          <w:tcPr>
            <w:tcW w:type="dxa" w:w="4734"/>
            <w:vAlign w:val="center"/>
          </w:tcPr>
          <w:p>
            <w:pPr>
              <w:keepNext w:val="0"/>
              <w:spacing w:after="80" w:before="80" w:line="276" w:lineRule="auto"/>
            </w:pPr>
            <w:r>
              <w:rPr>
                <w:sz w:val="18"/>
              </w:rPr>
              <w:t>我方行动、等待客户与未定费用分别记录，不把客户事项算成我方逾期</w:t>
            </w:r>
          </w:p>
        </w:tc>
      </w:tr>
    </w:tbl>
    <w:p>
      <w:pPr>
        <w:spacing w:after="40"/>
      </w:pPr>
    </w:p>
    <w:p>
      <w:r>
        <w:t>我方待办只有日期时默认当天09:00提醒，确认时可修改；客户只说“下周一”时保留日期粒度，不能把09:00补成对方承诺。歧义或不支持的时间表达保留原文，不能静默变为臆测日期。</w:t>
      </w:r>
    </w:p>
    <w:p>
      <w:pPr>
        <w:pStyle w:val="Heading1"/>
      </w:pPr>
      <w:r>
        <w:t>四、空间与隐私交互</w:t>
      </w:r>
    </w:p>
    <w:p>
      <w:r>
        <w:t>生活和工作采用同一本地应用中的逻辑分区。每次读取、写入、查询、日记生成、回执和导出都指定当前空间；关闭跨区关键词写入与工作压力扣减生活精力。</w:t>
      </w:r>
    </w:p>
    <w:p>
      <w:r>
        <w:t>切换空间后，旧请求结果仍只属于发起请求的空间，不覆盖当前界面。工作态不展示生活记录、记忆或手账。</w:t>
      </w:r>
    </w:p>
    <w:p>
      <w:r>
        <w:t>用户在当前空间主动输入的原文仍保留在当前空间；“未跨区写入”不能被描述为已经从原文中清除了全部隐私。界面使用“本地逻辑分区”等真实表述，不显示“物理隔离”“私人数据已加密”或绝对防窥承诺。</w:t>
      </w:r>
    </w:p>
    <w:p>
      <w:r>
        <w:t>首次真实工作区为空；示例内容通过明确入口展示，不计入真实客户或预算。旧数据迁移不调用自动返回示例内容的默认 getter。</w:t>
      </w:r>
    </w:p>
    <w:p>
      <w:pPr>
        <w:pStyle w:val="Heading1"/>
      </w:pPr>
      <w:r>
        <w:t>五、模型增强与失败反馈</w:t>
      </w:r>
    </w:p>
    <w:p>
      <w:r>
        <w:t>默认基础流程在本地运行，覆盖有限中文规则。Windows 桌面可以主动开启自配 OpenAI 兼容模型或 Ollama；浏览器预览仅支持本地流程，不索取模型 Key。</w:t>
      </w:r>
    </w:p>
    <w:p>
      <w:r>
        <w:t>开启模型增强时说明发送范围：当前输入和所选项目必要字段，默认不附加内部备注、其他项目或另一空间资料。模型只提出候选，不调用写入工具，不直接修改记录。</w:t>
      </w:r>
    </w:p>
    <w:p>
      <w:r>
        <w:t>模型配置状态应区分未配置、关闭、已配置、请求中、成功和失败。主进程保存并使用 Key，界面保存后只显示是否已配置。超时、取消、无效结构或服务失败均保留原文供重试，重试不得重复提交业务变更。</w:t>
      </w:r>
    </w:p>
    <w:p>
      <w:r>
        <w:t>检测到旧凭据时，每次桌面启动继续尝试安全迁移；不覆盖已配置的新连接或 Ollama，旧连接加密归档。只有加密落盘成功后才清理旧浏览器字段，迁移或清理失败时下次重试。用户清除模型配置时同时清除当前连接与旧连接归档。</w:t>
      </w:r>
    </w:p>
    <w:p>
      <w:pPr>
        <w:pStyle w:val="Heading1"/>
      </w:pPr>
      <w:r>
        <w:t>六、提醒与重新打开</w:t>
      </w:r>
    </w:p>
    <w:p>
      <w:r>
        <w:t>工作台提供今日与逾期我方待办；等待与未定项不混入。应用运行（含胶囊状态）时检查到期事项，可发出不含客户名称、报价或内部备注的系统提示；系统通知不可用时保留应用内提醒。预计客户日期仅作记录，用户明确设置回访时间才用于回访提醒。</w:t>
      </w:r>
    </w:p>
    <w:p>
      <w:r>
        <w:t>重新打开时汇总遗漏事项，不逐条制造通知风暴。已完成任务不提醒；相同任务的同一到期提醒避免重复。退出应用后不继续后台提醒，不启用开机启动或托盘常驻机制。</w:t>
      </w:r>
    </w:p>
    <w:p>
      <w:pPr>
        <w:pStyle w:val="Heading1"/>
      </w:pPr>
      <w:r>
        <w:t>七、沟通纪要草稿</w:t>
      </w:r>
    </w:p>
    <w:p>
      <w:r>
        <w:t>默认标题为“沟通纪要草稿／待对方确认”。内部沟通收尾卡的“准备纪要”进入独立审核流程；用户选择项目与需要带出的事项，编辑并预览后可复制文本或导出 PNG。收尾卡不直接作为外发文件。</w:t>
      </w:r>
    </w:p>
    <w:p>
      <w:r>
        <w:t>外发草稿只由明确允许的字段构造，不读取原始聊天、内部资料、未确认内容或另一空间。预算默认不选入。任务是否带出由用户勾选；缺少对方确认依据的内容不能自动标成“已达成共识”或“我方承诺”。</w:t>
      </w:r>
    </w:p>
    <w:p>
      <w:r>
        <w:t>内部字段排除不能保证用户主动填写的可外发文字中一定没有敏感内容，因此最终预览必须显示实际将外发的全部文字。产品不自动发送纪要，也不替客户确认内容。</w:t>
      </w:r>
    </w:p>
    <w:p>
      <w:pPr>
        <w:pStyle w:val="Heading1"/>
      </w:pPr>
      <w:r>
        <w:t>八、备份、恢复与验收</w:t>
      </w:r>
    </w:p>
    <w:p>
      <w:r>
        <w:t>应用与完整备份升级v5，包含两区业务、自定义卡、日记、事实、摘要、变更历史及新增草稿、跟进项和收尾记录，不含凭据。接受v3/v4完整资料，缺少新类型按空集合处理，旧业务值保持原样。库版本与索引升级在可回退事务内完成；恢复先完整校验再原子替换。无旧5MB硬限制，浏览器仍受内存和配额约束，桌面大备份使用流式JSONL和暂存库。</w:t>
      </w:r>
    </w:p>
    <w:p>
      <w:r>
        <w:t>若本地快照损坏导致工作区无法打开，错误边界保留原始数据，提供“选择有效备份 → 明确确认替换双空间 → 校验并恢复”的入口。坏备份或恢复写入失败不覆盖原快照，不自动清空数据来掩盖读取错误。</w:t>
      </w:r>
    </w:p>
    <w:p>
      <w:r>
        <w:t>工程验收覆盖完整旅程、草稿中断/刷新/重启、仅存原文、普通姓名、多人物、预算300元、金额更正、否定假设、责任分类、日期粒度、双击确认、结果未知、成功后刷新失败、明确操作失败、旧预览冲突及迟到模型。另验旧库升级、坏备份不覆盖、完整恢复、撤销、删除传播与万条历史下有界查询。浏览器与Electron必须实际运行，静态检查不能替代；现有Electron依赖链高危审计项仍为公开分发门槛。</w:t>
      </w:r>
    </w:p>
    <w:p>
      <w:r>
        <w:t>商业试用另由负责人安排5名目标用户完成7天实验，先核对假设案例，再记录耗时、修正、重复使用、纪要采用、付费意愿，以及责任辨认、中断恢复、跨日接续与仍需原工具补做步骤。目标阈值与成绩分开，未执行不宣称收益已验证。</w:t>
      </w:r>
    </w:p>
    <w:p>
      <w:pPr>
        <w:pStyle w:val="Heading1"/>
      </w:pPr>
      <w:r>
        <w:t>九、原创伴侣与胶囊</w:t>
      </w:r>
    </w:p>
    <w:p>
      <w:r>
        <w:t>伴侣采用原创小精灵：暖白浅绿、圆润豆形、双叶冠、深绿眼睛与短四肢。生活态和工作态是同一个Looma，不使用真人或IP替身。SVG与CSS在本地显示，不依赖图片网络请求。工作时克制、生活时轻微浮动；遵从减少动态效果设置，按钮支持键盘。</w:t>
      </w:r>
    </w:p>
    <w:p>
      <w:r>
        <w:t>状态由真实信号决定，优先级为错误、处理中、待核对、刚保存、到期提醒、空闲。保存失败不得显示成功动作；提醒依据真实未完成事项，不制造“想你了”等虚假事件。</w:t>
      </w:r>
    </w:p>
    <w:p>
      <w:r>
        <w:t>保持用户自主与容易纠错：主要变化直接可见，完整表单和高级操作按需展开，不让说明、统计与完整表单同时占满首屏。不增加亲密承诺、未使用惩罚或虚假关怀通知。</w:t>
      </w:r>
    </w:p>
    <w:p>
      <w:r>
        <w:t>桌面将同一窗口收起为220×96胶囊，展开恢复先前尺寸与位置；浏览器只收起页内界面。胶囊不显示客户名、金额、原文或内部资料，仅显示角色、空间、通用状态与事项数量。不增加第二个桌宠窗口，不抢焦点、不播放声音。</w:t>
      </w:r>
    </w:p>
    <w:p>
      <w:pPr>
        <w:pStyle w:val="Heading1"/>
      </w:pPr>
      <w:r>
        <w:t>十、长期记忆与增长治理</w:t>
      </w:r>
    </w:p>
    <w:p>
      <w:r>
        <w:t>记忆分为近期会话、明确确认的长期事实、当前业务实体、可重建阶段摘要与本地原始档案。原始历史默认本地保留，由用户主动删除；新工作区为空。底层UI缓存每类最多50条，工作首页每组最多3条，记忆档案每页30条，可搜索与加载更早记录。生活账单卡明确只汇总已加载记录，不能把近期小计标成完整月度支出。</w:t>
      </w:r>
    </w:p>
    <w:p>
      <w:r>
        <w:t>事实必须主动核对。相同事实不重复添加，同一主体和主题的不同内容先展示冲突，确认后保留旧版为被替代记录。支持查看来源、纠正、置顶和忘记；忘记停止默认回忆并清理关联摘要，原文默认仍可手动查阅。</w:t>
      </w:r>
    </w:p>
    <w:p>
      <w:r>
        <w:t>用户另选删除原文时，在同一事务中删除原文、关联草稿、搜索索引与事件原文副本，停止依赖事实的自动回忆；清理当前原文缓存和派生展示，撤销不恢复这些原文。独立确认的业务字段仍保留；旧版回退快照及导出备份是独立副本，由用户另行处理。当前能力是逻辑删除，未提供磁盘取证级擦除。</w:t>
      </w:r>
    </w:p>
    <w:p>
      <w:r>
        <w:t>“只读回忆”入口与记录入口独立，不能更新预算或任务。当前项目值优先于事实和历史，摘要不转换为新事实。每次回忆默认最多12条、约4800字符（按字符估算）；资料中的指令仅作为引用。记忆模型增强另行授权且默认关闭，先查找和审阅依据，再主动发送已展示的有限证据；不自动上传全库、内部项目备注或另一空间资料。</w:t>
      </w:r>
    </w:p>
    <w:p>
      <w:r>
        <w:br w:type="page"/>
      </w:r>
    </w:p>
    <w:p>
      <w:pPr>
        <w:pStyle w:val="Title"/>
      </w:pPr>
      <w:r>
        <w:t>第三卷 / 系统技术架构与数据字典规范</w:t>
      </w:r>
    </w:p>
    <w:p>
      <w:r>
        <w:t>版本：v5.0 · 批准日期 2026-10-27。本文记录已批准的架构契约。详细定义以源码为准，实现与检查结果见implementation-v5-status.md；v4历史验证不自动视作v5通过。</w:t>
      </w:r>
    </w:p>
    <w:p>
      <w:pPr>
        <w:pStyle w:val="Heading1"/>
      </w:pPr>
      <w:r>
        <w:t>一、技术边界与总体架构</w:t>
      </w:r>
    </w:p>
    <w:p>
      <w:r>
        <w:t>复用 Electron 34、React 19、TypeScript 5.7、Vite 6、Tailwind CSS 与 HTML2Canvas。用户批准新增better-sqlite3@12.11.1，桌面采用SQLite，浏览器采用原生IndexedDB；不新增测试框架、向量库或官方云服务。Electron34.5.8的Node20.19.1、ABI132已经实际加载对应原生二进制，安装后脚本核对并准备当前Electron版本的构建。</w:t>
      </w:r>
    </w:p>
    <w:p>
      <w:pPr>
        <w:pStyle w:val="Flow"/>
      </w:pPr>
      <w:r>
        <w:t>输入与本地草稿 → 四类核对 → 原子收尾 → 项目接续与提醒</w:t>
      </w:r>
    </w:p>
    <w:p>
      <w:pPr>
        <w:pStyle w:val="Flow"/>
      </w:pPr>
      <w:r>
        <w:t>可选模型仅提候选；收尾保留来源与撤销；选定信息另建纪要审核。</w:t>
      </w:r>
    </w:p>
    <w:p>
      <w:r>
        <w:t>候选解析无业务持久化副作用；原文归档和草稿保存不表示确认业务。模型和本地规则共享候选边界，commitCapture成功才生成收尾回执。自然语言和工作记忆提取不能绕过核对；明确完成或重新打开操作通过同一仓储事务与事件机制直存。</w:t>
      </w:r>
    </w:p>
    <w:p>
      <w:pPr>
        <w:pStyle w:val="Heading1"/>
      </w:pPr>
      <w:r>
        <w:t>二、数据字典与接口</w:t>
      </w:r>
    </w:p>
    <w:tbl>
      <w:tblPr>
        <w:tblStyle w:val="TableGrid"/>
        <w:tblW w:type="auto" w:w="0"/>
        <w:jc w:val="center"/>
        <w:tblLayout w:type="fixed"/>
        <w:tblLook w:firstColumn="1" w:firstRow="1" w:lastColumn="0" w:lastRow="0" w:noHBand="0" w:noVBand="1" w:val="04A0"/>
      </w:tblPr>
      <w:tblGrid>
        <w:gridCol w:w="4734"/>
        <w:gridCol w:w="4734"/>
      </w:tblGrid>
      <w:tr>
        <w:trPr>
          <w:cantSplit/>
          <w:tblHeader/>
        </w:trPr>
        <w:tc>
          <w:tcPr>
            <w:tcW w:type="dxa" w:w="4734"/>
            <w:vAlign w:val="center"/>
            <w:shd w:fill="E4F0ED"/>
          </w:tcPr>
          <w:p>
            <w:pPr>
              <w:keepNext/>
              <w:spacing w:after="80" w:before="80" w:line="276" w:lineRule="auto"/>
            </w:pPr>
            <w:r>
              <w:rPr>
                <w:b/>
                <w:color w:val="183344"/>
                <w:sz w:val="18"/>
              </w:rPr>
              <w:t>类型</w:t>
            </w:r>
          </w:p>
        </w:tc>
        <w:tc>
          <w:tcPr>
            <w:tcW w:type="dxa" w:w="4734"/>
            <w:vAlign w:val="center"/>
            <w:shd w:fill="E4F0ED"/>
          </w:tcPr>
          <w:p>
            <w:pPr>
              <w:keepNext/>
              <w:spacing w:after="80" w:before="80" w:line="276" w:lineRule="auto"/>
            </w:pPr>
            <w:r>
              <w:rPr>
                <w:b/>
                <w:color w:val="183344"/>
                <w:sz w:val="18"/>
              </w:rPr>
              <w:t>职责与重要字段</w:t>
            </w:r>
          </w:p>
        </w:tc>
      </w:tr>
      <w:tr>
        <w:trPr>
          <w:cantSplit/>
        </w:trPr>
        <w:tc>
          <w:tcPr>
            <w:tcW w:type="dxa" w:w="4734"/>
            <w:vAlign w:val="center"/>
          </w:tcPr>
          <w:p>
            <w:pPr>
              <w:keepNext w:val="0"/>
              <w:spacing w:after="80" w:before="80" w:line="276" w:lineRule="auto"/>
            </w:pPr>
            <w:r>
              <w:rPr>
                <w:rFonts w:ascii="Consolas" w:hAnsi="Consolas"/>
                <w:color w:val="136E6A"/>
                <w:sz w:val="18"/>
              </w:rPr>
              <w:t>WorkspaceMode</w:t>
            </w:r>
          </w:p>
        </w:tc>
        <w:tc>
          <w:tcPr>
            <w:tcW w:type="dxa" w:w="4734"/>
            <w:vAlign w:val="center"/>
          </w:tcPr>
          <w:p>
            <w:pPr>
              <w:keepNext w:val="0"/>
              <w:spacing w:after="80" w:before="80" w:line="276" w:lineRule="auto"/>
            </w:pPr>
            <w:r>
              <w:rPr>
                <w:rFonts w:ascii="Consolas" w:hAnsi="Consolas"/>
                <w:color w:val="136E6A"/>
                <w:sz w:val="18"/>
              </w:rPr>
              <w:t>life</w:t>
            </w:r>
            <w:r>
              <w:rPr>
                <w:sz w:val="18"/>
              </w:rPr>
              <w:t xml:space="preserve"> 或 </w:t>
            </w:r>
            <w:r>
              <w:rPr>
                <w:rFonts w:ascii="Consolas" w:hAnsi="Consolas"/>
                <w:color w:val="136E6A"/>
                <w:sz w:val="18"/>
              </w:rPr>
              <w:t>work</w:t>
            </w:r>
            <w:r>
              <w:rPr>
                <w:sz w:val="18"/>
              </w:rPr>
              <w:t>，仓储访问必须显式指定</w:t>
            </w:r>
          </w:p>
        </w:tc>
      </w:tr>
      <w:tr>
        <w:trPr>
          <w:cantSplit/>
        </w:trPr>
        <w:tc>
          <w:tcPr>
            <w:tcW w:type="dxa" w:w="4734"/>
            <w:vAlign w:val="center"/>
          </w:tcPr>
          <w:p>
            <w:pPr>
              <w:keepNext w:val="0"/>
              <w:spacing w:after="80" w:before="80" w:line="276" w:lineRule="auto"/>
            </w:pPr>
            <w:r>
              <w:rPr>
                <w:rFonts w:ascii="Consolas" w:hAnsi="Consolas"/>
                <w:color w:val="136E6A"/>
                <w:sz w:val="18"/>
              </w:rPr>
              <w:t>AppSnapshotV5</w:t>
            </w:r>
          </w:p>
        </w:tc>
        <w:tc>
          <w:tcPr>
            <w:tcW w:type="dxa" w:w="4734"/>
            <w:vAlign w:val="center"/>
          </w:tcPr>
          <w:p>
            <w:pPr>
              <w:keepNext w:val="0"/>
              <w:spacing w:after="80" w:before="80" w:line="276" w:lineRule="auto"/>
            </w:pPr>
            <w:r>
              <w:rPr>
                <w:sz w:val="18"/>
              </w:rPr>
              <w:t>schemaVersion为5的有界UI缓存，每类近期最多50条；AppSnapshotV4兼容别名不代表旧备份格式</w:t>
            </w:r>
          </w:p>
        </w:tc>
      </w:tr>
      <w:tr>
        <w:trPr>
          <w:cantSplit/>
        </w:trPr>
        <w:tc>
          <w:tcPr>
            <w:tcW w:type="dxa" w:w="4734"/>
            <w:vAlign w:val="center"/>
          </w:tcPr>
          <w:p>
            <w:pPr>
              <w:keepNext w:val="0"/>
              <w:spacing w:after="80" w:before="80" w:line="276" w:lineRule="auto"/>
            </w:pPr>
            <w:r>
              <w:rPr>
                <w:rFonts w:ascii="Consolas" w:hAnsi="Consolas"/>
                <w:color w:val="136E6A"/>
                <w:sz w:val="18"/>
              </w:rPr>
              <w:t>Engagement</w:t>
            </w:r>
          </w:p>
        </w:tc>
        <w:tc>
          <w:tcPr>
            <w:tcW w:type="dxa" w:w="4734"/>
            <w:vAlign w:val="center"/>
          </w:tcPr>
          <w:p>
            <w:pPr>
              <w:keepNext w:val="0"/>
              <w:spacing w:after="80" w:before="80" w:line="276" w:lineRule="auto"/>
            </w:pPr>
            <w:r>
              <w:rPr>
                <w:sz w:val="18"/>
              </w:rPr>
              <w:t>客户合作项目：ID、客户名、项目标题、可未知预算、阶段、内部资料、可外发摘要、下一步和更新时间</w:t>
            </w:r>
          </w:p>
        </w:tc>
      </w:tr>
      <w:tr>
        <w:trPr>
          <w:cantSplit/>
        </w:trPr>
        <w:tc>
          <w:tcPr>
            <w:tcW w:type="dxa" w:w="4734"/>
            <w:vAlign w:val="center"/>
          </w:tcPr>
          <w:p>
            <w:pPr>
              <w:keepNext w:val="0"/>
              <w:spacing w:after="80" w:before="80" w:line="276" w:lineRule="auto"/>
            </w:pPr>
            <w:r>
              <w:rPr>
                <w:rFonts w:ascii="Consolas" w:hAnsi="Consolas"/>
                <w:color w:val="136E6A"/>
                <w:sz w:val="18"/>
              </w:rPr>
              <w:t>ProjectTaskItem</w:t>
            </w:r>
          </w:p>
        </w:tc>
        <w:tc>
          <w:tcPr>
            <w:tcW w:type="dxa" w:w="4734"/>
            <w:vAlign w:val="center"/>
          </w:tcPr>
          <w:p>
            <w:pPr>
              <w:keepNext w:val="0"/>
              <w:spacing w:after="80" w:before="80" w:line="276" w:lineRule="auto"/>
            </w:pPr>
            <w:r>
              <w:rPr>
                <w:sz w:val="18"/>
              </w:rPr>
              <w:t>兼容旧任务，扩展可选项目关联、确认后到期时间与原始日期表达</w:t>
            </w:r>
          </w:p>
        </w:tc>
      </w:tr>
      <w:tr>
        <w:trPr>
          <w:cantSplit/>
        </w:trPr>
        <w:tc>
          <w:tcPr>
            <w:tcW w:type="dxa" w:w="4734"/>
            <w:vAlign w:val="center"/>
          </w:tcPr>
          <w:p>
            <w:pPr>
              <w:keepNext w:val="0"/>
              <w:spacing w:after="80" w:before="80" w:line="276" w:lineRule="auto"/>
            </w:pPr>
            <w:r>
              <w:rPr>
                <w:rFonts w:ascii="Consolas" w:hAnsi="Consolas"/>
                <w:color w:val="136E6A"/>
                <w:sz w:val="18"/>
              </w:rPr>
              <w:t>ProposedChangeSet</w:t>
            </w:r>
          </w:p>
        </w:tc>
        <w:tc>
          <w:tcPr>
            <w:tcW w:type="dxa" w:w="4734"/>
            <w:vAlign w:val="center"/>
          </w:tcPr>
          <w:p>
            <w:pPr>
              <w:keepNext w:val="0"/>
              <w:spacing w:after="80" w:before="80" w:line="276" w:lineRule="auto"/>
            </w:pPr>
            <w:r>
              <w:rPr>
                <w:sz w:val="18"/>
              </w:rPr>
              <w:t>候选ID、来源与原文、所属空间、基础版本、操作、警告与可选归属追问；操作支持followup</w:t>
            </w:r>
          </w:p>
        </w:tc>
      </w:tr>
      <w:tr>
        <w:trPr>
          <w:cantSplit/>
        </w:trPr>
        <w:tc>
          <w:tcPr>
            <w:tcW w:type="dxa" w:w="4734"/>
            <w:vAlign w:val="center"/>
          </w:tcPr>
          <w:p>
            <w:pPr>
              <w:keepNext w:val="0"/>
              <w:spacing w:after="80" w:before="80" w:line="276" w:lineRule="auto"/>
            </w:pPr>
            <w:r>
              <w:rPr>
                <w:rFonts w:ascii="Consolas" w:hAnsi="Consolas"/>
                <w:color w:val="136E6A"/>
                <w:sz w:val="18"/>
              </w:rPr>
              <w:t>CommittedChangeEvent</w:t>
            </w:r>
          </w:p>
        </w:tc>
        <w:tc>
          <w:tcPr>
            <w:tcW w:type="dxa" w:w="4734"/>
            <w:vAlign w:val="center"/>
          </w:tcPr>
          <w:p>
            <w:pPr>
              <w:keepNext w:val="0"/>
              <w:spacing w:after="80" w:before="80" w:line="276" w:lineRule="auto"/>
            </w:pPr>
            <w:r>
              <w:rPr>
                <w:sz w:val="18"/>
              </w:rPr>
              <w:t>已提交批次、字段前后值、来源与提交时间，为撤销提供依据</w:t>
            </w:r>
          </w:p>
        </w:tc>
      </w:tr>
      <w:tr>
        <w:trPr>
          <w:cantSplit/>
        </w:trPr>
        <w:tc>
          <w:tcPr>
            <w:tcW w:type="dxa" w:w="4734"/>
            <w:vAlign w:val="center"/>
          </w:tcPr>
          <w:p>
            <w:pPr>
              <w:keepNext w:val="0"/>
              <w:spacing w:after="80" w:before="80" w:line="276" w:lineRule="auto"/>
            </w:pPr>
            <w:r>
              <w:rPr>
                <w:rFonts w:ascii="Consolas" w:hAnsi="Consolas"/>
                <w:color w:val="136E6A"/>
                <w:sz w:val="18"/>
              </w:rPr>
              <w:t>StateMutationReceipt</w:t>
            </w:r>
          </w:p>
        </w:tc>
        <w:tc>
          <w:tcPr>
            <w:tcW w:type="dxa" w:w="4734"/>
            <w:vAlign w:val="center"/>
          </w:tcPr>
          <w:p>
            <w:pPr>
              <w:keepNext w:val="0"/>
              <w:spacing w:after="80" w:before="80" w:line="276" w:lineRule="auto"/>
            </w:pPr>
            <w:r>
              <w:rPr>
                <w:sz w:val="18"/>
              </w:rPr>
              <w:t>提交成功后的界面回执，不承担候选或写入职责</w:t>
            </w:r>
          </w:p>
        </w:tc>
      </w:tr>
      <w:tr>
        <w:trPr>
          <w:cantSplit/>
        </w:trPr>
        <w:tc>
          <w:tcPr>
            <w:tcW w:type="dxa" w:w="4734"/>
            <w:vAlign w:val="center"/>
          </w:tcPr>
          <w:p>
            <w:pPr>
              <w:keepNext w:val="0"/>
              <w:spacing w:after="80" w:before="80" w:line="276" w:lineRule="auto"/>
            </w:pPr>
            <w:r>
              <w:rPr>
                <w:rFonts w:ascii="Consolas" w:hAnsi="Consolas"/>
                <w:color w:val="136E6A"/>
                <w:sz w:val="18"/>
              </w:rPr>
              <w:t>AlignmentDraft</w:t>
            </w:r>
          </w:p>
        </w:tc>
        <w:tc>
          <w:tcPr>
            <w:tcW w:type="dxa" w:w="4734"/>
            <w:vAlign w:val="center"/>
          </w:tcPr>
          <w:p>
            <w:pPr>
              <w:keepNext w:val="0"/>
              <w:spacing w:after="80" w:before="80" w:line="276" w:lineRule="auto"/>
            </w:pPr>
            <w:r>
              <w:rPr>
                <w:sz w:val="18"/>
              </w:rPr>
              <w:t>独立外发草稿，仅包含用户选择且允许外发的信息</w:t>
            </w:r>
          </w:p>
        </w:tc>
      </w:tr>
      <w:tr>
        <w:trPr>
          <w:cantSplit/>
        </w:trPr>
        <w:tc>
          <w:tcPr>
            <w:tcW w:type="dxa" w:w="4734"/>
            <w:vAlign w:val="center"/>
          </w:tcPr>
          <w:p>
            <w:pPr>
              <w:keepNext w:val="0"/>
              <w:spacing w:after="80" w:before="80" w:line="276" w:lineRule="auto"/>
            </w:pPr>
            <w:r>
              <w:rPr>
                <w:rFonts w:ascii="Consolas" w:hAnsi="Consolas"/>
                <w:color w:val="136E6A"/>
                <w:sz w:val="18"/>
              </w:rPr>
              <w:t>ManagedMemory</w:t>
            </w:r>
          </w:p>
        </w:tc>
        <w:tc>
          <w:tcPr>
            <w:tcW w:type="dxa" w:w="4734"/>
            <w:vAlign w:val="center"/>
          </w:tcPr>
          <w:p>
            <w:pPr>
              <w:keepNext w:val="0"/>
              <w:spacing w:after="80" w:before="80" w:line="276" w:lineRule="auto"/>
            </w:pPr>
            <w:r>
              <w:rPr>
                <w:sz w:val="18"/>
              </w:rPr>
              <w:t>已确认事实及active/superseded/retracted状态、主体、主题、置顶、来源和替代关系</w:t>
            </w:r>
          </w:p>
        </w:tc>
      </w:tr>
      <w:tr>
        <w:trPr>
          <w:cantSplit/>
        </w:trPr>
        <w:tc>
          <w:tcPr>
            <w:tcW w:type="dxa" w:w="4734"/>
            <w:vAlign w:val="center"/>
          </w:tcPr>
          <w:p>
            <w:pPr>
              <w:keepNext w:val="0"/>
              <w:spacing w:after="80" w:before="80" w:line="276" w:lineRule="auto"/>
            </w:pPr>
            <w:r>
              <w:rPr>
                <w:rFonts w:ascii="Consolas" w:hAnsi="Consolas"/>
                <w:color w:val="136E6A"/>
                <w:sz w:val="18"/>
              </w:rPr>
              <w:t>MemorySummary</w:t>
            </w:r>
          </w:p>
        </w:tc>
        <w:tc>
          <w:tcPr>
            <w:tcW w:type="dxa" w:w="4734"/>
            <w:vAlign w:val="center"/>
          </w:tcPr>
          <w:p>
            <w:pPr>
              <w:keepNext w:val="0"/>
              <w:spacing w:after="80" w:before="80" w:line="276" w:lineRule="auto"/>
            </w:pPr>
            <w:r>
              <w:rPr>
                <w:sz w:val="18"/>
              </w:rPr>
              <w:t>来源明确的本地可重建摘要，不承担事实或当前业务状态职责</w:t>
            </w:r>
          </w:p>
        </w:tc>
      </w:tr>
      <w:tr>
        <w:trPr>
          <w:cantSplit/>
        </w:trPr>
        <w:tc>
          <w:tcPr>
            <w:tcW w:type="dxa" w:w="4734"/>
            <w:vAlign w:val="center"/>
          </w:tcPr>
          <w:p>
            <w:pPr>
              <w:keepNext w:val="0"/>
              <w:spacing w:after="80" w:before="80" w:line="276" w:lineRule="auto"/>
            </w:pPr>
            <w:r>
              <w:rPr>
                <w:rFonts w:ascii="Consolas" w:hAnsi="Consolas"/>
                <w:color w:val="136E6A"/>
                <w:sz w:val="18"/>
              </w:rPr>
              <w:t>CaptureDraft</w:t>
            </w:r>
          </w:p>
        </w:tc>
        <w:tc>
          <w:tcPr>
            <w:tcW w:type="dxa" w:w="4734"/>
            <w:vAlign w:val="center"/>
          </w:tcPr>
          <w:p>
            <w:pPr>
              <w:keepNext w:val="0"/>
              <w:spacing w:after="80" w:before="80" w:line="276" w:lineRule="auto"/>
            </w:pPr>
            <w:r>
              <w:rPr>
                <w:sz w:val="18"/>
              </w:rPr>
              <w:t>id固定active-work、唯一sessionId、原文、显式归属、来源版本、编辑版本、候选及冲突、编辑或核对状态、保存时间</w:t>
            </w:r>
          </w:p>
        </w:tc>
      </w:tr>
      <w:tr>
        <w:trPr>
          <w:cantSplit/>
        </w:trPr>
        <w:tc>
          <w:tcPr>
            <w:tcW w:type="dxa" w:w="4734"/>
            <w:vAlign w:val="center"/>
          </w:tcPr>
          <w:p>
            <w:pPr>
              <w:keepNext w:val="0"/>
              <w:spacing w:after="80" w:before="80" w:line="276" w:lineRule="auto"/>
            </w:pPr>
            <w:r>
              <w:rPr>
                <w:rFonts w:ascii="Consolas" w:hAnsi="Consolas"/>
                <w:color w:val="136E6A"/>
                <w:sz w:val="18"/>
              </w:rPr>
              <w:t>FollowUpItem</w:t>
            </w:r>
          </w:p>
        </w:tc>
        <w:tc>
          <w:tcPr>
            <w:tcW w:type="dxa" w:w="4734"/>
            <w:vAlign w:val="center"/>
          </w:tcPr>
          <w:p>
            <w:pPr>
              <w:keepNext w:val="0"/>
              <w:spacing w:after="80" w:before="80" w:line="276" w:lineRule="auto"/>
            </w:pPr>
            <w:r>
              <w:rPr>
                <w:sz w:val="18"/>
              </w:rPr>
              <w:t>waiting或question、项目关联、开放或已处理状态、来源、可选预计日期/时刻、用户自设reviewAt</w:t>
            </w:r>
          </w:p>
        </w:tc>
      </w:tr>
      <w:tr>
        <w:trPr>
          <w:cantSplit/>
        </w:trPr>
        <w:tc>
          <w:tcPr>
            <w:tcW w:type="dxa" w:w="4734"/>
            <w:vAlign w:val="center"/>
          </w:tcPr>
          <w:p>
            <w:pPr>
              <w:keepNext w:val="0"/>
              <w:spacing w:after="80" w:before="80" w:line="276" w:lineRule="auto"/>
            </w:pPr>
            <w:r>
              <w:rPr>
                <w:rFonts w:ascii="Consolas" w:hAnsi="Consolas"/>
                <w:color w:val="136E6A"/>
                <w:sz w:val="18"/>
              </w:rPr>
              <w:t>ClosureRecord</w:t>
            </w:r>
          </w:p>
        </w:tc>
        <w:tc>
          <w:tcPr>
            <w:tcW w:type="dxa" w:w="4734"/>
            <w:vAlign w:val="center"/>
          </w:tcPr>
          <w:p>
            <w:pPr>
              <w:keepNext w:val="0"/>
              <w:spacing w:after="80" w:before="80" w:line="276" w:lineRule="auto"/>
            </w:pPr>
            <w:r>
              <w:rPr>
                <w:sz w:val="18"/>
              </w:rPr>
              <w:t>来源、提交事件、项目/行动/跟进项引用、核对与撤销时间，可标记仅存原文；不另复制原文</w:t>
            </w:r>
          </w:p>
        </w:tc>
      </w:tr>
      <w:tr>
        <w:trPr>
          <w:cantSplit/>
        </w:trPr>
        <w:tc>
          <w:tcPr>
            <w:tcW w:type="dxa" w:w="4734"/>
            <w:vAlign w:val="center"/>
          </w:tcPr>
          <w:p>
            <w:pPr>
              <w:keepNext w:val="0"/>
              <w:spacing w:after="80" w:before="80" w:line="276" w:lineRule="auto"/>
            </w:pPr>
            <w:r>
              <w:rPr>
                <w:rFonts w:ascii="Consolas" w:hAnsi="Consolas"/>
                <w:color w:val="136E6A"/>
                <w:sz w:val="18"/>
              </w:rPr>
              <w:t>CaptureCommitResult</w:t>
            </w:r>
          </w:p>
        </w:tc>
        <w:tc>
          <w:tcPr>
            <w:tcW w:type="dxa" w:w="4734"/>
            <w:vAlign w:val="center"/>
          </w:tcPr>
          <w:p>
            <w:pPr>
              <w:keepNext w:val="0"/>
              <w:spacing w:after="80" w:before="80" w:line="276" w:lineRule="auto"/>
            </w:pPr>
            <w:r>
              <w:rPr>
                <w:sz w:val="18"/>
              </w:rPr>
              <w:t>committed、rejected或unknown，区分业务写入、结果不确定和刷新警告</w:t>
            </w:r>
          </w:p>
        </w:tc>
      </w:tr>
    </w:tbl>
    <w:p>
      <w:pPr>
        <w:spacing w:after="40"/>
      </w:pPr>
    </w:p>
    <w:p>
      <w:r>
        <w:t>核心服务接口：</w:t>
      </w:r>
    </w:p>
    <w:p>
      <w:pPr>
        <w:pStyle w:val="Code"/>
      </w:pPr>
      <w:r>
        <w:t>StateEngine.propose(text, context): ProposedChangeSet</w:t>
      </w:r>
    </w:p>
    <w:p>
      <w:pPr>
        <w:pStyle w:val="Code"/>
      </w:pPr>
      <w:r>
        <w:t>StateEngine.validate(proposal, partition): string[]</w:t>
      </w:r>
    </w:p>
    <w:p>
      <w:pPr>
        <w:pStyle w:val="Code"/>
      </w:pPr>
      <w:r>
        <w:t>Repository.initialize(): Promise&lt;Bootstrap&gt;</w:t>
      </w:r>
    </w:p>
    <w:p>
      <w:pPr>
        <w:pStyle w:val="Code"/>
      </w:pPr>
      <w:r>
        <w:t>Repository.commit(proposal): Promise&lt;MutationResult&gt;</w:t>
      </w:r>
    </w:p>
    <w:p>
      <w:pPr>
        <w:pStyle w:val="Code"/>
      </w:pPr>
      <w:r>
        <w:t>Repository.getCaptureDraft(): Promise&lt;CaptureDraft | null&gt;</w:t>
      </w:r>
    </w:p>
    <w:p>
      <w:pPr>
        <w:pStyle w:val="Code"/>
      </w:pPr>
      <w:r>
        <w:t>Repository.saveCaptureDraft(draft): Promise&lt;void&gt;</w:t>
      </w:r>
    </w:p>
    <w:p>
      <w:pPr>
        <w:pStyle w:val="Code"/>
      </w:pPr>
      <w:r>
        <w:t>Repository.commitCapture(draft, originalOnly?): Promise&lt;CaptureCommitResult&gt;</w:t>
      </w:r>
    </w:p>
    <w:p>
      <w:pPr>
        <w:pStyle w:val="Code"/>
      </w:pPr>
      <w:r>
        <w:t>Repository.getWorkHome(now?): Promise&lt;WorkHome&gt;</w:t>
      </w:r>
    </w:p>
    <w:p>
      <w:pPr>
        <w:pStyle w:val="Code"/>
      </w:pPr>
      <w:r>
        <w:t>Repository.setItemState(kind, item, done): Promise&lt;CaptureCommitResult&gt;</w:t>
      </w:r>
    </w:p>
    <w:p>
      <w:pPr>
        <w:pStyle w:val="Code"/>
      </w:pPr>
      <w:r>
        <w:t>Repository.undo(space, eventId?): Promise&lt;MutationResult&gt;</w:t>
      </w:r>
    </w:p>
    <w:p>
      <w:pPr>
        <w:pStyle w:val="Code"/>
      </w:pPr>
      <w:r>
        <w:t>Repository.query(space, kind, options): Promise&lt;QueryPage&gt;</w:t>
      </w:r>
    </w:p>
    <w:p>
      <w:pPr>
        <w:pStyle w:val="Code"/>
      </w:pPr>
      <w:r>
        <w:t>Repository.getCurrent(): AppSnapshotV5 // 已加载缓存，不读取整库</w:t>
      </w:r>
    </w:p>
    <w:p>
      <w:pPr>
        <w:pStyle w:val="Code"/>
      </w:pPr>
      <w:r>
        <w:t>Repository.subscribe(listener): () =&gt; void</w:t>
      </w:r>
    </w:p>
    <w:p>
      <w:r>
        <w:rPr>
          <w:rFonts w:ascii="Consolas" w:hAnsi="Consolas"/>
          <w:color w:val="136E6A"/>
          <w:sz w:val="18"/>
        </w:rPr>
        <w:t>context</w:t>
      </w:r>
      <w:r>
        <w:t xml:space="preserve"> 包括显式空间、稳定来源、当前分区、输入时间、可选目标项目及用户显式输入的新客户/项目。普通姓名没有明确绑定时不自动新建。提交负责结构、实体、幂等、前值和版本校验；撤销按倒序，仅允许指定事件确为最近事件时撤销。UI不能直接改数组绕开事件。</w:t>
      </w:r>
    </w:p>
    <w:p>
      <w:r>
        <w:rPr>
          <w:rFonts w:ascii="Consolas" w:hAnsi="Consolas"/>
          <w:color w:val="136E6A"/>
          <w:sz w:val="18"/>
        </w:rPr>
        <w:t>saveDraft</w:t>
      </w:r>
      <w:r>
        <w:t>只写工作空间active-work记录，不递增业务版本或产生撤销事件；同session拒绝较旧编辑版本，已提交session标记阻止迟到保存复活草稿。</w:t>
      </w:r>
      <w:r>
        <w:rPr>
          <w:rFonts w:ascii="Consolas" w:hAnsi="Consolas"/>
          <w:color w:val="136E6A"/>
          <w:sz w:val="18"/>
        </w:rPr>
        <w:t>commitCapture</w:t>
      </w:r>
      <w:r>
        <w:t>固定来源和候选ID，在同一事务中归档必要来源、提交业务与事件、生成closure并删除草稿；重复相同命令不要求草稿仍存在。originalOnly只接受空业务操作，并准确标记回执。</w:t>
      </w:r>
    </w:p>
    <w:p>
      <w:r>
        <w:t>Repository将ACK后刷新失败作为committed附refreshWarning返回；失去ACK时按稳定closure ID查询，未能核查则unknown，保留原命令和草稿。不能因重试生成新批次。三方合并以候选前值、当前值和用户编辑为依据，保留不冲突编辑，对冲突字段逐项选择。</w:t>
      </w:r>
    </w:p>
    <w:p>
      <w:r>
        <w:t>快照中的公开设置排除 Key；</w:t>
      </w:r>
      <w:r>
        <w:rPr>
          <w:rFonts w:ascii="Consolas" w:hAnsi="Consolas"/>
          <w:color w:val="136E6A"/>
          <w:sz w:val="18"/>
        </w:rPr>
        <w:t>AppSettings</w:t>
      </w:r>
      <w:r>
        <w:t xml:space="preserve"> 中可选的旧 </w:t>
      </w:r>
      <w:r>
        <w:rPr>
          <w:rFonts w:ascii="Consolas" w:hAnsi="Consolas"/>
          <w:color w:val="136E6A"/>
          <w:sz w:val="18"/>
        </w:rPr>
        <w:t>apiKey</w:t>
      </w:r>
      <w:r>
        <w:t xml:space="preserve"> 字段仅用于迁移兼容，不作为持久化公开设置或正常模型调用来源。</w:t>
      </w:r>
    </w:p>
    <w:p>
      <w:pPr>
        <w:pStyle w:val="Heading1"/>
      </w:pPr>
      <w:r>
        <w:t>三、存储、迁移和原子恢复</w:t>
      </w:r>
    </w:p>
    <w:p>
      <w:r>
        <w:t>桌面由主进程独占</w:t>
      </w:r>
      <w:r>
        <w:rPr>
          <w:rFonts w:ascii="Consolas" w:hAnsi="Consolas"/>
          <w:color w:val="136E6A"/>
          <w:sz w:val="18"/>
        </w:rPr>
        <w:t>userData/looma.sqlite</w:t>
      </w:r>
      <w:r>
        <w:t>，SQLite WAL、FULL同步、事务和索引负责持久化；renderer通过来源校验的有限命令IPC调用，不接收原始SQL。浏览器沿用IndexedDB名称</w:t>
      </w:r>
      <w:r>
        <w:rPr>
          <w:rFonts w:ascii="Consolas" w:hAnsi="Consolas"/>
          <w:color w:val="136E6A"/>
          <w:sz w:val="18"/>
        </w:rPr>
        <w:t>looma-local-v4</w:t>
      </w:r>
      <w:r>
        <w:t>，v5原地升级结构、索引与记录包装，不创建空库取代原资料。记录仍以records、terms、meta和processed维护。所有访问强制life/work，新三类记录只允许work。</w:t>
      </w:r>
    </w:p>
    <w:p>
      <w:r>
        <w:t>每条记录保存space、kind、id、data、at；账本配置与expense分开，避免账单数组随历史增长。事务校验批次内容、基础版本、字段前值与实体引用；成功后才刷新UI缓存。批次ID与内容摘要绑定，重复相同命令幂等，不同内容复用ID报错。写入失败不得部分提交或报成功。业务数据库未加密，分区不是物理隔离。</w:t>
      </w:r>
    </w:p>
    <w:p>
      <w:r>
        <w:t>首次先校验旧v3快照，再按来源指纹一次迁入；旧版更早资料经既有迁移器读取实际键，不生成示例。旧日记和CRM等归属沿用v3规则，未关联任务不猜测项目。旧非凭据键保留回退，正常运行只读新仓储；旧版已截断的历史不可恢复。新用户为空白业务区。</w:t>
      </w:r>
    </w:p>
    <w:p>
      <w:r>
        <w:t>完整备份v5包含records、applied幂等记录、设置与版本。桌面JSONL流式导出，带结束计数及SHA256，接受v4/v5文件，先写暂存库完整校验再替换；坏DB保留不可读原文件后恢复有效备份。Web JSON接受looma-v4、looma-v5及v3完整快照，缺少新集合按空处理；使用一致只读事务导出，单写事务原子恢复。索引升级失败随升级事务回退。无5MB硬上限，浏览器全备份仍需足够内存；无效备份不得部分覆盖，凭据不进入备份。</w:t>
      </w:r>
    </w:p>
    <w:p>
      <w:r>
        <w:t>生活态先在detached draft计算差异，再单事务更新，按来源ID幂等，原文和回复分别保存；短缓存保存不得截断旧档案。业务成功但回复失败时提示勿重复提交。按空间分开控制刷新序列，旧响应不能覆盖当前界面或新设置。正常列表有界，完整遍历仅用于用户明确要求的备份、恢复或维护。</w:t>
      </w:r>
    </w:p>
    <w:p>
      <w:r>
        <w:t>工作首页按状态与提醒时间索引查询，每组最多3项并返回计数，不通过前端读全库筛选。今日与逾期按上海自然日分组；等待、未定和最近收尾独立查询。常规列表沿用游标分页。</w:t>
      </w:r>
    </w:p>
    <w:p>
      <w:r>
        <w:t>检索使用结构化ID/关联过滤、全文资料与中文相邻双字索引；单字查询需限定实体。自然语言回忆采用有限关键词候选合并，当前业务值优先，最终最多12条、约4800字符。来源关系使被替代/忘记事实及关联摘要退出默认回忆。主动删原文时，同事务移除关联草稿、事件原文副本和可恢复原文的撤销内容；清理原文缓存和派生展示，独立业务字段仍保留，旧备份需另行处理，未承诺物理擦除。</w:t>
      </w:r>
    </w:p>
    <w:p>
      <w:pPr>
        <w:pStyle w:val="Heading1"/>
      </w:pPr>
      <w:r>
        <w:t>四、解析、并发与日期约束</w:t>
      </w:r>
    </w:p>
    <w:p>
      <w:r>
        <w:t>规则解析只覆盖已测试句式。金额按显式单位转换，“300 元”保持 300，“从 8 万改为 12 万”取最终值；缺单位不猜测。否定、假设和不明确人物不产生确定的赢单或覆盖操作。同一客户多项目时选择目标，不能默认修改第一条。</w:t>
      </w:r>
    </w:p>
    <w:p>
      <w:r>
        <w:t>一次输入版本对应稳定来源和批次，同一候选重复确认不重复写入。候选携带基础版本，后续编辑后旧预览先重核，不能覆盖新值。草稿保留手改和冲突，确认、忽略、手改或切换空间后迟到模型不得覆盖新状态。异步请求固定发起空间，不能跨区展示。</w:t>
      </w:r>
    </w:p>
    <w:p>
      <w:r>
        <w:t>日期以输入时的Asia/Shanghai时间为锚点，预览显示绝对日期。我方待办仅日期无时刻默认09:00提醒；客户预计日期保存expectedDate，明确时刻才保存expectedAt，不补时刻为客户承诺。reviewAt是用户主动设置的回访时间，缺失不自动催促；未定费用保存问题，不改成确定预算。提醒只在应用运行（含胶囊）时工作，重开汇总遗漏，系统通知不含客户细节。</w:t>
      </w:r>
    </w:p>
    <w:p>
      <w:pPr>
        <w:pStyle w:val="Heading1"/>
      </w:pPr>
      <w:r>
        <w:t>五、桌面模型边界与凭据</w:t>
      </w:r>
    </w:p>
    <w:p>
      <w:r>
        <w:t xml:space="preserve">模型凭据由 Electron 主进程使用当前版本支持的 </w:t>
      </w:r>
      <w:r>
        <w:rPr>
          <w:rFonts w:ascii="Consolas" w:hAnsi="Consolas"/>
          <w:color w:val="136E6A"/>
          <w:sz w:val="18"/>
        </w:rPr>
        <w:t>safeStorage</w:t>
      </w:r>
      <w:r>
        <w:t xml:space="preserve"> 保存，安全存储不可用时仅在会话中使用，不明文落盘。界面保存后只获取是否配置、是否启用、持久化状态及非敏感连接资料，不获取 Key。旧明文 Key 仅在安全迁移成功后移除。</w:t>
      </w:r>
    </w:p>
    <w:p>
      <w:r>
        <w:t>桌面每次启动尝试migrateLegacyConnection。已有连接、Ollama或暂不可读的凭据文件不覆盖，旧连接另存系统加密归档looma-legacy-connection.json。加密落盘成功后才清理旧localStorage凭据，失败下次重试。清除配置同时清除当前连接和旧连接归档。</w:t>
      </w:r>
    </w:p>
    <w:p>
      <w:r>
        <w:t xml:space="preserve">主进程代发 OpenAI 兼容 </w:t>
      </w:r>
      <w:r>
        <w:rPr>
          <w:rFonts w:ascii="Consolas" w:hAnsi="Consolas"/>
          <w:color w:val="136E6A"/>
          <w:sz w:val="18"/>
        </w:rPr>
        <w:t>/chat/completions</w:t>
      </w:r>
      <w:r>
        <w:t xml:space="preserve"> 请求，可连接用户自己的服务或本地 Ollama。远程要求 HTTPS，HTTP 只允许 loopback；拒绝 URL 凭据和不允许的地址组成部分，限制重定向。请求设置超时与取消，错误不打印凭据或业务正文。</w:t>
      </w:r>
    </w:p>
    <w:p>
      <w:r>
        <w:t>模型只接收当前输入和所选项目必要字段，默认不附加内部资料、全部历史或另一空间。响应经过 JSON 结构、字段白名单、目标实体和数值校验后生成候选，不执行模型提供的代码、工具调用或存储命令。Web 预览不调用桌面凭据接口，只运行本地流程。</w:t>
      </w:r>
    </w:p>
    <w:p>
      <w:r>
        <w:t>memoryModelEnabled是独立、默认关闭的授权。回忆模型只接收当前问题和用户已经展示核对的当前空间证据，最多20条、8000字符；主进程再查授权、限制字段和长度，无业务写工具。事实、摘要和历史的优先级与来源标签作为资料进入提示，不允许原文指令覆盖系统约束。角色采用本地SVG/CSS，遵从减少动态效果；胶囊复用原窗口并恢复展开边界。</w:t>
      </w:r>
    </w:p>
    <w:p>
      <w:r>
        <w:t xml:space="preserve">保留 </w:t>
      </w:r>
      <w:r>
        <w:rPr>
          <w:rFonts w:ascii="Consolas" w:hAnsi="Consolas"/>
          <w:color w:val="136E6A"/>
          <w:sz w:val="18"/>
        </w:rPr>
        <w:t>contextIsolation</w:t>
      </w:r>
      <w:r>
        <w:t xml:space="preserve">、关闭 Node 集成、启用 </w:t>
      </w:r>
      <w:r>
        <w:rPr>
          <w:rFonts w:ascii="Consolas" w:hAnsi="Consolas"/>
          <w:color w:val="136E6A"/>
          <w:sz w:val="18"/>
        </w:rPr>
        <w:t>webSecurity</w:t>
      </w:r>
      <w:r>
        <w:t>；限制页面导航、新窗口和 IPC 发送来源。来源验证和模型输出验证是独立边界，不能由提示词代替。</w:t>
      </w:r>
    </w:p>
    <w:p>
      <w:pPr>
        <w:pStyle w:val="Heading1"/>
      </w:pPr>
      <w:r>
        <w:t>六、外发草稿与工程验证</w:t>
      </w:r>
    </w:p>
    <w:p>
      <w:r>
        <w:t>外发草稿从明确白名单构造，内部备注不属于草稿结构。预算默认不选；原文、另一空间和未经选择的待办不进入导出。自由文本即使属于允许字段，也仍需用户在完整预览中核对，不宣称自动识别所有敏感文字。</w:t>
      </w:r>
    </w:p>
    <w:p>
      <w:r>
        <w:t>自动化使用Node内置测试与TypeScript，覆盖解析、事务、撤销、幂等、迁移、恢复、失败、日期与隔离；浏览器验证完整交互及PNG，Electron另测本地启动、凭据、模型、通知和窗口。</w:t>
      </w:r>
    </w:p>
    <w:p>
      <w:r>
        <w:t>集成脚本通过LOOMA_PLAYWRIGHT_MODULE使用外部Playwright；当前执行入口与真实结果见v5实施记录，v4脚本保留历史场景。Node主机与原生SQLite测试分开运行，后者通过scripts/test-native.cjs启动Electron匹配ABI；覆盖草稿、原子收尾、幂等、未知ACK、刷新失败、冲突、明确操作、迁移/备份、删除及万条历史有界查询。浏览器与Electron均需完整旅程实跑。</w:t>
      </w:r>
    </w:p>
    <w:p>
      <w:r>
        <w:t>本次受控模型验证不代表真实云服务准确率。npm官方审计报告Electron/extract-zip两项高危，发布前须升级复测；静态检查不代替运行与Word逐页复核。</w:t>
      </w:r>
    </w:p>
    <w:sectPr w:rsidR="00FC693F" w:rsidRPr="0006063C" w:rsidSect="00034616">
      <w:headerReference w:type="default" r:id="rId9"/>
      <w:footerReference w:type="default" r:id="rId10"/>
      <w:pgSz w:w="11906" w:h="16838"/>
      <w:pgMar w:top="1020" w:right="1219" w:bottom="1020" w:left="121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v5.0 · 2026-10-27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717A"/>
        <w:sz w:val="16"/>
      </w:rPr>
      <w:t>LOOMA / 灵犀胶囊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宋体" w:hAnsi="宋体" w:eastAsia="宋体"/>
      <w:color w:val="1833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微软雅黑" w:hAnsi="微软雅黑" w:eastAsia="微软雅黑"/>
      <w:b/>
      <w:bCs/>
      <w:color w:val="1833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833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833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833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微软雅黑" w:hAnsi="微软雅黑" w:eastAsia="微软雅黑"/>
      <w:i/>
      <w:iCs/>
      <w:color w:val="18334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宋体" w:hAnsi="宋体"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宋体" w:hAnsi="宋体"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64" w:lineRule="auto" w:after="40"/>
    </w:pPr>
    <w:rPr>
      <w:rFonts w:ascii="Consolas" w:hAnsi="Consolas" w:eastAsia="宋体"/>
      <w:sz w:val="18"/>
    </w:rPr>
  </w:style>
  <w:style w:type="paragraph" w:customStyle="1" w:styleId="Flow">
    <w:name w:val="Flow"/>
    <w:pPr>
      <w:spacing w:after="120"/>
    </w:pPr>
    <w:rPr>
      <w:rFonts w:ascii="微软雅黑" w:hAnsi="微软雅黑" w:eastAsia="微软雅黑"/>
      <w:color w:val="136E6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tdex.com/docs/ai/voice-mode" TargetMode="External"/><Relationship Id="rId12" Type="http://schemas.openxmlformats.org/officeDocument/2006/relationships/hyperlink" Target="https://outliner.tana.inc/voice-memos" TargetMode="External"/><Relationship Id="rId13" Type="http://schemas.openxmlformats.org/officeDocument/2006/relationships/hyperlink" Target="https://www.folk.app/changelog/ai-fie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Looma v5 沟通收尾与项目接续全景规格书</dc:title>
  <dc:subject>商业计划、产品需求与本地数据架构 v5.0</dc:subject>
  <dc:creator>Looma Project</dc:creator>
  <cp:keywords/>
  <dc:description>由 docs 下三份 Markdown 生成；商业假设与工程验证结果分开记录。</dc:description>
  <cp:lastModifiedBy/>
  <cp:revision>1</cp:revision>
  <dcterms:created xsi:type="dcterms:W3CDTF">2013-12-23T23:15:00Z</dcterms:created>
  <dcterms:modified xsi:type="dcterms:W3CDTF">2013-12-23T23:15:00Z</dcterms:modified>
  <cp:category/>
</cp:coreProperties>
</file>