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行政后勤管理制度</w:t>
      </w:r>
    </w:p>
    <w:p>
      <w:pPr>
        <w:pStyle w:val="Heading2"/>
      </w:pPr>
      <w:r>
        <w:t>一、办公用品管理</w:t>
      </w:r>
    </w:p>
    <w:p>
      <w:r>
        <w:t>办公用品由行政部统一采购、发放。员工领用办公用品需登记，个人使用物品按标准配发。</w:t>
      </w:r>
    </w:p>
    <w:p>
      <w:pPr>
        <w:pStyle w:val="Heading2"/>
      </w:pPr>
      <w:r>
        <w:t>二、会议室管理</w:t>
      </w:r>
    </w:p>
    <w:p>
      <w:r>
        <w:t>会议室需提前预约，使用后保持整洁。视频会议设备使用问题联系 IT 支持。</w:t>
      </w:r>
    </w:p>
    <w:p>
      <w:pPr>
        <w:pStyle w:val="Heading2"/>
      </w:pPr>
      <w:r>
        <w:t>三、车辆管理</w:t>
      </w:r>
    </w:p>
    <w:p>
      <w:r>
        <w:t>公司车辆使用需申请，公务用车优先。车辆保养、维修、保险由行政部统一管理。</w:t>
      </w:r>
    </w:p>
    <w:p>
      <w:pPr>
        <w:pStyle w:val="Heading2"/>
      </w:pPr>
      <w:r>
        <w:t>四、食堂管理</w:t>
      </w:r>
    </w:p>
    <w:p>
      <w:r>
        <w:t>员工食堂提供工作餐，早餐 8:00-9:00，午餐 12:00-13:00。员工就餐使用餐卡，每月补贴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