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C78F7">
      <w:pPr>
        <w:spacing w:line="400" w:lineRule="exact"/>
        <w:jc w:val="left"/>
        <w:rPr>
          <w:rFonts w:ascii="Arial" w:hAnsi="Arial" w:cs="Arial"/>
          <w:sz w:val="24"/>
          <w:u w:val="single"/>
        </w:rPr>
      </w:pPr>
    </w:p>
    <w:p w14:paraId="7F052138">
      <w:pPr>
        <w:spacing w:line="400" w:lineRule="exact"/>
        <w:jc w:val="left"/>
        <w:rPr>
          <w:rFonts w:ascii="Arial" w:hAnsi="Arial" w:cs="Arial"/>
          <w:sz w:val="24"/>
        </w:rPr>
      </w:pPr>
    </w:p>
    <w:p w14:paraId="2A36BD6A">
      <w:pPr>
        <w:spacing w:line="400" w:lineRule="exact"/>
        <w:jc w:val="left"/>
        <w:rPr>
          <w:rFonts w:ascii="Arial" w:hAnsi="Arial" w:cs="Arial"/>
          <w:sz w:val="24"/>
        </w:rPr>
      </w:pPr>
    </w:p>
    <w:p w14:paraId="518BEDD0">
      <w:pPr>
        <w:spacing w:line="400" w:lineRule="exact"/>
        <w:jc w:val="left"/>
        <w:rPr>
          <w:rFonts w:ascii="Arial" w:hAnsi="Arial" w:cs="Arial"/>
          <w:sz w:val="24"/>
        </w:rPr>
      </w:pPr>
    </w:p>
    <w:p w14:paraId="7D31CE98">
      <w:pPr>
        <w:spacing w:line="400" w:lineRule="exact"/>
        <w:jc w:val="left"/>
        <w:rPr>
          <w:rFonts w:ascii="Arial" w:hAnsi="Arial" w:cs="Arial"/>
          <w:sz w:val="24"/>
        </w:rPr>
      </w:pPr>
    </w:p>
    <w:p w14:paraId="3F5D9131">
      <w:pPr>
        <w:spacing w:line="400" w:lineRule="exact"/>
        <w:jc w:val="left"/>
        <w:rPr>
          <w:rFonts w:ascii="Arial" w:hAnsi="Arial" w:cs="Arial"/>
          <w:sz w:val="24"/>
        </w:rPr>
      </w:pPr>
    </w:p>
    <w:p w14:paraId="4B42DF6C">
      <w:pPr>
        <w:spacing w:line="400" w:lineRule="exact"/>
        <w:jc w:val="left"/>
        <w:rPr>
          <w:rFonts w:ascii="Arial" w:hAnsi="Arial" w:cs="Arial"/>
          <w:sz w:val="24"/>
        </w:rPr>
      </w:pPr>
    </w:p>
    <w:p w14:paraId="1083A6C0">
      <w:pPr>
        <w:spacing w:line="400" w:lineRule="exact"/>
        <w:jc w:val="left"/>
        <w:rPr>
          <w:rFonts w:ascii="Arial" w:hAnsi="Arial" w:cs="Arial"/>
          <w:sz w:val="24"/>
        </w:rPr>
      </w:pPr>
    </w:p>
    <w:p w14:paraId="25CE0C68">
      <w:pPr>
        <w:spacing w:line="400" w:lineRule="exact"/>
        <w:jc w:val="left"/>
        <w:rPr>
          <w:rFonts w:ascii="Arial" w:hAnsi="Arial" w:cs="Arial"/>
          <w:sz w:val="24"/>
        </w:rPr>
      </w:pPr>
    </w:p>
    <w:tbl>
      <w:tblPr>
        <w:tblStyle w:val="24"/>
        <w:tblW w:w="9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3453"/>
        <w:gridCol w:w="3067"/>
      </w:tblGrid>
      <w:tr w14:paraId="02ED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shd w:val="clear" w:color="auto" w:fill="auto"/>
            <w:vAlign w:val="center"/>
          </w:tcPr>
          <w:p w14:paraId="59FD2CE4">
            <w:pPr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bookmarkStart w:id="0" w:name="_Hlk59788560"/>
            <w:r>
              <w:rPr>
                <w:rFonts w:ascii="Arial" w:hAnsi="Arial" w:cs="Arial"/>
                <w:sz w:val="24"/>
              </w:rPr>
              <w:t>起草人/日期</w:t>
            </w:r>
          </w:p>
        </w:tc>
        <w:tc>
          <w:tcPr>
            <w:tcW w:w="1791" w:type="pct"/>
            <w:shd w:val="clear" w:color="auto" w:fill="auto"/>
            <w:vAlign w:val="center"/>
          </w:tcPr>
          <w:p w14:paraId="60B009E2">
            <w:pPr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审核人/日期</w:t>
            </w:r>
          </w:p>
        </w:tc>
        <w:tc>
          <w:tcPr>
            <w:tcW w:w="1591" w:type="pct"/>
            <w:shd w:val="clear" w:color="auto" w:fill="auto"/>
            <w:vAlign w:val="center"/>
          </w:tcPr>
          <w:p w14:paraId="5C7801E2">
            <w:pPr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批准人/日期</w:t>
            </w:r>
          </w:p>
        </w:tc>
      </w:tr>
      <w:tr w14:paraId="60CFD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restart"/>
            <w:shd w:val="clear" w:color="auto" w:fill="auto"/>
            <w:vAlign w:val="center"/>
          </w:tcPr>
          <w:p w14:paraId="60BE5FE1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027121B2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restart"/>
            <w:shd w:val="clear" w:color="auto" w:fill="auto"/>
            <w:vAlign w:val="center"/>
          </w:tcPr>
          <w:p w14:paraId="492663CF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</w:tr>
      <w:tr w14:paraId="53657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1A218314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12AE6937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48071961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</w:tr>
      <w:tr w14:paraId="458E9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29BBFAD4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2B925A87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28A7B9C5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</w:tr>
      <w:tr w14:paraId="3A4D5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58A0D1DA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2C9F7568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7C67EF1E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</w:tr>
      <w:tr w14:paraId="4B805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077FC6A1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4BF3BE5E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60DAF89C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</w:tr>
      <w:tr w14:paraId="6DB0B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0C57799C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12E0FCA3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5C48BE13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</w:tr>
      <w:tr w14:paraId="31A19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4597B754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6860ED00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697110E2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</w:tr>
      <w:tr w14:paraId="18852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7A937787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065D6D42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49353027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</w:tr>
      <w:tr w14:paraId="0EFFB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4BA1E1A3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1C5A08B4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450C96BD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</w:tr>
      <w:tr w14:paraId="2E242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12BD9F76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0F9B1F6D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4D115CDB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</w:tr>
      <w:tr w14:paraId="5C436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746DF4C4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395402F5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67023F4D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</w:tr>
      <w:tr w14:paraId="2A3CC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070DD097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3807DCC4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20AD0F9D">
            <w:pPr>
              <w:spacing w:line="300" w:lineRule="exact"/>
              <w:jc w:val="left"/>
              <w:rPr>
                <w:rFonts w:ascii="Arial" w:hAnsi="Arial" w:cs="Arial"/>
                <w:sz w:val="24"/>
              </w:rPr>
            </w:pPr>
          </w:p>
        </w:tc>
      </w:tr>
      <w:bookmarkEnd w:id="0"/>
    </w:tbl>
    <w:p w14:paraId="2391F922">
      <w:pPr>
        <w:spacing w:line="400" w:lineRule="exact"/>
        <w:jc w:val="left"/>
        <w:rPr>
          <w:rFonts w:ascii="Arial" w:hAnsi="Arial" w:cs="Arial"/>
          <w:sz w:val="24"/>
        </w:rPr>
      </w:pPr>
    </w:p>
    <w:p w14:paraId="2E567AFB">
      <w:pPr>
        <w:spacing w:line="400" w:lineRule="exact"/>
        <w:jc w:val="left"/>
        <w:rPr>
          <w:rFonts w:ascii="Arial" w:hAnsi="Arial" w:cs="Arial"/>
          <w:sz w:val="24"/>
        </w:rPr>
      </w:pPr>
    </w:p>
    <w:p w14:paraId="3894CD68">
      <w:pPr>
        <w:spacing w:line="400" w:lineRule="exact"/>
        <w:jc w:val="left"/>
        <w:rPr>
          <w:rFonts w:ascii="Arial" w:hAnsi="Arial" w:cs="Arial"/>
          <w:sz w:val="24"/>
        </w:rPr>
      </w:pPr>
    </w:p>
    <w:p w14:paraId="669FBEC3">
      <w:pPr>
        <w:spacing w:line="400" w:lineRule="exact"/>
        <w:jc w:val="left"/>
        <w:rPr>
          <w:rFonts w:ascii="Arial" w:hAnsi="Arial" w:cs="Arial"/>
          <w:sz w:val="24"/>
        </w:rPr>
      </w:pPr>
    </w:p>
    <w:p w14:paraId="1E4B0ED1">
      <w:pPr>
        <w:spacing w:line="400" w:lineRule="exact"/>
        <w:jc w:val="left"/>
        <w:rPr>
          <w:rFonts w:ascii="Arial" w:hAnsi="Arial" w:cs="Arial"/>
          <w:sz w:val="24"/>
        </w:rPr>
      </w:pPr>
    </w:p>
    <w:p w14:paraId="05DF8E2B">
      <w:pPr>
        <w:spacing w:line="400" w:lineRule="exact"/>
        <w:jc w:val="left"/>
        <w:rPr>
          <w:rFonts w:ascii="Arial" w:hAnsi="Arial" w:cs="Arial"/>
          <w:bCs/>
          <w:sz w:val="24"/>
        </w:rPr>
      </w:pPr>
    </w:p>
    <w:p w14:paraId="01991475">
      <w:pPr>
        <w:spacing w:line="400" w:lineRule="exact"/>
        <w:jc w:val="center"/>
        <w:rPr>
          <w:rFonts w:ascii="黑体" w:hAnsi="黑体" w:eastAsia="黑体" w:cs="Arial"/>
          <w:bCs/>
          <w:sz w:val="24"/>
        </w:rPr>
      </w:pPr>
      <w:r>
        <w:rPr>
          <w:rFonts w:hint="eastAsia" w:ascii="黑体" w:hAnsi="黑体" w:eastAsia="黑体" w:cs="Arial"/>
          <w:bCs/>
          <w:sz w:val="24"/>
          <w:lang w:val="en-US" w:eastAsia="zh-CN"/>
        </w:rPr>
        <w:t>Xxx</w:t>
      </w:r>
      <w:r>
        <w:rPr>
          <w:rFonts w:hint="eastAsia" w:ascii="黑体" w:hAnsi="黑体" w:eastAsia="黑体" w:cs="Arial"/>
          <w:bCs/>
          <w:sz w:val="24"/>
        </w:rPr>
        <w:t>有限公司</w:t>
      </w:r>
    </w:p>
    <w:p w14:paraId="5B285A3B">
      <w:pPr>
        <w:spacing w:line="400" w:lineRule="exact"/>
        <w:jc w:val="left"/>
        <w:rPr>
          <w:rFonts w:ascii="Arial" w:hAnsi="Arial" w:cs="Arial"/>
          <w:sz w:val="24"/>
        </w:rPr>
        <w:sectPr>
          <w:headerReference r:id="rId3" w:type="default"/>
          <w:footerReference r:id="rId4" w:type="default"/>
          <w:pgSz w:w="11906" w:h="16838"/>
          <w:pgMar w:top="1701" w:right="1134" w:bottom="851" w:left="1418" w:header="1871" w:footer="850" w:gutter="0"/>
          <w:cols w:space="425" w:num="1"/>
          <w:docGrid w:type="linesAndChars" w:linePitch="312" w:charSpace="0"/>
        </w:sectPr>
      </w:pPr>
    </w:p>
    <w:p w14:paraId="3E5893DA">
      <w:pPr>
        <w:pStyle w:val="3"/>
        <w:spacing w:before="156" w:beforeLines="50" w:after="0" w:line="400" w:lineRule="exact"/>
        <w:jc w:val="left"/>
        <w:rPr>
          <w:rFonts w:cs="Arial"/>
          <w:b w:val="0"/>
          <w:sz w:val="28"/>
          <w:szCs w:val="28"/>
        </w:rPr>
      </w:pPr>
      <w:r>
        <w:rPr>
          <w:rFonts w:cs="Arial"/>
          <w:b w:val="0"/>
          <w:sz w:val="28"/>
          <w:szCs w:val="28"/>
        </w:rPr>
        <w:t xml:space="preserve">1 </w:t>
      </w:r>
      <w:r>
        <w:rPr>
          <w:rFonts w:hint="eastAsia" w:cs="Arial"/>
          <w:b w:val="0"/>
          <w:sz w:val="28"/>
          <w:szCs w:val="28"/>
        </w:rPr>
        <w:t>概述</w:t>
      </w:r>
    </w:p>
    <w:p w14:paraId="26356E45">
      <w:pPr>
        <w:spacing w:line="400" w:lineRule="exact"/>
        <w:ind w:left="420" w:leftChars="200" w:firstLine="58" w:firstLineChars="25"/>
        <w:rPr>
          <w:rFonts w:ascii="Arial" w:hAnsi="Arial" w:cs="Arial"/>
          <w:sz w:val="24"/>
        </w:rPr>
      </w:pPr>
      <w:r>
        <w:rPr>
          <w:rFonts w:ascii="Arial" w:hAnsi="Arial" w:cs="Arial"/>
          <w:spacing w:val="-4"/>
          <w:sz w:val="24"/>
        </w:rPr>
        <w:t>2025</w:t>
      </w:r>
      <w:r>
        <w:rPr>
          <w:rFonts w:ascii="Arial" w:hAnsi="Arial" w:cs="Arial"/>
          <w:sz w:val="24"/>
        </w:rPr>
        <w:t xml:space="preserve"> 年 1 月 1 日至 2025 年 12 月 31 日期间，质检部在成品检验、物料检验、制药用水检验、稳定性样品检验、工艺用气检验、验证相关检验及中间控制检验等各项检验活动中，共发生检验异常 XX 起，涉及超标结果（OOS）、超趋势结果（OOT）及异常结果（OOE）三类情形。本报告旨在对 2025 年度公司范围内发生的全部检验异常开展系统性回顾、深度分析与全面总结，全面评估检验异常管理体系的运行有效性，精准识别体系运行中存在的系统性、根源性问题，据此制定针对性改进措施，为后续质量管理工作的持续优化与提升提供坚实依据。</w:t>
      </w:r>
    </w:p>
    <w:p w14:paraId="3FD0A244">
      <w:pPr>
        <w:pStyle w:val="3"/>
        <w:spacing w:before="156" w:beforeLines="50" w:after="0" w:line="400" w:lineRule="exact"/>
        <w:jc w:val="left"/>
        <w:rPr>
          <w:rFonts w:cs="Arial"/>
          <w:b w:val="0"/>
          <w:sz w:val="28"/>
          <w:szCs w:val="28"/>
        </w:rPr>
      </w:pPr>
      <w:r>
        <w:rPr>
          <w:rFonts w:cs="Arial"/>
          <w:b w:val="0"/>
          <w:sz w:val="28"/>
          <w:szCs w:val="28"/>
        </w:rPr>
        <w:t>2  2025年度</w:t>
      </w:r>
      <w:r>
        <w:rPr>
          <w:rFonts w:hint="eastAsia" w:cs="Arial"/>
          <w:b w:val="0"/>
          <w:sz w:val="28"/>
          <w:szCs w:val="28"/>
        </w:rPr>
        <w:t>检验异常</w:t>
      </w:r>
      <w:r>
        <w:rPr>
          <w:rFonts w:cs="Arial"/>
          <w:b w:val="0"/>
          <w:sz w:val="28"/>
          <w:szCs w:val="28"/>
        </w:rPr>
        <w:t>数据</w:t>
      </w:r>
      <w:r>
        <w:rPr>
          <w:rFonts w:hint="eastAsia" w:cs="Arial"/>
          <w:b w:val="0"/>
          <w:sz w:val="28"/>
          <w:szCs w:val="28"/>
        </w:rPr>
        <w:t>分析</w:t>
      </w:r>
    </w:p>
    <w:p w14:paraId="18A512EA">
      <w:pPr>
        <w:pStyle w:val="33"/>
        <w:numPr>
          <w:ilvl w:val="1"/>
          <w:numId w:val="1"/>
        </w:numPr>
        <w:spacing w:line="400" w:lineRule="exact"/>
        <w:ind w:left="0" w:firstLine="0" w:firstLineChars="0"/>
        <w:rPr>
          <w:rFonts w:ascii="Arial" w:hAnsi="Arial" w:eastAsia="黑体" w:cs="Arial"/>
          <w:color w:val="000000"/>
          <w:sz w:val="24"/>
        </w:rPr>
      </w:pPr>
      <w:r>
        <w:rPr>
          <w:rFonts w:ascii="Arial" w:hAnsi="Arial" w:eastAsia="黑体" w:cs="Arial"/>
          <w:color w:val="000000"/>
          <w:sz w:val="24"/>
        </w:rPr>
        <w:t>2025年</w:t>
      </w:r>
      <w:r>
        <w:rPr>
          <w:rFonts w:hint="eastAsia" w:ascii="Arial" w:hAnsi="Arial" w:eastAsia="黑体" w:cs="Arial"/>
          <w:color w:val="000000"/>
          <w:sz w:val="24"/>
        </w:rPr>
        <w:t>检验异常</w:t>
      </w:r>
      <w:r>
        <w:rPr>
          <w:rFonts w:ascii="Arial" w:hAnsi="Arial" w:eastAsia="黑体" w:cs="Arial"/>
          <w:color w:val="000000"/>
          <w:sz w:val="24"/>
        </w:rPr>
        <w:t>的来源</w:t>
      </w:r>
    </w:p>
    <w:tbl>
      <w:tblPr>
        <w:tblStyle w:val="25"/>
        <w:tblW w:w="8926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5"/>
        <w:gridCol w:w="1246"/>
        <w:gridCol w:w="1221"/>
        <w:gridCol w:w="1224"/>
        <w:gridCol w:w="1332"/>
        <w:gridCol w:w="960"/>
        <w:gridCol w:w="1308"/>
      </w:tblGrid>
      <w:tr w14:paraId="72EE80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635" w:type="dxa"/>
            <w:vMerge w:val="restart"/>
            <w:tcBorders>
              <w:tl2br w:val="single" w:color="auto" w:sz="4" w:space="0"/>
            </w:tcBorders>
            <w:vAlign w:val="center"/>
          </w:tcPr>
          <w:p w14:paraId="6897E766">
            <w:pPr>
              <w:pStyle w:val="33"/>
              <w:spacing w:line="400" w:lineRule="exact"/>
              <w:ind w:left="720" w:hanging="720" w:hangingChars="300"/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 xml:space="preserve"> </w:t>
            </w:r>
            <w:r>
              <w:rPr>
                <w:rFonts w:ascii="Arial" w:hAnsi="Arial" w:cs="Arial"/>
                <w:color w:val="000000"/>
                <w:sz w:val="24"/>
              </w:rPr>
              <w:t xml:space="preserve">   </w:t>
            </w:r>
            <w:r>
              <w:rPr>
                <w:rFonts w:hint="eastAsia" w:ascii="Arial" w:hAnsi="Arial" w:cs="Arial"/>
                <w:color w:val="000000"/>
                <w:sz w:val="18"/>
                <w:szCs w:val="18"/>
              </w:rPr>
              <w:t>年份/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Arial" w:hAnsi="Arial" w:cs="Arial"/>
                <w:color w:val="000000"/>
                <w:sz w:val="18"/>
                <w:szCs w:val="18"/>
              </w:rPr>
              <w:t>数量</w:t>
            </w:r>
          </w:p>
          <w:p w14:paraId="646F754A">
            <w:pPr>
              <w:pStyle w:val="33"/>
              <w:spacing w:line="400" w:lineRule="exact"/>
              <w:ind w:firstLine="0" w:firstLineChars="0"/>
              <w:jc w:val="left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18"/>
                <w:szCs w:val="18"/>
              </w:rPr>
              <w:t xml:space="preserve">来源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Arial" w:hAnsi="Arial" w:cs="Arial"/>
                <w:color w:val="000000"/>
                <w:sz w:val="24"/>
              </w:rPr>
              <w:t xml:space="preserve">  </w:t>
            </w:r>
          </w:p>
        </w:tc>
        <w:tc>
          <w:tcPr>
            <w:tcW w:w="3691" w:type="dxa"/>
            <w:gridSpan w:val="3"/>
            <w:vAlign w:val="center"/>
          </w:tcPr>
          <w:p w14:paraId="074BA9C0">
            <w:pPr>
              <w:pStyle w:val="33"/>
              <w:spacing w:line="400" w:lineRule="exact"/>
              <w:ind w:firstLine="960" w:firstLineChars="400"/>
              <w:rPr>
                <w:rFonts w:ascii="Arial" w:hAnsi="Arial" w:eastAsia="黑体" w:cs="Arial"/>
                <w:color w:val="000000"/>
                <w:sz w:val="24"/>
              </w:rPr>
            </w:pPr>
            <w:r>
              <w:rPr>
                <w:rFonts w:ascii="Arial" w:hAnsi="Arial" w:cs="Arial"/>
                <w:color w:val="000000"/>
                <w:sz w:val="24"/>
              </w:rPr>
              <w:t>2024</w:t>
            </w:r>
            <w:r>
              <w:rPr>
                <w:rFonts w:hint="eastAsia" w:ascii="Arial" w:hAnsi="Arial" w:cs="Arial"/>
                <w:color w:val="000000"/>
                <w:sz w:val="24"/>
              </w:rPr>
              <w:t>年</w:t>
            </w:r>
          </w:p>
        </w:tc>
        <w:tc>
          <w:tcPr>
            <w:tcW w:w="3600" w:type="dxa"/>
            <w:gridSpan w:val="3"/>
            <w:vAlign w:val="center"/>
          </w:tcPr>
          <w:p w14:paraId="1A359580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  <w:r>
              <w:rPr>
                <w:rFonts w:ascii="Arial" w:hAnsi="Arial" w:cs="Arial"/>
                <w:color w:val="000000"/>
                <w:sz w:val="24"/>
              </w:rPr>
              <w:t>2025</w:t>
            </w:r>
            <w:r>
              <w:rPr>
                <w:rFonts w:hint="eastAsia" w:ascii="Arial" w:hAnsi="Arial" w:cs="Arial"/>
                <w:color w:val="000000"/>
                <w:sz w:val="24"/>
              </w:rPr>
              <w:t>年</w:t>
            </w:r>
          </w:p>
        </w:tc>
      </w:tr>
      <w:tr w14:paraId="7CC1FD0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635" w:type="dxa"/>
            <w:vMerge w:val="continue"/>
            <w:vAlign w:val="center"/>
          </w:tcPr>
          <w:p w14:paraId="19C77AEE">
            <w:pPr>
              <w:pStyle w:val="33"/>
              <w:spacing w:line="400" w:lineRule="exact"/>
              <w:ind w:firstLine="0" w:firstLineChars="0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46" w:type="dxa"/>
            <w:vAlign w:val="center"/>
          </w:tcPr>
          <w:p w14:paraId="14C3B8C8">
            <w:pPr>
              <w:pStyle w:val="33"/>
              <w:spacing w:line="400" w:lineRule="exact"/>
              <w:ind w:firstLine="0" w:firstLineChars="0"/>
              <w:rPr>
                <w:rFonts w:ascii="宋体" w:hAnsi="宋体" w:cs="Arial"/>
                <w:color w:val="000000"/>
                <w:sz w:val="24"/>
              </w:rPr>
            </w:pPr>
            <w:r>
              <w:rPr>
                <w:rFonts w:hint="eastAsia" w:ascii="宋体" w:hAnsi="宋体" w:cs="Arial"/>
                <w:color w:val="000000"/>
                <w:sz w:val="24"/>
              </w:rPr>
              <w:t>发起数量</w:t>
            </w:r>
          </w:p>
        </w:tc>
        <w:tc>
          <w:tcPr>
            <w:tcW w:w="1221" w:type="dxa"/>
            <w:vAlign w:val="center"/>
          </w:tcPr>
          <w:p w14:paraId="33948C9A">
            <w:pPr>
              <w:pStyle w:val="33"/>
              <w:spacing w:line="400" w:lineRule="exact"/>
              <w:ind w:firstLine="0" w:firstLineChars="0"/>
              <w:jc w:val="left"/>
              <w:rPr>
                <w:rFonts w:ascii="宋体" w:hAnsi="宋体" w:cs="Arial"/>
                <w:color w:val="000000"/>
                <w:sz w:val="24"/>
              </w:rPr>
            </w:pPr>
            <w:r>
              <w:rPr>
                <w:rFonts w:hint="eastAsia" w:ascii="宋体" w:hAnsi="宋体" w:cs="Arial"/>
                <w:color w:val="000000"/>
                <w:sz w:val="24"/>
              </w:rPr>
              <w:t>终止数</w:t>
            </w:r>
          </w:p>
        </w:tc>
        <w:tc>
          <w:tcPr>
            <w:tcW w:w="1224" w:type="dxa"/>
            <w:vAlign w:val="center"/>
          </w:tcPr>
          <w:p w14:paraId="64E2AF68">
            <w:pPr>
              <w:pStyle w:val="33"/>
              <w:spacing w:line="400" w:lineRule="exact"/>
              <w:ind w:firstLine="0" w:firstLineChars="0"/>
              <w:rPr>
                <w:rFonts w:ascii="宋体" w:hAnsi="宋体" w:cs="Arial"/>
                <w:color w:val="000000"/>
                <w:sz w:val="24"/>
              </w:rPr>
            </w:pPr>
            <w:r>
              <w:rPr>
                <w:rFonts w:hint="eastAsia" w:ascii="宋体" w:hAnsi="宋体" w:cs="Arial"/>
                <w:color w:val="000000"/>
                <w:sz w:val="24"/>
              </w:rPr>
              <w:t>实际数量</w:t>
            </w:r>
          </w:p>
        </w:tc>
        <w:tc>
          <w:tcPr>
            <w:tcW w:w="1332" w:type="dxa"/>
            <w:vAlign w:val="center"/>
          </w:tcPr>
          <w:p w14:paraId="5403C72D">
            <w:pPr>
              <w:pStyle w:val="33"/>
              <w:spacing w:line="400" w:lineRule="exact"/>
              <w:ind w:firstLine="0" w:firstLineChars="0"/>
              <w:rPr>
                <w:rFonts w:ascii="宋体" w:hAnsi="宋体" w:cs="Arial"/>
                <w:color w:val="000000"/>
                <w:sz w:val="24"/>
              </w:rPr>
            </w:pPr>
            <w:r>
              <w:rPr>
                <w:rFonts w:hint="eastAsia" w:ascii="宋体" w:hAnsi="宋体" w:cs="Arial"/>
                <w:color w:val="000000"/>
                <w:sz w:val="24"/>
              </w:rPr>
              <w:t>发起数量</w:t>
            </w:r>
          </w:p>
        </w:tc>
        <w:tc>
          <w:tcPr>
            <w:tcW w:w="960" w:type="dxa"/>
            <w:vAlign w:val="center"/>
          </w:tcPr>
          <w:p w14:paraId="2FFCED27">
            <w:pPr>
              <w:pStyle w:val="33"/>
              <w:spacing w:line="400" w:lineRule="exact"/>
              <w:ind w:firstLine="0" w:firstLineChars="0"/>
              <w:rPr>
                <w:rFonts w:ascii="宋体" w:hAnsi="宋体" w:cs="Arial"/>
                <w:color w:val="000000"/>
                <w:sz w:val="24"/>
              </w:rPr>
            </w:pPr>
            <w:r>
              <w:rPr>
                <w:rFonts w:hint="eastAsia" w:ascii="宋体" w:hAnsi="宋体" w:cs="Arial"/>
                <w:color w:val="000000"/>
                <w:sz w:val="24"/>
              </w:rPr>
              <w:t>终止数</w:t>
            </w:r>
          </w:p>
        </w:tc>
        <w:tc>
          <w:tcPr>
            <w:tcW w:w="1308" w:type="dxa"/>
            <w:vAlign w:val="center"/>
          </w:tcPr>
          <w:p w14:paraId="1522C8E9">
            <w:pPr>
              <w:pStyle w:val="33"/>
              <w:spacing w:line="400" w:lineRule="exact"/>
              <w:ind w:firstLine="0" w:firstLineChars="0"/>
              <w:rPr>
                <w:rFonts w:ascii="宋体" w:hAnsi="宋体" w:cs="Arial"/>
                <w:color w:val="000000"/>
                <w:sz w:val="24"/>
              </w:rPr>
            </w:pPr>
            <w:r>
              <w:rPr>
                <w:rFonts w:hint="eastAsia" w:ascii="宋体" w:hAnsi="宋体" w:cs="Arial"/>
                <w:color w:val="000000"/>
                <w:sz w:val="24"/>
              </w:rPr>
              <w:t>实际数量</w:t>
            </w:r>
          </w:p>
        </w:tc>
      </w:tr>
      <w:tr w14:paraId="0980F9F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635" w:type="dxa"/>
            <w:vAlign w:val="center"/>
          </w:tcPr>
          <w:p w14:paraId="1D880908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O</w:t>
            </w:r>
            <w:r>
              <w:rPr>
                <w:rFonts w:ascii="Arial" w:hAnsi="Arial" w:cs="Arial"/>
                <w:color w:val="000000"/>
                <w:sz w:val="24"/>
              </w:rPr>
              <w:t>OS</w:t>
            </w:r>
          </w:p>
        </w:tc>
        <w:tc>
          <w:tcPr>
            <w:tcW w:w="1246" w:type="dxa"/>
            <w:vAlign w:val="center"/>
          </w:tcPr>
          <w:p w14:paraId="06CF43E3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</w:p>
        </w:tc>
        <w:tc>
          <w:tcPr>
            <w:tcW w:w="1221" w:type="dxa"/>
            <w:vAlign w:val="center"/>
          </w:tcPr>
          <w:p w14:paraId="586C15FC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</w:p>
        </w:tc>
        <w:tc>
          <w:tcPr>
            <w:tcW w:w="1224" w:type="dxa"/>
            <w:vAlign w:val="center"/>
          </w:tcPr>
          <w:p w14:paraId="45943911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</w:p>
        </w:tc>
        <w:tc>
          <w:tcPr>
            <w:tcW w:w="1332" w:type="dxa"/>
            <w:vAlign w:val="center"/>
          </w:tcPr>
          <w:p w14:paraId="4E9E415E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</w:p>
        </w:tc>
        <w:tc>
          <w:tcPr>
            <w:tcW w:w="960" w:type="dxa"/>
            <w:vAlign w:val="center"/>
          </w:tcPr>
          <w:p w14:paraId="283E8D24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</w:p>
        </w:tc>
        <w:tc>
          <w:tcPr>
            <w:tcW w:w="1308" w:type="dxa"/>
            <w:vAlign w:val="center"/>
          </w:tcPr>
          <w:p w14:paraId="02B95754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</w:p>
        </w:tc>
      </w:tr>
      <w:tr w14:paraId="0A3823D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635" w:type="dxa"/>
            <w:vAlign w:val="center"/>
          </w:tcPr>
          <w:p w14:paraId="34034557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O</w:t>
            </w:r>
            <w:r>
              <w:rPr>
                <w:rFonts w:ascii="Arial" w:hAnsi="Arial" w:cs="Arial"/>
                <w:color w:val="000000"/>
                <w:sz w:val="24"/>
              </w:rPr>
              <w:t>OT</w:t>
            </w:r>
          </w:p>
        </w:tc>
        <w:tc>
          <w:tcPr>
            <w:tcW w:w="1246" w:type="dxa"/>
            <w:vAlign w:val="center"/>
          </w:tcPr>
          <w:p w14:paraId="7C87D9B1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</w:p>
        </w:tc>
        <w:tc>
          <w:tcPr>
            <w:tcW w:w="1221" w:type="dxa"/>
            <w:vAlign w:val="center"/>
          </w:tcPr>
          <w:p w14:paraId="02B75942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</w:p>
        </w:tc>
        <w:tc>
          <w:tcPr>
            <w:tcW w:w="1224" w:type="dxa"/>
            <w:vAlign w:val="center"/>
          </w:tcPr>
          <w:p w14:paraId="4EE7F97D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</w:p>
        </w:tc>
        <w:tc>
          <w:tcPr>
            <w:tcW w:w="1332" w:type="dxa"/>
            <w:vAlign w:val="center"/>
          </w:tcPr>
          <w:p w14:paraId="25E6E7EF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</w:p>
        </w:tc>
        <w:tc>
          <w:tcPr>
            <w:tcW w:w="960" w:type="dxa"/>
            <w:vAlign w:val="center"/>
          </w:tcPr>
          <w:p w14:paraId="265C7572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</w:p>
        </w:tc>
        <w:tc>
          <w:tcPr>
            <w:tcW w:w="1308" w:type="dxa"/>
            <w:vAlign w:val="center"/>
          </w:tcPr>
          <w:p w14:paraId="4412640A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</w:p>
        </w:tc>
      </w:tr>
      <w:tr w14:paraId="22A5CDF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635" w:type="dxa"/>
            <w:vAlign w:val="center"/>
          </w:tcPr>
          <w:p w14:paraId="26C2F99F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O</w:t>
            </w:r>
            <w:r>
              <w:rPr>
                <w:rFonts w:ascii="Arial" w:hAnsi="Arial" w:cs="Arial"/>
                <w:sz w:val="24"/>
              </w:rPr>
              <w:t>OE</w:t>
            </w:r>
          </w:p>
        </w:tc>
        <w:tc>
          <w:tcPr>
            <w:tcW w:w="1246" w:type="dxa"/>
            <w:vAlign w:val="center"/>
          </w:tcPr>
          <w:p w14:paraId="20EF036F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</w:p>
        </w:tc>
        <w:tc>
          <w:tcPr>
            <w:tcW w:w="1221" w:type="dxa"/>
            <w:vAlign w:val="center"/>
          </w:tcPr>
          <w:p w14:paraId="0C63756C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</w:p>
        </w:tc>
        <w:tc>
          <w:tcPr>
            <w:tcW w:w="1224" w:type="dxa"/>
            <w:vAlign w:val="center"/>
          </w:tcPr>
          <w:p w14:paraId="5E9C5745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</w:p>
        </w:tc>
        <w:tc>
          <w:tcPr>
            <w:tcW w:w="1332" w:type="dxa"/>
            <w:vAlign w:val="center"/>
          </w:tcPr>
          <w:p w14:paraId="055D8AED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</w:p>
        </w:tc>
        <w:tc>
          <w:tcPr>
            <w:tcW w:w="960" w:type="dxa"/>
            <w:vAlign w:val="center"/>
          </w:tcPr>
          <w:p w14:paraId="70A75C7E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</w:p>
        </w:tc>
        <w:tc>
          <w:tcPr>
            <w:tcW w:w="1308" w:type="dxa"/>
            <w:vAlign w:val="center"/>
          </w:tcPr>
          <w:p w14:paraId="5F944907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</w:p>
        </w:tc>
      </w:tr>
      <w:tr w14:paraId="097DA21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635" w:type="dxa"/>
            <w:vAlign w:val="center"/>
          </w:tcPr>
          <w:p w14:paraId="4DDC57A6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总计</w:t>
            </w:r>
          </w:p>
        </w:tc>
        <w:tc>
          <w:tcPr>
            <w:tcW w:w="1246" w:type="dxa"/>
            <w:vAlign w:val="center"/>
          </w:tcPr>
          <w:p w14:paraId="191B6362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</w:p>
        </w:tc>
        <w:tc>
          <w:tcPr>
            <w:tcW w:w="1221" w:type="dxa"/>
            <w:vAlign w:val="center"/>
          </w:tcPr>
          <w:p w14:paraId="4AC0658A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</w:p>
        </w:tc>
        <w:tc>
          <w:tcPr>
            <w:tcW w:w="1224" w:type="dxa"/>
            <w:vAlign w:val="center"/>
          </w:tcPr>
          <w:p w14:paraId="52044F26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</w:p>
        </w:tc>
        <w:tc>
          <w:tcPr>
            <w:tcW w:w="1332" w:type="dxa"/>
            <w:vAlign w:val="center"/>
          </w:tcPr>
          <w:p w14:paraId="39668D04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</w:p>
        </w:tc>
        <w:tc>
          <w:tcPr>
            <w:tcW w:w="960" w:type="dxa"/>
            <w:vAlign w:val="center"/>
          </w:tcPr>
          <w:p w14:paraId="2E3C9C7C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</w:p>
        </w:tc>
        <w:tc>
          <w:tcPr>
            <w:tcW w:w="1308" w:type="dxa"/>
            <w:vAlign w:val="center"/>
          </w:tcPr>
          <w:p w14:paraId="664C0634">
            <w:pPr>
              <w:pStyle w:val="33"/>
              <w:spacing w:line="400" w:lineRule="exact"/>
              <w:ind w:firstLine="0" w:firstLineChars="0"/>
              <w:jc w:val="center"/>
              <w:rPr>
                <w:rFonts w:ascii="Arial" w:hAnsi="Arial" w:eastAsia="黑体" w:cs="Arial"/>
                <w:color w:val="000000"/>
                <w:sz w:val="24"/>
              </w:rPr>
            </w:pPr>
          </w:p>
        </w:tc>
      </w:tr>
    </w:tbl>
    <w:p w14:paraId="47A09BFA">
      <w:pPr>
        <w:spacing w:after="156" w:afterLines="50"/>
        <w:ind w:left="422" w:leftChars="201" w:firstLine="2"/>
        <w:rPr>
          <w:rFonts w:ascii="Arial" w:hAnsi="Arial" w:cs="Arial"/>
          <w:sz w:val="24"/>
        </w:rPr>
      </w:pPr>
      <w:r>
        <w:drawing>
          <wp:inline distT="0" distB="0" distL="0" distR="0">
            <wp:extent cx="5410200" cy="2419350"/>
            <wp:effectExtent l="0" t="0" r="0" b="0"/>
            <wp:docPr id="5" name="图表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F9D414B">
      <w:pPr>
        <w:pStyle w:val="12"/>
        <w:spacing w:line="400" w:lineRule="exact"/>
        <w:ind w:left="720" w:hanging="720" w:hangingChars="300"/>
        <w:rPr>
          <w:rFonts w:ascii="Arial" w:hAnsi="Arial" w:cs="Arial"/>
          <w:sz w:val="24"/>
        </w:rPr>
      </w:pPr>
      <w:r>
        <w:rPr>
          <w:rFonts w:hint="eastAsia" w:ascii="Arial" w:hAnsi="Arial" w:cs="Arial"/>
          <w:color w:val="000000"/>
          <w:sz w:val="24"/>
        </w:rPr>
        <w:t>小结：</w:t>
      </w:r>
      <w:r>
        <w:rPr>
          <w:rFonts w:ascii="Arial" w:hAnsi="Arial" w:cs="Arial"/>
          <w:sz w:val="24"/>
        </w:rPr>
        <w:t>2025 年，因</w:t>
      </w:r>
      <w:r>
        <w:rPr>
          <w:rFonts w:hint="eastAsia" w:ascii="Arial" w:hAnsi="Arial" w:cs="Arial"/>
          <w:sz w:val="24"/>
          <w:lang w:eastAsia="zh-CN"/>
        </w:rPr>
        <w:t>产品名（ll）</w:t>
      </w:r>
      <w:r>
        <w:rPr>
          <w:rFonts w:ascii="Arial" w:hAnsi="Arial" w:cs="Arial"/>
          <w:sz w:val="24"/>
        </w:rPr>
        <w:t>注射液已实现商业化上市，产品生产量显著提升，带动检验工作量同步增长，检验异常发生数量随之上升至 XX 起。《非预期结果（OOE）管理规程》于2024.09.30执行，文件执行后未出现此类型异常情况。2025年已终止数量有XX起，主要原因选错检验异常类型</w:t>
      </w:r>
      <w:r>
        <w:rPr>
          <w:rFonts w:hint="eastAsia" w:ascii="Arial" w:hAnsi="Arial" w:cs="Arial"/>
          <w:sz w:val="24"/>
        </w:rPr>
        <w:t>.</w:t>
      </w:r>
    </w:p>
    <w:p w14:paraId="3505DC8D">
      <w:pPr>
        <w:pStyle w:val="33"/>
        <w:numPr>
          <w:ilvl w:val="1"/>
          <w:numId w:val="1"/>
        </w:numPr>
        <w:spacing w:line="400" w:lineRule="exact"/>
        <w:ind w:left="0" w:firstLine="0" w:firstLineChars="0"/>
        <w:rPr>
          <w:rFonts w:ascii="Arial" w:hAnsi="Arial" w:eastAsia="黑体" w:cs="Arial"/>
          <w:color w:val="000000"/>
          <w:sz w:val="24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208280</wp:posOffset>
            </wp:positionH>
            <wp:positionV relativeFrom="paragraph">
              <wp:posOffset>2126615</wp:posOffset>
            </wp:positionV>
            <wp:extent cx="5469890" cy="3315335"/>
            <wp:effectExtent l="0" t="0" r="16510" b="18415"/>
            <wp:wrapTight wrapText="bothSides">
              <wp:wrapPolygon>
                <wp:start x="0" y="0"/>
                <wp:lineTo x="0" y="21596"/>
                <wp:lineTo x="21590" y="21596"/>
                <wp:lineTo x="21590" y="0"/>
                <wp:lineTo x="0" y="0"/>
              </wp:wrapPolygon>
            </wp:wrapTight>
            <wp:docPr id="2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  <w:r>
        <w:rPr>
          <w:rFonts w:ascii="Arial" w:hAnsi="Arial" w:eastAsia="黑体" w:cs="Arial"/>
          <w:sz w:val="24"/>
        </w:rPr>
        <w:t xml:space="preserve"> OOS/OOT</w:t>
      </w:r>
      <w:r>
        <w:rPr>
          <w:rFonts w:hint="eastAsia" w:ascii="Arial" w:hAnsi="Arial" w:eastAsia="黑体" w:cs="Arial"/>
          <w:sz w:val="24"/>
        </w:rPr>
        <w:t>/</w:t>
      </w:r>
      <w:r>
        <w:rPr>
          <w:rFonts w:ascii="Arial" w:hAnsi="Arial" w:eastAsia="黑体" w:cs="Arial"/>
          <w:sz w:val="24"/>
        </w:rPr>
        <w:t>OOE</w:t>
      </w:r>
      <w:r>
        <w:rPr>
          <w:rFonts w:hint="eastAsia" w:ascii="Arial" w:hAnsi="Arial" w:eastAsia="黑体" w:cs="Arial"/>
          <w:sz w:val="24"/>
        </w:rPr>
        <w:t>根本原因</w:t>
      </w:r>
      <w:r>
        <w:rPr>
          <w:rFonts w:ascii="Arial" w:hAnsi="Arial" w:eastAsia="黑体" w:cs="Arial"/>
          <w:sz w:val="24"/>
        </w:rPr>
        <w:t>类型</w:t>
      </w:r>
      <w:r>
        <w:rPr>
          <w:rFonts w:hint="eastAsia" w:ascii="Arial" w:hAnsi="Arial" w:eastAsia="黑体" w:cs="Arial"/>
          <w:sz w:val="24"/>
        </w:rPr>
        <w:t>与调查情况分析</w:t>
      </w:r>
    </w:p>
    <w:tbl>
      <w:tblPr>
        <w:tblStyle w:val="25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8"/>
        <w:gridCol w:w="3969"/>
      </w:tblGrid>
      <w:tr w14:paraId="73048B3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  <w:vAlign w:val="center"/>
          </w:tcPr>
          <w:p w14:paraId="7F90972E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根本原因类型</w:t>
            </w:r>
          </w:p>
        </w:tc>
        <w:tc>
          <w:tcPr>
            <w:tcW w:w="3969" w:type="dxa"/>
            <w:vAlign w:val="center"/>
          </w:tcPr>
          <w:p w14:paraId="6904AA42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数量</w:t>
            </w:r>
          </w:p>
        </w:tc>
      </w:tr>
      <w:tr w14:paraId="5116F0F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  <w:vAlign w:val="center"/>
          </w:tcPr>
          <w:p w14:paraId="7D8A5647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/>
                <w:color w:val="000000"/>
                <w:sz w:val="24"/>
              </w:rPr>
              <w:t>实验室原因，OOS/OOT/OOE无效</w:t>
            </w:r>
          </w:p>
        </w:tc>
        <w:tc>
          <w:tcPr>
            <w:tcW w:w="3969" w:type="dxa"/>
            <w:vAlign w:val="center"/>
          </w:tcPr>
          <w:p w14:paraId="3F1CDB54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14:paraId="25E4298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  <w:vAlign w:val="center"/>
          </w:tcPr>
          <w:p w14:paraId="7827308F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/>
                <w:color w:val="000000"/>
                <w:sz w:val="24"/>
              </w:rPr>
              <w:t>生产偏差，OOS/OOT/OOE有效</w:t>
            </w:r>
          </w:p>
        </w:tc>
        <w:tc>
          <w:tcPr>
            <w:tcW w:w="3969" w:type="dxa"/>
            <w:vAlign w:val="center"/>
          </w:tcPr>
          <w:p w14:paraId="127ECF52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14:paraId="288F1AA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  <w:vAlign w:val="center"/>
          </w:tcPr>
          <w:p w14:paraId="3D19BE04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/>
                <w:color w:val="000000"/>
                <w:sz w:val="24"/>
              </w:rPr>
              <w:t>其他：</w:t>
            </w:r>
            <w:r>
              <w:rPr>
                <w:rFonts w:hint="eastAsia" w:ascii="Arial" w:hAnsi="Arial" w:cs="Arial"/>
                <w:color w:val="000000"/>
                <w:sz w:val="24"/>
              </w:rPr>
              <w:t>物料吸潮</w:t>
            </w:r>
          </w:p>
        </w:tc>
        <w:tc>
          <w:tcPr>
            <w:tcW w:w="3969" w:type="dxa"/>
            <w:vAlign w:val="center"/>
          </w:tcPr>
          <w:p w14:paraId="1F9B6C1B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14:paraId="445B70F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  <w:vAlign w:val="center"/>
          </w:tcPr>
          <w:p w14:paraId="14FF5B02">
            <w:pPr>
              <w:spacing w:line="4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color w:val="000000"/>
                <w:sz w:val="24"/>
              </w:rPr>
              <w:t>供应商产品质量问题</w:t>
            </w:r>
            <w:r>
              <w:rPr>
                <w:rFonts w:ascii="Arial" w:hAnsi="Arial" w:cs="Arial"/>
                <w:sz w:val="24"/>
              </w:rPr>
              <w:t xml:space="preserve"> </w:t>
            </w:r>
          </w:p>
        </w:tc>
        <w:tc>
          <w:tcPr>
            <w:tcW w:w="3969" w:type="dxa"/>
            <w:vAlign w:val="center"/>
          </w:tcPr>
          <w:p w14:paraId="23530E61">
            <w:pPr>
              <w:spacing w:line="4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79D8631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  <w:vAlign w:val="center"/>
          </w:tcPr>
          <w:p w14:paraId="030A53E9">
            <w:pPr>
              <w:spacing w:line="4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实验室和生产均未发现可归属原因</w:t>
            </w:r>
          </w:p>
        </w:tc>
        <w:tc>
          <w:tcPr>
            <w:tcW w:w="3969" w:type="dxa"/>
            <w:vAlign w:val="center"/>
          </w:tcPr>
          <w:p w14:paraId="3E41B563">
            <w:pPr>
              <w:spacing w:line="4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17FE4B5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  <w:vAlign w:val="center"/>
          </w:tcPr>
          <w:p w14:paraId="14453641">
            <w:pPr>
              <w:spacing w:line="4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color w:val="000000"/>
                <w:sz w:val="24"/>
              </w:rPr>
              <w:t>总计</w:t>
            </w:r>
          </w:p>
        </w:tc>
        <w:tc>
          <w:tcPr>
            <w:tcW w:w="3969" w:type="dxa"/>
            <w:vAlign w:val="center"/>
          </w:tcPr>
          <w:p w14:paraId="3E3F286A">
            <w:pPr>
              <w:spacing w:line="4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6629D088">
      <w:pPr>
        <w:spacing w:line="400" w:lineRule="exact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小结：</w:t>
      </w:r>
    </w:p>
    <w:p w14:paraId="6D31EE76">
      <w:pPr>
        <w:pStyle w:val="33"/>
        <w:numPr>
          <w:ilvl w:val="0"/>
          <w:numId w:val="2"/>
        </w:numPr>
        <w:spacing w:line="400" w:lineRule="exact"/>
        <w:ind w:firstLineChars="0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由上表/图可知，大部分O</w:t>
      </w:r>
      <w:r>
        <w:rPr>
          <w:rFonts w:ascii="Arial" w:hAnsi="Arial" w:cs="Arial"/>
          <w:sz w:val="24"/>
        </w:rPr>
        <w:t>OS/OOT</w:t>
      </w:r>
      <w:r>
        <w:rPr>
          <w:rFonts w:hint="eastAsia" w:ascii="Arial" w:hAnsi="Arial" w:cs="Arial"/>
          <w:sz w:val="24"/>
        </w:rPr>
        <w:t>/</w:t>
      </w:r>
      <w:r>
        <w:rPr>
          <w:rFonts w:ascii="Arial" w:hAnsi="Arial" w:cs="Arial"/>
          <w:sz w:val="24"/>
        </w:rPr>
        <w:t>OOE</w:t>
      </w:r>
      <w:r>
        <w:rPr>
          <w:rFonts w:hint="eastAsia" w:ascii="Arial" w:hAnsi="Arial" w:cs="Arial"/>
          <w:sz w:val="24"/>
        </w:rPr>
        <w:t>是由于实验室原因引起，个数为</w:t>
      </w:r>
      <w:r>
        <w:rPr>
          <w:rFonts w:ascii="Arial" w:hAnsi="Arial" w:cs="Arial"/>
          <w:sz w:val="24"/>
        </w:rPr>
        <w:t>XX</w:t>
      </w:r>
      <w:r>
        <w:rPr>
          <w:rFonts w:hint="eastAsia" w:ascii="Arial" w:hAnsi="Arial" w:cs="Arial"/>
          <w:sz w:val="24"/>
        </w:rPr>
        <w:t>，占比为</w:t>
      </w:r>
      <w:r>
        <w:rPr>
          <w:rFonts w:ascii="Arial" w:hAnsi="Arial" w:cs="Arial"/>
          <w:sz w:val="24"/>
        </w:rPr>
        <w:t>XX</w:t>
      </w:r>
      <w:r>
        <w:rPr>
          <w:rFonts w:hint="eastAsia" w:ascii="Arial" w:hAnsi="Arial" w:cs="Arial"/>
          <w:sz w:val="24"/>
        </w:rPr>
        <w:t>。主要是由于。</w:t>
      </w:r>
    </w:p>
    <w:p w14:paraId="2F9604C7">
      <w:pPr>
        <w:pStyle w:val="33"/>
        <w:numPr>
          <w:ilvl w:val="0"/>
          <w:numId w:val="2"/>
        </w:numPr>
        <w:spacing w:line="400" w:lineRule="exact"/>
        <w:ind w:firstLineChars="0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生产偏差个数为</w:t>
      </w:r>
      <w:r>
        <w:rPr>
          <w:rFonts w:ascii="Arial" w:hAnsi="Arial" w:cs="Arial"/>
          <w:sz w:val="24"/>
        </w:rPr>
        <w:t>XX</w:t>
      </w:r>
      <w:r>
        <w:rPr>
          <w:rFonts w:hint="eastAsia" w:ascii="Arial" w:hAnsi="Arial" w:cs="Arial"/>
          <w:sz w:val="24"/>
        </w:rPr>
        <w:t>例，占比</w:t>
      </w:r>
      <w:r>
        <w:rPr>
          <w:rFonts w:ascii="Arial" w:hAnsi="Arial" w:cs="Arial"/>
          <w:sz w:val="24"/>
        </w:rPr>
        <w:t>XX</w:t>
      </w:r>
      <w:r>
        <w:rPr>
          <w:rFonts w:hint="eastAsia" w:ascii="Arial" w:hAnsi="Arial" w:cs="Arial"/>
          <w:sz w:val="24"/>
        </w:rPr>
        <w:t>。主要来源于T</w:t>
      </w:r>
      <w:r>
        <w:rPr>
          <w:rFonts w:ascii="Arial" w:hAnsi="Arial" w:cs="Arial"/>
          <w:sz w:val="24"/>
        </w:rPr>
        <w:t>OC</w:t>
      </w:r>
      <w:r>
        <w:rPr>
          <w:rFonts w:hint="eastAsia" w:ascii="Arial" w:hAnsi="Arial" w:cs="Arial"/>
          <w:sz w:val="24"/>
        </w:rPr>
        <w:t>超标，主要原因为文件描述不清晰导致人员操作失误；生产人员及取样人员存在沟通不充分提前取样；人员操作不规范。</w:t>
      </w:r>
    </w:p>
    <w:p w14:paraId="29420CF4">
      <w:pPr>
        <w:pStyle w:val="33"/>
        <w:numPr>
          <w:ilvl w:val="0"/>
          <w:numId w:val="2"/>
        </w:numPr>
        <w:spacing w:line="400" w:lineRule="exact"/>
        <w:ind w:firstLineChars="0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供应商产品质量问题的检验异常个数为</w:t>
      </w:r>
      <w:r>
        <w:rPr>
          <w:rFonts w:ascii="Arial" w:hAnsi="Arial" w:cs="Arial"/>
          <w:sz w:val="24"/>
        </w:rPr>
        <w:t>XX</w:t>
      </w:r>
      <w:r>
        <w:rPr>
          <w:rFonts w:hint="eastAsia" w:ascii="Arial" w:hAnsi="Arial" w:cs="Arial"/>
          <w:sz w:val="24"/>
        </w:rPr>
        <w:t>例，占比为</w:t>
      </w:r>
      <w:r>
        <w:rPr>
          <w:rFonts w:ascii="Arial" w:hAnsi="Arial" w:cs="Arial"/>
          <w:sz w:val="24"/>
        </w:rPr>
        <w:t>XX</w:t>
      </w:r>
      <w:r>
        <w:rPr>
          <w:rFonts w:hint="eastAsia" w:ascii="Arial" w:hAnsi="Arial" w:cs="Arial"/>
          <w:sz w:val="24"/>
        </w:rPr>
        <w:t>，3例（</w:t>
      </w:r>
      <w:r>
        <w:rPr>
          <w:rFonts w:ascii="Arial" w:hAnsi="Arial" w:cs="Arial"/>
          <w:sz w:val="24"/>
          <w:shd w:val="clear" w:color="auto" w:fill="FFFFFF"/>
        </w:rPr>
        <w:t>十二水合磷酸氢二钠含量、N,N'-二环己基碳二亚胺纯度、1-叔丁基-L-谷氨酸红外鉴别不符合要求</w:t>
      </w:r>
      <w:r>
        <w:rPr>
          <w:rFonts w:hint="eastAsia" w:ascii="Arial" w:hAnsi="Arial" w:cs="Arial"/>
          <w:sz w:val="24"/>
        </w:rPr>
        <w:t>）在实验室调查与生产调查无法找到原因，均及时反馈给供应商调查，并确认是供应商产品质量问题，得到反馈回复，并对物料进行退货处理。1例(</w:t>
      </w:r>
      <w:r>
        <w:rPr>
          <w:rFonts w:ascii="Arial" w:hAnsi="Arial" w:cs="Arial"/>
          <w:sz w:val="24"/>
          <w:shd w:val="clear" w:color="auto" w:fill="FFFFFF"/>
        </w:rPr>
        <w:t>曲拉通X-100生产商西陇科学股份有限公司</w:t>
      </w:r>
      <w:r>
        <w:rPr>
          <w:rFonts w:hint="eastAsia" w:ascii="Arial" w:hAnsi="Arial" w:cs="Arial"/>
          <w:sz w:val="24"/>
          <w:shd w:val="clear" w:color="auto" w:fill="FFFFFF"/>
        </w:rPr>
        <w:t>)</w:t>
      </w:r>
      <w:r>
        <w:rPr>
          <w:rFonts w:ascii="Arial" w:hAnsi="Arial" w:cs="Arial"/>
          <w:sz w:val="24"/>
          <w:shd w:val="clear" w:color="auto" w:fill="FFFFFF"/>
        </w:rPr>
        <w:t>有细微差异</w:t>
      </w:r>
      <w:r>
        <w:rPr>
          <w:rFonts w:hint="eastAsia" w:ascii="Arial" w:hAnsi="Arial" w:cs="Arial"/>
          <w:sz w:val="24"/>
        </w:rPr>
        <w:t>，经过评估可放行使用。</w:t>
      </w:r>
      <w:r>
        <w:rPr>
          <w:rFonts w:ascii="Arial" w:hAnsi="Arial" w:cs="Arial"/>
          <w:sz w:val="24"/>
          <w:shd w:val="clear" w:color="auto" w:fill="FFFFFF"/>
        </w:rPr>
        <w:t>使用后监测产品质量，产品各项目均符合质量标准，未对产品质量造成不良影响。</w:t>
      </w:r>
    </w:p>
    <w:p w14:paraId="7FBD3F6A">
      <w:pPr>
        <w:pStyle w:val="33"/>
        <w:numPr>
          <w:ilvl w:val="0"/>
          <w:numId w:val="2"/>
        </w:numPr>
        <w:spacing w:line="400" w:lineRule="exact"/>
        <w:ind w:firstLineChars="0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小部分O</w:t>
      </w:r>
      <w:r>
        <w:rPr>
          <w:rFonts w:ascii="Arial" w:hAnsi="Arial" w:cs="Arial"/>
          <w:sz w:val="24"/>
        </w:rPr>
        <w:t>OS/OOT/OOE</w:t>
      </w:r>
      <w:r>
        <w:rPr>
          <w:rFonts w:hint="eastAsia" w:ascii="Arial" w:hAnsi="Arial" w:cs="Arial"/>
          <w:sz w:val="24"/>
        </w:rPr>
        <w:t>经实验室和生产调查无法找到根本原因的数量有</w:t>
      </w:r>
      <w:r>
        <w:rPr>
          <w:rFonts w:ascii="Arial" w:hAnsi="Arial" w:cs="Arial"/>
          <w:sz w:val="24"/>
        </w:rPr>
        <w:t>XX</w:t>
      </w:r>
      <w:r>
        <w:rPr>
          <w:rFonts w:hint="eastAsia" w:ascii="Arial" w:hAnsi="Arial" w:cs="Arial"/>
          <w:sz w:val="24"/>
        </w:rPr>
        <w:t>例，占比</w:t>
      </w:r>
      <w:r>
        <w:rPr>
          <w:rFonts w:ascii="Arial" w:hAnsi="Arial" w:cs="Arial"/>
          <w:sz w:val="24"/>
        </w:rPr>
        <w:t>XX</w:t>
      </w:r>
      <w:r>
        <w:rPr>
          <w:rFonts w:hint="eastAsia" w:ascii="Arial" w:hAnsi="Arial" w:cs="Arial"/>
          <w:sz w:val="24"/>
        </w:rPr>
        <w:t>。其中O</w:t>
      </w:r>
      <w:r>
        <w:rPr>
          <w:rFonts w:ascii="Arial" w:hAnsi="Arial" w:cs="Arial"/>
          <w:sz w:val="24"/>
        </w:rPr>
        <w:t xml:space="preserve">OS  XX </w:t>
      </w:r>
      <w:r>
        <w:rPr>
          <w:rFonts w:hint="eastAsia" w:ascii="Arial" w:hAnsi="Arial" w:cs="Arial"/>
          <w:sz w:val="24"/>
        </w:rPr>
        <w:t>例，。</w:t>
      </w:r>
    </w:p>
    <w:p w14:paraId="247573FE">
      <w:pPr>
        <w:pStyle w:val="33"/>
        <w:spacing w:line="400" w:lineRule="exact"/>
        <w:ind w:left="840" w:firstLine="480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O</w:t>
      </w:r>
      <w:r>
        <w:rPr>
          <w:rFonts w:ascii="Arial" w:hAnsi="Arial" w:cs="Arial"/>
          <w:sz w:val="24"/>
        </w:rPr>
        <w:t xml:space="preserve">OT 1 </w:t>
      </w:r>
      <w:r>
        <w:rPr>
          <w:rFonts w:hint="eastAsia" w:ascii="Arial" w:hAnsi="Arial" w:cs="Arial"/>
          <w:sz w:val="24"/>
        </w:rPr>
        <w:t>例，为悬浮粒子监测数据超趋势，重新监测数据符合标准。</w:t>
      </w:r>
    </w:p>
    <w:p w14:paraId="65F7AB21">
      <w:pPr>
        <w:pStyle w:val="33"/>
        <w:spacing w:line="400" w:lineRule="exact"/>
        <w:ind w:left="840" w:firstLine="480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O</w:t>
      </w:r>
      <w:r>
        <w:rPr>
          <w:rFonts w:ascii="Arial" w:hAnsi="Arial" w:cs="Arial"/>
          <w:sz w:val="24"/>
        </w:rPr>
        <w:t>OE 2</w:t>
      </w:r>
      <w:r>
        <w:rPr>
          <w:rFonts w:hint="eastAsia" w:ascii="Arial" w:hAnsi="Arial" w:cs="Arial"/>
          <w:sz w:val="24"/>
        </w:rPr>
        <w:t>例。</w:t>
      </w:r>
    </w:p>
    <w:p w14:paraId="119C0814">
      <w:pPr>
        <w:pStyle w:val="33"/>
        <w:numPr>
          <w:ilvl w:val="1"/>
          <w:numId w:val="1"/>
        </w:numPr>
        <w:spacing w:line="400" w:lineRule="exact"/>
        <w:ind w:left="0" w:firstLine="0" w:firstLineChars="0"/>
        <w:rPr>
          <w:rFonts w:ascii="Arial" w:hAnsi="Arial" w:eastAsia="黑体" w:cs="Arial"/>
          <w:color w:val="000000"/>
          <w:sz w:val="24"/>
        </w:rPr>
      </w:pPr>
      <w:r>
        <w:rPr>
          <w:rFonts w:ascii="Arial" w:hAnsi="Arial" w:eastAsia="黑体" w:cs="Arial"/>
          <w:sz w:val="24"/>
        </w:rPr>
        <w:t>OOS/OOT/OOE原因分类</w:t>
      </w:r>
    </w:p>
    <w:tbl>
      <w:tblPr>
        <w:tblStyle w:val="25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921"/>
        <w:gridCol w:w="921"/>
        <w:gridCol w:w="921"/>
        <w:gridCol w:w="921"/>
        <w:gridCol w:w="921"/>
        <w:gridCol w:w="921"/>
        <w:gridCol w:w="921"/>
        <w:gridCol w:w="922"/>
      </w:tblGrid>
      <w:tr w14:paraId="3FFE98E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271" w:type="dxa"/>
            <w:vAlign w:val="center"/>
          </w:tcPr>
          <w:p w14:paraId="3DF9AD56">
            <w:pPr>
              <w:widowControl/>
              <w:spacing w:line="400" w:lineRule="exact"/>
              <w:jc w:val="center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原因分类</w:t>
            </w:r>
          </w:p>
        </w:tc>
        <w:tc>
          <w:tcPr>
            <w:tcW w:w="921" w:type="dxa"/>
            <w:vAlign w:val="center"/>
          </w:tcPr>
          <w:p w14:paraId="2E7B82E7">
            <w:pPr>
              <w:widowControl/>
              <w:spacing w:line="400" w:lineRule="exact"/>
              <w:jc w:val="center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人</w:t>
            </w:r>
          </w:p>
        </w:tc>
        <w:tc>
          <w:tcPr>
            <w:tcW w:w="921" w:type="dxa"/>
            <w:vAlign w:val="center"/>
          </w:tcPr>
          <w:p w14:paraId="53599668">
            <w:pPr>
              <w:widowControl/>
              <w:spacing w:line="400" w:lineRule="exact"/>
              <w:jc w:val="center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机</w:t>
            </w:r>
          </w:p>
        </w:tc>
        <w:tc>
          <w:tcPr>
            <w:tcW w:w="921" w:type="dxa"/>
            <w:vAlign w:val="center"/>
          </w:tcPr>
          <w:p w14:paraId="2EEC005B">
            <w:pPr>
              <w:widowControl/>
              <w:spacing w:line="400" w:lineRule="exact"/>
              <w:jc w:val="center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料</w:t>
            </w:r>
          </w:p>
        </w:tc>
        <w:tc>
          <w:tcPr>
            <w:tcW w:w="921" w:type="dxa"/>
            <w:vAlign w:val="center"/>
          </w:tcPr>
          <w:p w14:paraId="2ED65E1A">
            <w:pPr>
              <w:widowControl/>
              <w:spacing w:line="400" w:lineRule="exact"/>
              <w:jc w:val="center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法</w:t>
            </w:r>
          </w:p>
        </w:tc>
        <w:tc>
          <w:tcPr>
            <w:tcW w:w="921" w:type="dxa"/>
            <w:vAlign w:val="center"/>
          </w:tcPr>
          <w:p w14:paraId="70E4EA60">
            <w:pPr>
              <w:widowControl/>
              <w:spacing w:line="400" w:lineRule="exact"/>
              <w:jc w:val="center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环</w:t>
            </w:r>
          </w:p>
        </w:tc>
        <w:tc>
          <w:tcPr>
            <w:tcW w:w="921" w:type="dxa"/>
            <w:vAlign w:val="center"/>
          </w:tcPr>
          <w:p w14:paraId="19006A66">
            <w:pPr>
              <w:widowControl/>
              <w:spacing w:line="400" w:lineRule="exact"/>
              <w:jc w:val="center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测</w:t>
            </w:r>
          </w:p>
        </w:tc>
        <w:tc>
          <w:tcPr>
            <w:tcW w:w="921" w:type="dxa"/>
            <w:vAlign w:val="center"/>
          </w:tcPr>
          <w:p w14:paraId="1E7B8B03">
            <w:pPr>
              <w:widowControl/>
              <w:spacing w:line="400" w:lineRule="exact"/>
              <w:jc w:val="center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其他</w:t>
            </w:r>
          </w:p>
        </w:tc>
        <w:tc>
          <w:tcPr>
            <w:tcW w:w="922" w:type="dxa"/>
            <w:vAlign w:val="center"/>
          </w:tcPr>
          <w:p w14:paraId="6E27A57E">
            <w:pPr>
              <w:widowControl/>
              <w:spacing w:line="400" w:lineRule="exact"/>
              <w:rPr>
                <w:rFonts w:ascii="Arial" w:hAnsi="Arial" w:cs="Arial"/>
                <w:bCs/>
                <w:sz w:val="24"/>
              </w:rPr>
            </w:pPr>
            <w:r>
              <w:rPr>
                <w:rFonts w:hint="eastAsia" w:ascii="Arial" w:hAnsi="Arial" w:cs="Arial"/>
                <w:bCs/>
                <w:sz w:val="24"/>
              </w:rPr>
              <w:t>总计</w:t>
            </w:r>
          </w:p>
        </w:tc>
      </w:tr>
      <w:tr w14:paraId="5CDF10C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271" w:type="dxa"/>
            <w:vAlign w:val="center"/>
          </w:tcPr>
          <w:p w14:paraId="253CCB8F">
            <w:pPr>
              <w:widowControl/>
              <w:spacing w:line="400" w:lineRule="exact"/>
              <w:jc w:val="center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数量</w:t>
            </w:r>
          </w:p>
        </w:tc>
        <w:tc>
          <w:tcPr>
            <w:tcW w:w="921" w:type="dxa"/>
            <w:vAlign w:val="center"/>
          </w:tcPr>
          <w:p w14:paraId="2859E72C">
            <w:pPr>
              <w:widowControl/>
              <w:spacing w:line="400" w:lineRule="exact"/>
              <w:jc w:val="center"/>
              <w:rPr>
                <w:rFonts w:ascii="Arial" w:hAnsi="Arial" w:cs="Arial"/>
                <w:bCs/>
                <w:sz w:val="24"/>
              </w:rPr>
            </w:pPr>
          </w:p>
        </w:tc>
        <w:tc>
          <w:tcPr>
            <w:tcW w:w="921" w:type="dxa"/>
            <w:vAlign w:val="center"/>
          </w:tcPr>
          <w:p w14:paraId="1C063BA2">
            <w:pPr>
              <w:widowControl/>
              <w:spacing w:line="400" w:lineRule="exact"/>
              <w:jc w:val="center"/>
              <w:rPr>
                <w:rFonts w:ascii="Arial" w:hAnsi="Arial" w:cs="Arial"/>
                <w:bCs/>
                <w:sz w:val="24"/>
              </w:rPr>
            </w:pPr>
          </w:p>
        </w:tc>
        <w:tc>
          <w:tcPr>
            <w:tcW w:w="921" w:type="dxa"/>
            <w:vAlign w:val="center"/>
          </w:tcPr>
          <w:p w14:paraId="362A759E">
            <w:pPr>
              <w:widowControl/>
              <w:spacing w:line="400" w:lineRule="exact"/>
              <w:jc w:val="center"/>
              <w:rPr>
                <w:rFonts w:ascii="Arial" w:hAnsi="Arial" w:cs="Arial"/>
                <w:bCs/>
                <w:sz w:val="24"/>
              </w:rPr>
            </w:pPr>
          </w:p>
        </w:tc>
        <w:tc>
          <w:tcPr>
            <w:tcW w:w="921" w:type="dxa"/>
            <w:vAlign w:val="center"/>
          </w:tcPr>
          <w:p w14:paraId="15EEF7FB">
            <w:pPr>
              <w:widowControl/>
              <w:spacing w:line="400" w:lineRule="exact"/>
              <w:jc w:val="center"/>
              <w:rPr>
                <w:rFonts w:ascii="Arial" w:hAnsi="Arial" w:cs="Arial"/>
                <w:bCs/>
                <w:sz w:val="24"/>
              </w:rPr>
            </w:pPr>
          </w:p>
        </w:tc>
        <w:tc>
          <w:tcPr>
            <w:tcW w:w="921" w:type="dxa"/>
            <w:vAlign w:val="center"/>
          </w:tcPr>
          <w:p w14:paraId="0BAC19E6">
            <w:pPr>
              <w:widowControl/>
              <w:spacing w:line="400" w:lineRule="exact"/>
              <w:jc w:val="center"/>
              <w:rPr>
                <w:rFonts w:ascii="Arial" w:hAnsi="Arial" w:cs="Arial"/>
                <w:bCs/>
                <w:sz w:val="24"/>
              </w:rPr>
            </w:pPr>
          </w:p>
        </w:tc>
        <w:tc>
          <w:tcPr>
            <w:tcW w:w="921" w:type="dxa"/>
            <w:vAlign w:val="center"/>
          </w:tcPr>
          <w:p w14:paraId="646A4B7E">
            <w:pPr>
              <w:widowControl/>
              <w:spacing w:line="400" w:lineRule="exact"/>
              <w:jc w:val="center"/>
              <w:rPr>
                <w:rFonts w:ascii="Arial" w:hAnsi="Arial" w:cs="Arial"/>
                <w:bCs/>
                <w:sz w:val="24"/>
              </w:rPr>
            </w:pPr>
          </w:p>
        </w:tc>
        <w:tc>
          <w:tcPr>
            <w:tcW w:w="921" w:type="dxa"/>
            <w:vAlign w:val="center"/>
          </w:tcPr>
          <w:p w14:paraId="3F0C5C3E">
            <w:pPr>
              <w:widowControl/>
              <w:spacing w:line="400" w:lineRule="exact"/>
              <w:jc w:val="center"/>
              <w:rPr>
                <w:rFonts w:ascii="Arial" w:hAnsi="Arial" w:cs="Arial"/>
                <w:bCs/>
                <w:sz w:val="24"/>
              </w:rPr>
            </w:pPr>
          </w:p>
        </w:tc>
        <w:tc>
          <w:tcPr>
            <w:tcW w:w="922" w:type="dxa"/>
            <w:vAlign w:val="center"/>
          </w:tcPr>
          <w:p w14:paraId="0A5E7DC4">
            <w:pPr>
              <w:widowControl/>
              <w:spacing w:line="400" w:lineRule="exact"/>
              <w:jc w:val="center"/>
              <w:rPr>
                <w:rFonts w:ascii="Arial" w:hAnsi="Arial" w:cs="Arial"/>
                <w:bCs/>
                <w:sz w:val="24"/>
              </w:rPr>
            </w:pPr>
          </w:p>
        </w:tc>
      </w:tr>
    </w:tbl>
    <w:p w14:paraId="54C384F5">
      <w:pPr>
        <w:widowControl/>
        <w:spacing w:line="400" w:lineRule="exact"/>
        <w:jc w:val="left"/>
        <w:rPr>
          <w:rFonts w:ascii="Arial" w:hAnsi="Arial" w:cs="Arial"/>
          <w:bCs/>
          <w:color w:val="FF0000"/>
          <w:szCs w:val="21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238125</wp:posOffset>
            </wp:positionH>
            <wp:positionV relativeFrom="paragraph">
              <wp:posOffset>58420</wp:posOffset>
            </wp:positionV>
            <wp:extent cx="5369560" cy="2743200"/>
            <wp:effectExtent l="0" t="0" r="2540" b="0"/>
            <wp:wrapNone/>
            <wp:docPr id="9" name="图表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</w:p>
    <w:p w14:paraId="4FAD2AB8">
      <w:pPr>
        <w:widowControl/>
        <w:spacing w:line="400" w:lineRule="exact"/>
        <w:jc w:val="left"/>
        <w:rPr>
          <w:rFonts w:ascii="Segoe UI" w:hAnsi="Segoe UI" w:cs="Segoe UI"/>
          <w:color w:val="222222"/>
          <w:kern w:val="0"/>
          <w:sz w:val="24"/>
        </w:rPr>
      </w:pPr>
    </w:p>
    <w:p w14:paraId="5DC79F3D">
      <w:pPr>
        <w:widowControl/>
        <w:spacing w:line="300" w:lineRule="auto"/>
        <w:jc w:val="center"/>
        <w:rPr>
          <w:rFonts w:ascii="Segoe UI" w:hAnsi="Segoe UI" w:cs="Segoe UI"/>
          <w:color w:val="222222"/>
          <w:kern w:val="0"/>
          <w:sz w:val="24"/>
        </w:rPr>
      </w:pPr>
    </w:p>
    <w:p w14:paraId="10FC0BF6">
      <w:pPr>
        <w:widowControl/>
        <w:spacing w:line="300" w:lineRule="auto"/>
        <w:jc w:val="center"/>
        <w:rPr>
          <w:rFonts w:ascii="Segoe UI" w:hAnsi="Segoe UI" w:cs="Segoe UI"/>
          <w:color w:val="222222"/>
          <w:kern w:val="0"/>
          <w:sz w:val="24"/>
        </w:rPr>
      </w:pPr>
    </w:p>
    <w:p w14:paraId="5C9E9E65">
      <w:pPr>
        <w:widowControl/>
        <w:spacing w:line="300" w:lineRule="auto"/>
        <w:jc w:val="center"/>
        <w:rPr>
          <w:rFonts w:ascii="Segoe UI" w:hAnsi="Segoe UI" w:cs="Segoe UI"/>
          <w:color w:val="222222"/>
          <w:kern w:val="0"/>
          <w:sz w:val="24"/>
        </w:rPr>
      </w:pPr>
    </w:p>
    <w:p w14:paraId="3C417EBB">
      <w:pPr>
        <w:widowControl/>
        <w:spacing w:line="300" w:lineRule="auto"/>
        <w:jc w:val="center"/>
        <w:rPr>
          <w:rFonts w:ascii="Segoe UI" w:hAnsi="Segoe UI" w:cs="Segoe UI"/>
          <w:color w:val="222222"/>
          <w:kern w:val="0"/>
          <w:sz w:val="24"/>
        </w:rPr>
      </w:pPr>
    </w:p>
    <w:p w14:paraId="07D60026">
      <w:pPr>
        <w:widowControl/>
        <w:spacing w:line="300" w:lineRule="auto"/>
        <w:jc w:val="center"/>
        <w:rPr>
          <w:rFonts w:ascii="Segoe UI" w:hAnsi="Segoe UI" w:cs="Segoe UI"/>
          <w:color w:val="222222"/>
          <w:kern w:val="0"/>
          <w:sz w:val="24"/>
        </w:rPr>
      </w:pPr>
    </w:p>
    <w:p w14:paraId="508A1EF2">
      <w:pPr>
        <w:widowControl/>
        <w:spacing w:line="300" w:lineRule="auto"/>
        <w:jc w:val="center"/>
        <w:rPr>
          <w:rFonts w:ascii="Segoe UI" w:hAnsi="Segoe UI" w:cs="Segoe UI"/>
          <w:color w:val="222222"/>
          <w:kern w:val="0"/>
          <w:sz w:val="24"/>
        </w:rPr>
      </w:pPr>
    </w:p>
    <w:p w14:paraId="6857BC1D">
      <w:pPr>
        <w:widowControl/>
        <w:shd w:val="clear" w:color="auto" w:fill="FFFFFF"/>
        <w:spacing w:line="400" w:lineRule="exact"/>
        <w:jc w:val="left"/>
        <w:rPr>
          <w:rFonts w:ascii="Arial" w:hAnsi="Arial" w:cs="Arial"/>
          <w:color w:val="222222"/>
          <w:kern w:val="0"/>
          <w:sz w:val="24"/>
        </w:rPr>
      </w:pPr>
      <w:r>
        <w:rPr>
          <w:rFonts w:hint="eastAsia" w:ascii="Arial" w:hAnsi="Arial" w:cs="Arial"/>
          <w:color w:val="222222"/>
          <w:kern w:val="0"/>
          <w:sz w:val="24"/>
        </w:rPr>
        <w:t>小结：</w:t>
      </w:r>
    </w:p>
    <w:p w14:paraId="429E1DC6">
      <w:pPr>
        <w:pStyle w:val="33"/>
        <w:widowControl/>
        <w:numPr>
          <w:ilvl w:val="0"/>
          <w:numId w:val="3"/>
        </w:numPr>
        <w:spacing w:line="400" w:lineRule="exact"/>
        <w:ind w:firstLineChars="0"/>
        <w:jc w:val="left"/>
        <w:rPr>
          <w:rFonts w:ascii="Arial" w:hAnsi="Arial" w:cs="Arial"/>
          <w:color w:val="222222"/>
          <w:kern w:val="0"/>
          <w:sz w:val="24"/>
        </w:rPr>
      </w:pPr>
      <w:r>
        <w:rPr>
          <w:rFonts w:ascii="Arial" w:hAnsi="Arial" w:cs="Arial"/>
          <w:color w:val="222222"/>
          <w:kern w:val="0"/>
          <w:sz w:val="24"/>
        </w:rPr>
        <w:t>从数据来看，人的因素是导致OOS/OOT/OOE出现的主要原因，数量</w:t>
      </w:r>
      <w:r>
        <w:rPr>
          <w:rFonts w:hint="eastAsia" w:ascii="Arial" w:hAnsi="Arial" w:cs="Arial"/>
          <w:color w:val="222222"/>
          <w:kern w:val="0"/>
          <w:sz w:val="24"/>
        </w:rPr>
        <w:t>有</w:t>
      </w:r>
      <w:r>
        <w:rPr>
          <w:rFonts w:ascii="Arial" w:hAnsi="Arial" w:cs="Arial"/>
          <w:color w:val="222222"/>
          <w:kern w:val="0"/>
          <w:sz w:val="24"/>
        </w:rPr>
        <w:t>15</w:t>
      </w:r>
      <w:r>
        <w:rPr>
          <w:rFonts w:hint="eastAsia" w:ascii="Arial" w:hAnsi="Arial" w:cs="Arial"/>
          <w:color w:val="222222"/>
          <w:kern w:val="0"/>
          <w:sz w:val="24"/>
        </w:rPr>
        <w:t>例</w:t>
      </w:r>
      <w:r>
        <w:rPr>
          <w:rFonts w:ascii="Arial" w:hAnsi="Arial" w:cs="Arial"/>
          <w:color w:val="222222"/>
          <w:kern w:val="0"/>
          <w:sz w:val="24"/>
        </w:rPr>
        <w:t>，占比相对较高</w:t>
      </w:r>
      <w:r>
        <w:rPr>
          <w:rFonts w:hint="eastAsia" w:ascii="Arial" w:hAnsi="Arial" w:cs="Arial"/>
          <w:color w:val="222222"/>
          <w:kern w:val="0"/>
          <w:sz w:val="24"/>
        </w:rPr>
        <w:t>，占xx。问题集中</w:t>
      </w:r>
      <w:r>
        <w:rPr>
          <w:rFonts w:ascii="Arial" w:hAnsi="Arial" w:cs="Arial"/>
          <w:color w:val="222222"/>
          <w:kern w:val="0"/>
          <w:sz w:val="24"/>
        </w:rPr>
        <w:t>在生产和检验过程中。</w:t>
      </w:r>
    </w:p>
    <w:p w14:paraId="544EC9F5">
      <w:pPr>
        <w:pStyle w:val="33"/>
        <w:widowControl/>
        <w:numPr>
          <w:ilvl w:val="0"/>
          <w:numId w:val="3"/>
        </w:numPr>
        <w:spacing w:line="400" w:lineRule="exact"/>
        <w:ind w:firstLineChars="0"/>
        <w:jc w:val="left"/>
        <w:rPr>
          <w:rFonts w:ascii="Arial" w:hAnsi="Arial" w:cs="Arial"/>
          <w:color w:val="222222"/>
          <w:kern w:val="0"/>
          <w:sz w:val="24"/>
        </w:rPr>
      </w:pPr>
      <w:r>
        <w:rPr>
          <w:rFonts w:ascii="Arial" w:hAnsi="Arial" w:cs="Arial"/>
          <w:color w:val="222222"/>
          <w:kern w:val="0"/>
          <w:sz w:val="24"/>
        </w:rPr>
        <w:t>法</w:t>
      </w:r>
      <w:r>
        <w:rPr>
          <w:rFonts w:hint="eastAsia" w:ascii="Arial" w:hAnsi="Arial" w:cs="Arial"/>
          <w:color w:val="222222"/>
          <w:kern w:val="0"/>
          <w:sz w:val="24"/>
        </w:rPr>
        <w:t>的因素数量有xx例。</w:t>
      </w:r>
    </w:p>
    <w:p w14:paraId="1CF09347">
      <w:pPr>
        <w:pStyle w:val="33"/>
        <w:widowControl/>
        <w:numPr>
          <w:ilvl w:val="0"/>
          <w:numId w:val="3"/>
        </w:numPr>
        <w:spacing w:line="400" w:lineRule="exact"/>
        <w:ind w:firstLineChars="0"/>
        <w:jc w:val="left"/>
        <w:rPr>
          <w:rFonts w:ascii="Arial" w:hAnsi="Arial" w:cs="Arial"/>
          <w:color w:val="222222"/>
          <w:kern w:val="0"/>
          <w:sz w:val="24"/>
        </w:rPr>
      </w:pPr>
      <w:r>
        <w:rPr>
          <w:rFonts w:hint="eastAsia" w:ascii="Arial" w:hAnsi="Arial" w:cs="Arial"/>
          <w:color w:val="222222"/>
          <w:kern w:val="0"/>
          <w:sz w:val="24"/>
        </w:rPr>
        <w:t>机的因素数量有</w:t>
      </w:r>
      <w:r>
        <w:rPr>
          <w:rFonts w:ascii="Arial" w:hAnsi="Arial" w:cs="Arial"/>
          <w:color w:val="222222"/>
          <w:kern w:val="0"/>
          <w:sz w:val="24"/>
        </w:rPr>
        <w:t>XX</w:t>
      </w:r>
      <w:r>
        <w:rPr>
          <w:rFonts w:hint="eastAsia" w:ascii="Arial" w:hAnsi="Arial" w:cs="Arial"/>
          <w:color w:val="222222"/>
          <w:kern w:val="0"/>
          <w:sz w:val="24"/>
        </w:rPr>
        <w:t>例。</w:t>
      </w:r>
    </w:p>
    <w:p w14:paraId="382CE634">
      <w:pPr>
        <w:pStyle w:val="33"/>
        <w:widowControl/>
        <w:numPr>
          <w:ilvl w:val="0"/>
          <w:numId w:val="3"/>
        </w:numPr>
        <w:spacing w:line="400" w:lineRule="exact"/>
        <w:ind w:firstLineChars="0"/>
        <w:jc w:val="left"/>
        <w:rPr>
          <w:rFonts w:ascii="Arial" w:hAnsi="Arial" w:cs="Arial"/>
          <w:color w:val="222222"/>
          <w:kern w:val="0"/>
          <w:sz w:val="24"/>
        </w:rPr>
      </w:pPr>
      <w:r>
        <w:rPr>
          <w:rFonts w:hint="eastAsia" w:ascii="Arial" w:hAnsi="Arial" w:cs="Arial"/>
          <w:color w:val="222222"/>
          <w:kern w:val="0"/>
          <w:sz w:val="24"/>
        </w:rPr>
        <w:t>料的因素数量有</w:t>
      </w:r>
      <w:r>
        <w:rPr>
          <w:rFonts w:ascii="Arial" w:hAnsi="Arial" w:cs="Arial"/>
          <w:color w:val="222222"/>
          <w:kern w:val="0"/>
          <w:sz w:val="24"/>
        </w:rPr>
        <w:t>XX</w:t>
      </w:r>
      <w:r>
        <w:rPr>
          <w:rFonts w:hint="eastAsia" w:ascii="Arial" w:hAnsi="Arial" w:cs="Arial"/>
          <w:color w:val="222222"/>
          <w:kern w:val="0"/>
          <w:sz w:val="24"/>
        </w:rPr>
        <w:t>例。</w:t>
      </w:r>
    </w:p>
    <w:p w14:paraId="7B3B904E">
      <w:pPr>
        <w:pStyle w:val="33"/>
        <w:widowControl/>
        <w:numPr>
          <w:ilvl w:val="0"/>
          <w:numId w:val="3"/>
        </w:numPr>
        <w:spacing w:line="400" w:lineRule="exact"/>
        <w:ind w:firstLineChars="0"/>
        <w:jc w:val="left"/>
        <w:rPr>
          <w:rFonts w:ascii="Arial" w:hAnsi="Arial" w:cs="Arial"/>
          <w:sz w:val="24"/>
          <w:shd w:val="clear" w:color="auto" w:fill="FFFFFF"/>
        </w:rPr>
      </w:pPr>
      <w:r>
        <w:rPr>
          <w:rFonts w:hint="eastAsia" w:ascii="Arial" w:hAnsi="Arial" w:cs="Arial"/>
          <w:color w:val="222222"/>
          <w:kern w:val="0"/>
          <w:sz w:val="24"/>
        </w:rPr>
        <w:t>测</w:t>
      </w:r>
      <w:r>
        <w:rPr>
          <w:rFonts w:ascii="Arial" w:hAnsi="Arial" w:cs="Arial"/>
          <w:color w:val="222222"/>
          <w:kern w:val="0"/>
          <w:sz w:val="24"/>
        </w:rPr>
        <w:t>和环</w:t>
      </w:r>
      <w:r>
        <w:rPr>
          <w:rFonts w:hint="eastAsia" w:ascii="Arial" w:hAnsi="Arial" w:cs="Arial"/>
          <w:color w:val="222222"/>
          <w:kern w:val="0"/>
          <w:sz w:val="24"/>
        </w:rPr>
        <w:t>的因素</w:t>
      </w:r>
      <w:r>
        <w:rPr>
          <w:rFonts w:ascii="Arial" w:hAnsi="Arial" w:cs="Arial"/>
          <w:color w:val="222222"/>
          <w:kern w:val="0"/>
          <w:sz w:val="24"/>
        </w:rPr>
        <w:t>均</w:t>
      </w:r>
      <w:r>
        <w:rPr>
          <w:rFonts w:hint="eastAsia" w:ascii="Arial" w:hAnsi="Arial" w:cs="Arial"/>
          <w:color w:val="222222"/>
          <w:kern w:val="0"/>
          <w:sz w:val="24"/>
        </w:rPr>
        <w:t>有</w:t>
      </w:r>
      <w:r>
        <w:rPr>
          <w:rFonts w:ascii="Arial" w:hAnsi="Arial" w:cs="Arial"/>
          <w:color w:val="222222"/>
          <w:kern w:val="0"/>
          <w:sz w:val="24"/>
        </w:rPr>
        <w:t>XX</w:t>
      </w:r>
      <w:r>
        <w:rPr>
          <w:rFonts w:hint="eastAsia" w:ascii="Arial" w:hAnsi="Arial" w:cs="Arial"/>
          <w:color w:val="222222"/>
          <w:kern w:val="0"/>
          <w:sz w:val="24"/>
        </w:rPr>
        <w:t>例，占比最低但仍需关注：</w:t>
      </w:r>
      <w:r>
        <w:rPr>
          <w:rFonts w:ascii="Arial" w:hAnsi="Arial" w:cs="Arial"/>
          <w:sz w:val="24"/>
          <w:shd w:val="clear" w:color="auto" w:fill="FFFFFF"/>
        </w:rPr>
        <w:t>“测” 的异常源于检测操作的细节偏差；“环” 的异常则是环境条件（如温湿度、洁净度）检测要求，间接影响了结果的准确性。</w:t>
      </w:r>
    </w:p>
    <w:p w14:paraId="7030B080">
      <w:pPr>
        <w:pStyle w:val="33"/>
        <w:widowControl/>
        <w:numPr>
          <w:ilvl w:val="0"/>
          <w:numId w:val="3"/>
        </w:numPr>
        <w:shd w:val="clear" w:color="auto" w:fill="FFFFFF"/>
        <w:spacing w:line="400" w:lineRule="exact"/>
        <w:ind w:firstLineChars="0"/>
        <w:jc w:val="left"/>
        <w:rPr>
          <w:rFonts w:ascii="Arial" w:hAnsi="Arial" w:cs="Arial"/>
          <w:color w:val="222222"/>
          <w:kern w:val="0"/>
          <w:sz w:val="24"/>
        </w:rPr>
      </w:pPr>
      <w:r>
        <w:rPr>
          <w:rFonts w:hint="eastAsia" w:ascii="Arial" w:hAnsi="Arial" w:cs="Arial"/>
          <w:sz w:val="24"/>
          <w:shd w:val="clear" w:color="auto" w:fill="FFFFFF"/>
        </w:rPr>
        <w:t>其他因素的主要原因为：未找到根本原因。</w:t>
      </w:r>
    </w:p>
    <w:p w14:paraId="33BCBCAD">
      <w:pPr>
        <w:pStyle w:val="33"/>
        <w:numPr>
          <w:ilvl w:val="1"/>
          <w:numId w:val="1"/>
        </w:numPr>
        <w:spacing w:line="360" w:lineRule="auto"/>
        <w:ind w:left="0" w:firstLine="0" w:firstLineChars="0"/>
        <w:rPr>
          <w:rFonts w:ascii="Arial" w:hAnsi="Arial" w:eastAsia="黑体" w:cs="Arial"/>
          <w:color w:val="000000"/>
          <w:sz w:val="24"/>
        </w:rPr>
      </w:pPr>
      <w:r>
        <w:rPr>
          <w:rFonts w:hint="eastAsia" w:ascii="Arial" w:hAnsi="Arial" w:eastAsia="黑体" w:cs="Arial"/>
          <w:sz w:val="24"/>
        </w:rPr>
        <w:t>检验环节及项目分布情况统计：</w:t>
      </w:r>
    </w:p>
    <w:p w14:paraId="2509DBAF">
      <w:pPr>
        <w:pStyle w:val="33"/>
        <w:numPr>
          <w:ilvl w:val="2"/>
          <w:numId w:val="4"/>
        </w:numPr>
        <w:spacing w:line="400" w:lineRule="exact"/>
        <w:ind w:firstLineChars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OOS/OOT/OOE</w:t>
      </w:r>
      <w:r>
        <w:rPr>
          <w:rFonts w:hint="eastAsia" w:ascii="Arial" w:hAnsi="Arial" w:cs="Arial"/>
          <w:sz w:val="24"/>
        </w:rPr>
        <w:t>样品类型分布</w:t>
      </w:r>
    </w:p>
    <w:p w14:paraId="143C1E30">
      <w:pPr>
        <w:pStyle w:val="33"/>
        <w:widowControl/>
        <w:spacing w:line="400" w:lineRule="exact"/>
        <w:ind w:left="425" w:firstLine="0" w:firstLineChars="0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pacing w:val="-4"/>
          <w:sz w:val="24"/>
        </w:rPr>
        <w:t>2025年1月1日至2025年12月31日</w:t>
      </w:r>
      <w:r>
        <w:rPr>
          <w:rFonts w:hint="eastAsia" w:ascii="Arial" w:hAnsi="Arial" w:cs="Arial"/>
          <w:spacing w:val="-4"/>
          <w:sz w:val="24"/>
        </w:rPr>
        <w:t>实验室在各成品、稳定性样品、物料、制药用水、工艺用气、清洁验证、环境监测等检验中发生的检验异常情况。统计情况如下：</w:t>
      </w:r>
      <w:r>
        <w:rPr>
          <w:rFonts w:hint="eastAsia" w:ascii="Arial" w:hAnsi="Arial" w:cs="Arial"/>
          <w:sz w:val="24"/>
        </w:rPr>
        <w:t xml:space="preserve"> </w:t>
      </w:r>
    </w:p>
    <w:tbl>
      <w:tblPr>
        <w:tblStyle w:val="24"/>
        <w:tblW w:w="9356" w:type="dxa"/>
        <w:tblInd w:w="-1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9"/>
        <w:gridCol w:w="2409"/>
        <w:gridCol w:w="2127"/>
        <w:gridCol w:w="2121"/>
      </w:tblGrid>
      <w:tr w14:paraId="425A25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shd w:val="clear" w:color="auto" w:fill="auto"/>
            <w:vAlign w:val="center"/>
          </w:tcPr>
          <w:p w14:paraId="42DA5681">
            <w:pPr>
              <w:widowControl/>
              <w:spacing w:line="240" w:lineRule="exact"/>
              <w:ind w:firstLine="1470" w:firstLineChars="700"/>
              <w:jc w:val="left"/>
              <w:rPr>
                <w:rFonts w:ascii="宋体" w:hAnsi="宋体" w:cs="Arial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Cs w:val="21"/>
              </w:rPr>
              <w:t>检验异常</w:t>
            </w:r>
          </w:p>
          <w:p w14:paraId="712445E7">
            <w:pPr>
              <w:widowControl/>
              <w:spacing w:line="240" w:lineRule="exact"/>
              <w:jc w:val="left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Cs w:val="21"/>
              </w:rPr>
              <w:t>样品类型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9A93ED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  <w:r>
              <w:rPr>
                <w:rFonts w:ascii="Arial" w:hAnsi="Arial" w:eastAsia="等线" w:cs="Arial"/>
                <w:color w:val="000000"/>
                <w:kern w:val="0"/>
                <w:szCs w:val="21"/>
              </w:rPr>
              <w:t>OOS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2998E2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  <w:r>
              <w:rPr>
                <w:rFonts w:ascii="Arial" w:hAnsi="Arial" w:eastAsia="等线" w:cs="Arial"/>
                <w:color w:val="000000"/>
                <w:kern w:val="0"/>
                <w:szCs w:val="21"/>
              </w:rPr>
              <w:t>OOT</w:t>
            </w:r>
          </w:p>
        </w:tc>
        <w:tc>
          <w:tcPr>
            <w:tcW w:w="2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DAC8E6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  <w:r>
              <w:rPr>
                <w:rFonts w:ascii="Arial" w:hAnsi="Arial" w:eastAsia="等线" w:cs="Arial"/>
                <w:color w:val="000000"/>
                <w:kern w:val="0"/>
                <w:szCs w:val="21"/>
              </w:rPr>
              <w:t>OOE</w:t>
            </w:r>
          </w:p>
        </w:tc>
      </w:tr>
      <w:tr w14:paraId="3E706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F09125"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/>
              </w:rPr>
              <w:t>产品名（ll）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FD1679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541E95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  <w:tc>
          <w:tcPr>
            <w:tcW w:w="2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263947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</w:tr>
      <w:tr w14:paraId="120442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7D3016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/>
              </w:rPr>
              <w:t>产品名（dg）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活化物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AAAE2E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E91405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  <w:tc>
          <w:tcPr>
            <w:tcW w:w="2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B1E0A8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</w:tr>
      <w:tr w14:paraId="27D313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792968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/>
              </w:rPr>
              <w:t>产品名（ll）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活化物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3657FD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DA839E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  <w:tc>
          <w:tcPr>
            <w:tcW w:w="2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F7FDDE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</w:tr>
      <w:tr w14:paraId="224C4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7A300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/>
              </w:rPr>
              <w:t>产品名（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sm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/>
              </w:rPr>
              <w:t>）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252333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C41A18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  <w:tc>
          <w:tcPr>
            <w:tcW w:w="2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29D7E6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</w:tr>
      <w:tr w14:paraId="4536B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ABACA1"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/>
              </w:rPr>
              <w:t>产品名（dg）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0A7820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AF4315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  <w:tc>
          <w:tcPr>
            <w:tcW w:w="2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AD6635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</w:tr>
      <w:tr w14:paraId="2C627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0EE621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/>
              </w:rPr>
              <w:t>产品名（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czla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/>
              </w:rPr>
              <w:t>）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9F7685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92DA29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  <w:tc>
          <w:tcPr>
            <w:tcW w:w="2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C80486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</w:tr>
      <w:tr w14:paraId="16D48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F990FE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稳定性样品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3C37A3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2F607A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  <w:tc>
          <w:tcPr>
            <w:tcW w:w="2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94F054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</w:tr>
      <w:tr w14:paraId="68B0B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8C1216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物料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9EBE24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F1577F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  <w:tc>
          <w:tcPr>
            <w:tcW w:w="2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B69CF9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</w:tr>
      <w:tr w14:paraId="24AED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59DE79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制药用水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B8C311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20275C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  <w:tc>
          <w:tcPr>
            <w:tcW w:w="2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92D980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</w:tr>
      <w:tr w14:paraId="5D1D7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A1E1F3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清洁验证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660337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9629F2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  <w:tc>
          <w:tcPr>
            <w:tcW w:w="2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D4285D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</w:tr>
      <w:tr w14:paraId="42B9E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65D885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环境监测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305729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8C8880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  <w:tc>
          <w:tcPr>
            <w:tcW w:w="2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5D70B6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</w:tr>
      <w:tr w14:paraId="421AD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6B0DA2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总计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F6F650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543BA5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  <w:tc>
          <w:tcPr>
            <w:tcW w:w="2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8107F4">
            <w:pPr>
              <w:widowControl/>
              <w:spacing w:line="240" w:lineRule="exact"/>
              <w:jc w:val="center"/>
              <w:rPr>
                <w:rFonts w:ascii="Arial" w:hAnsi="Arial" w:eastAsia="等线" w:cs="Arial"/>
                <w:color w:val="000000"/>
                <w:kern w:val="0"/>
                <w:szCs w:val="21"/>
              </w:rPr>
            </w:pPr>
          </w:p>
        </w:tc>
      </w:tr>
    </w:tbl>
    <w:p w14:paraId="546FA9D9">
      <w:pPr>
        <w:widowControl/>
        <w:spacing w:before="156" w:beforeLines="50" w:line="400" w:lineRule="exact"/>
        <w:ind w:firstLine="420" w:firstLineChars="200"/>
        <w:jc w:val="left"/>
        <w:rPr>
          <w:rFonts w:ascii="Arial" w:hAnsi="Arial" w:cs="Arial"/>
          <w:sz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36830</wp:posOffset>
            </wp:positionH>
            <wp:positionV relativeFrom="paragraph">
              <wp:posOffset>29210</wp:posOffset>
            </wp:positionV>
            <wp:extent cx="5229225" cy="3209925"/>
            <wp:effectExtent l="0" t="0" r="9525" b="9525"/>
            <wp:wrapNone/>
            <wp:docPr id="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anchor>
        </w:drawing>
      </w:r>
    </w:p>
    <w:p w14:paraId="08C17244">
      <w:pPr>
        <w:widowControl/>
        <w:spacing w:before="156" w:beforeLines="50" w:line="400" w:lineRule="exact"/>
        <w:ind w:firstLine="480" w:firstLineChars="200"/>
        <w:jc w:val="left"/>
        <w:rPr>
          <w:rFonts w:ascii="Arial" w:hAnsi="Arial" w:cs="Arial"/>
          <w:sz w:val="24"/>
        </w:rPr>
      </w:pPr>
    </w:p>
    <w:p w14:paraId="14CAE919">
      <w:pPr>
        <w:widowControl/>
        <w:spacing w:before="156" w:beforeLines="50" w:line="400" w:lineRule="exact"/>
        <w:ind w:firstLine="480" w:firstLineChars="200"/>
        <w:jc w:val="left"/>
        <w:rPr>
          <w:rFonts w:ascii="Arial" w:hAnsi="Arial" w:cs="Arial"/>
          <w:sz w:val="24"/>
        </w:rPr>
      </w:pPr>
    </w:p>
    <w:p w14:paraId="70E73EC9">
      <w:pPr>
        <w:widowControl/>
        <w:spacing w:before="156" w:beforeLines="50" w:line="400" w:lineRule="exact"/>
        <w:ind w:firstLine="480" w:firstLineChars="200"/>
        <w:jc w:val="left"/>
        <w:rPr>
          <w:rFonts w:ascii="Arial" w:hAnsi="Arial" w:cs="Arial"/>
          <w:sz w:val="24"/>
        </w:rPr>
      </w:pPr>
    </w:p>
    <w:p w14:paraId="586C33DA">
      <w:pPr>
        <w:widowControl/>
        <w:spacing w:before="156" w:beforeLines="50" w:line="400" w:lineRule="exact"/>
        <w:ind w:firstLine="480" w:firstLineChars="200"/>
        <w:jc w:val="left"/>
        <w:rPr>
          <w:rFonts w:ascii="Arial" w:hAnsi="Arial" w:cs="Arial"/>
          <w:sz w:val="24"/>
        </w:rPr>
      </w:pPr>
    </w:p>
    <w:p w14:paraId="1877A0DE">
      <w:pPr>
        <w:widowControl/>
        <w:spacing w:before="156" w:beforeLines="50" w:line="400" w:lineRule="exact"/>
        <w:ind w:firstLine="480" w:firstLineChars="200"/>
        <w:jc w:val="left"/>
        <w:rPr>
          <w:rFonts w:ascii="Arial" w:hAnsi="Arial" w:cs="Arial"/>
          <w:sz w:val="24"/>
        </w:rPr>
      </w:pPr>
    </w:p>
    <w:p w14:paraId="71293533">
      <w:pPr>
        <w:widowControl/>
        <w:spacing w:before="156" w:beforeLines="50" w:line="400" w:lineRule="exact"/>
        <w:jc w:val="left"/>
        <w:rPr>
          <w:rFonts w:ascii="Arial" w:hAnsi="Arial" w:cs="Arial"/>
          <w:sz w:val="24"/>
        </w:rPr>
      </w:pPr>
    </w:p>
    <w:p w14:paraId="50BE7CA6">
      <w:pPr>
        <w:widowControl/>
        <w:spacing w:before="156" w:beforeLines="50" w:line="400" w:lineRule="exact"/>
        <w:ind w:firstLine="480" w:firstLineChars="200"/>
        <w:jc w:val="left"/>
        <w:rPr>
          <w:rFonts w:ascii="Arial" w:hAnsi="Arial" w:cs="Arial"/>
          <w:sz w:val="24"/>
        </w:rPr>
      </w:pPr>
    </w:p>
    <w:p w14:paraId="4D8A0CFB">
      <w:pPr>
        <w:widowControl/>
        <w:spacing w:before="156" w:beforeLines="50" w:line="400" w:lineRule="exact"/>
        <w:jc w:val="left"/>
        <w:rPr>
          <w:rFonts w:ascii="Arial" w:hAnsi="Arial" w:cs="Arial"/>
          <w:color w:val="222222"/>
          <w:kern w:val="0"/>
          <w:sz w:val="24"/>
        </w:rPr>
      </w:pPr>
    </w:p>
    <w:p w14:paraId="19B61A72">
      <w:pPr>
        <w:widowControl/>
        <w:spacing w:line="400" w:lineRule="exact"/>
        <w:ind w:left="709" w:leftChars="-51" w:hanging="816" w:hangingChars="340"/>
        <w:jc w:val="left"/>
        <w:rPr>
          <w:rFonts w:ascii="Arial" w:hAnsi="Arial" w:cs="Arial"/>
          <w:color w:val="222222"/>
          <w:kern w:val="0"/>
          <w:sz w:val="24"/>
        </w:rPr>
      </w:pPr>
      <w:r>
        <w:rPr>
          <w:rFonts w:hint="eastAsia" w:ascii="Arial" w:hAnsi="Arial" w:cs="Arial"/>
          <w:color w:val="222222"/>
          <w:kern w:val="0"/>
          <w:sz w:val="24"/>
        </w:rPr>
        <w:t>小结：</w:t>
      </w:r>
      <w:r>
        <w:rPr>
          <w:rFonts w:ascii="Arial" w:hAnsi="Arial" w:cs="Arial"/>
          <w:color w:val="222222"/>
          <w:kern w:val="0"/>
          <w:sz w:val="24"/>
        </w:rPr>
        <w:t xml:space="preserve"> </w:t>
      </w:r>
    </w:p>
    <w:p w14:paraId="25C0F248">
      <w:pPr>
        <w:pStyle w:val="33"/>
        <w:widowControl/>
        <w:numPr>
          <w:ilvl w:val="0"/>
          <w:numId w:val="5"/>
        </w:numPr>
        <w:spacing w:line="400" w:lineRule="exact"/>
        <w:ind w:firstLineChars="0"/>
        <w:jc w:val="left"/>
        <w:rPr>
          <w:rFonts w:ascii="Arial" w:hAnsi="Arial" w:cs="Arial"/>
          <w:sz w:val="24"/>
          <w:shd w:val="clear" w:color="auto" w:fill="FFFFFF"/>
        </w:rPr>
      </w:pPr>
      <w:r>
        <w:rPr>
          <w:rFonts w:ascii="Arial" w:hAnsi="Arial" w:cs="Arial"/>
          <w:color w:val="222222"/>
          <w:kern w:val="0"/>
          <w:sz w:val="24"/>
        </w:rPr>
        <w:t>2025年的OOS共 XX 例，主要集中在物料10 例，</w:t>
      </w:r>
      <w:r>
        <w:rPr>
          <w:rFonts w:hint="eastAsia" w:ascii="Arial" w:hAnsi="Arial" w:cs="Arial"/>
          <w:color w:val="222222"/>
          <w:kern w:val="0"/>
          <w:sz w:val="24"/>
        </w:rPr>
        <w:t>（1）</w:t>
      </w:r>
      <w:r>
        <w:rPr>
          <w:rFonts w:ascii="Arial" w:hAnsi="Arial" w:cs="Arial"/>
          <w:color w:val="222222"/>
          <w:kern w:val="0"/>
          <w:sz w:val="24"/>
        </w:rPr>
        <w:t>有3例</w:t>
      </w:r>
      <w:r>
        <w:rPr>
          <w:rFonts w:ascii="Arial" w:hAnsi="Arial" w:cs="Arial"/>
          <w:sz w:val="24"/>
          <w:shd w:val="clear" w:color="auto" w:fill="FFFFFF"/>
        </w:rPr>
        <w:t>为物料本身质量问题，为十二水合磷酸氢二钠含量、N,N'-二环己基碳二亚胺纯度、1-叔丁基-L-谷氨酸红外鉴别不符合要求，已退货处理。</w:t>
      </w:r>
      <w:r>
        <w:rPr>
          <w:rFonts w:hint="eastAsia" w:ascii="Arial" w:hAnsi="Arial" w:cs="Arial"/>
          <w:sz w:val="24"/>
          <w:shd w:val="clear" w:color="auto" w:fill="FFFFFF"/>
        </w:rPr>
        <w:t>（2）</w:t>
      </w:r>
      <w:r>
        <w:rPr>
          <w:rFonts w:ascii="Arial" w:hAnsi="Arial" w:cs="Arial"/>
          <w:sz w:val="24"/>
          <w:shd w:val="clear" w:color="auto" w:fill="FFFFFF"/>
        </w:rPr>
        <w:t>1例为曲拉通X-100</w:t>
      </w:r>
      <w:r>
        <w:rPr>
          <w:rFonts w:hint="eastAsia" w:ascii="Arial" w:hAnsi="Arial" w:cs="Arial"/>
          <w:sz w:val="24"/>
          <w:shd w:val="clear" w:color="auto" w:fill="FFFFFF"/>
        </w:rPr>
        <w:t>X</w:t>
      </w:r>
      <w:r>
        <w:rPr>
          <w:rFonts w:ascii="Arial" w:hAnsi="Arial" w:cs="Arial"/>
          <w:sz w:val="24"/>
          <w:shd w:val="clear" w:color="auto" w:fill="FFFFFF"/>
        </w:rPr>
        <w:t>XX，未对产品质量造成不良影响。</w:t>
      </w:r>
      <w:r>
        <w:rPr>
          <w:rFonts w:hint="eastAsia" w:ascii="Arial" w:hAnsi="Arial" w:cs="Arial"/>
          <w:sz w:val="24"/>
          <w:shd w:val="clear" w:color="auto" w:fill="FFFFFF"/>
        </w:rPr>
        <w:t>（3）</w:t>
      </w:r>
      <w:r>
        <w:rPr>
          <w:rFonts w:ascii="Arial" w:hAnsi="Arial" w:cs="Arial"/>
          <w:sz w:val="24"/>
          <w:shd w:val="clear" w:color="auto" w:fill="FFFFFF"/>
        </w:rPr>
        <w:t>XX例未找到根本原因，分别为N,N'-二环己基碳二亚胺纯度、丙酮水分、异丙醇苯项目，</w:t>
      </w:r>
      <w:r>
        <w:rPr>
          <w:rFonts w:hint="eastAsia" w:ascii="Arial" w:hAnsi="Arial" w:cs="Arial"/>
          <w:sz w:val="24"/>
          <w:shd w:val="clear" w:color="auto" w:fill="FFFFFF"/>
        </w:rPr>
        <w:t>X</w:t>
      </w:r>
      <w:r>
        <w:rPr>
          <w:rFonts w:ascii="Arial" w:hAnsi="Arial" w:cs="Arial"/>
          <w:sz w:val="24"/>
          <w:shd w:val="clear" w:color="auto" w:fill="FFFFFF"/>
        </w:rPr>
        <w:t>XX</w:t>
      </w:r>
      <w:r>
        <w:rPr>
          <w:rFonts w:hint="eastAsia" w:ascii="Arial" w:hAnsi="Arial" w:cs="Arial"/>
          <w:sz w:val="24"/>
          <w:shd w:val="clear" w:color="auto" w:fill="FFFFFF"/>
        </w:rPr>
        <w:t>。</w:t>
      </w:r>
    </w:p>
    <w:p w14:paraId="0BB19002">
      <w:pPr>
        <w:widowControl/>
        <w:spacing w:line="400" w:lineRule="exact"/>
        <w:ind w:left="283" w:leftChars="135" w:firstLine="480" w:firstLineChars="200"/>
        <w:jc w:val="left"/>
        <w:rPr>
          <w:rFonts w:ascii="Arial" w:hAnsi="Arial" w:cs="Arial"/>
          <w:sz w:val="24"/>
          <w:shd w:val="clear" w:color="auto" w:fill="FFFFFF"/>
        </w:rPr>
      </w:pPr>
      <w:r>
        <w:rPr>
          <w:rFonts w:ascii="Arial" w:hAnsi="Arial" w:cs="Arial"/>
          <w:color w:val="222222"/>
          <w:kern w:val="0"/>
          <w:sz w:val="24"/>
        </w:rPr>
        <w:t>清洁验证（XX 例），XX</w:t>
      </w:r>
      <w:r>
        <w:rPr>
          <w:rFonts w:hint="eastAsia" w:ascii="Arial" w:hAnsi="Arial" w:cs="Arial"/>
          <w:color w:val="222222"/>
          <w:kern w:val="0"/>
          <w:sz w:val="24"/>
        </w:rPr>
        <w:t>例为生产偏差，主要为生产人员未按S</w:t>
      </w:r>
      <w:r>
        <w:rPr>
          <w:rFonts w:ascii="Arial" w:hAnsi="Arial" w:cs="Arial"/>
          <w:color w:val="222222"/>
          <w:kern w:val="0"/>
          <w:sz w:val="24"/>
        </w:rPr>
        <w:t>OP</w:t>
      </w:r>
      <w:r>
        <w:rPr>
          <w:rFonts w:hint="eastAsia" w:ascii="Arial" w:hAnsi="Arial" w:cs="Arial"/>
          <w:color w:val="222222"/>
          <w:kern w:val="0"/>
          <w:sz w:val="24"/>
        </w:rPr>
        <w:t>清洁设备、或操作不</w:t>
      </w:r>
      <w:r>
        <w:rPr>
          <w:rFonts w:hint="eastAsia" w:ascii="Segoe UI" w:hAnsi="Segoe UI" w:cs="Segoe UI"/>
          <w:sz w:val="24"/>
          <w:shd w:val="clear" w:color="auto" w:fill="FFFFFF"/>
        </w:rPr>
        <w:t>规范、取样环境有异常</w:t>
      </w:r>
      <w:r>
        <w:rPr>
          <w:rFonts w:hint="eastAsia"/>
          <w:sz w:val="24"/>
        </w:rPr>
        <w:t>。</w:t>
      </w:r>
    </w:p>
    <w:p w14:paraId="1FD86DD7">
      <w:pPr>
        <w:widowControl/>
        <w:spacing w:line="400" w:lineRule="exact"/>
        <w:ind w:left="105" w:leftChars="50" w:firstLine="480" w:firstLineChars="200"/>
        <w:jc w:val="left"/>
        <w:rPr>
          <w:rFonts w:ascii="Arial" w:hAnsi="Arial" w:cs="Arial"/>
          <w:sz w:val="24"/>
          <w:shd w:val="clear" w:color="auto" w:fill="FFFFFF"/>
        </w:rPr>
      </w:pPr>
      <w:r>
        <w:rPr>
          <w:rFonts w:ascii="Arial" w:hAnsi="Arial" w:cs="Arial"/>
          <w:color w:val="222222"/>
          <w:kern w:val="0"/>
          <w:sz w:val="24"/>
        </w:rPr>
        <w:t>制药用水 XX例</w:t>
      </w:r>
      <w:r>
        <w:rPr>
          <w:rFonts w:hint="eastAsia" w:ascii="Arial" w:hAnsi="Arial" w:cs="Arial"/>
          <w:color w:val="222222"/>
          <w:kern w:val="0"/>
          <w:sz w:val="24"/>
        </w:rPr>
        <w:t>，原因为蒸发皿破损、取样环境有有机溶剂的影响。</w:t>
      </w:r>
    </w:p>
    <w:p w14:paraId="141D46A2">
      <w:pPr>
        <w:widowControl/>
        <w:spacing w:line="400" w:lineRule="exact"/>
        <w:ind w:left="105" w:leftChars="50" w:firstLine="480" w:firstLineChars="200"/>
        <w:jc w:val="left"/>
        <w:rPr>
          <w:rFonts w:ascii="Segoe UI" w:hAnsi="Segoe UI" w:cs="Segoe UI"/>
          <w:sz w:val="24"/>
          <w:shd w:val="clear" w:color="auto" w:fill="FFFFFF"/>
        </w:rPr>
      </w:pPr>
      <w:r>
        <w:rPr>
          <w:rFonts w:ascii="Arial" w:hAnsi="Arial" w:cs="Arial"/>
          <w:color w:val="222222"/>
          <w:kern w:val="0"/>
          <w:sz w:val="24"/>
        </w:rPr>
        <w:t>另有XX</w:t>
      </w:r>
      <w:r>
        <w:rPr>
          <w:rFonts w:hint="eastAsia" w:ascii="Arial" w:hAnsi="Arial" w:cs="Arial"/>
          <w:color w:val="222222"/>
          <w:kern w:val="0"/>
          <w:sz w:val="24"/>
        </w:rPr>
        <w:t>例成品，</w:t>
      </w:r>
      <w:r>
        <w:rPr>
          <w:rFonts w:hint="eastAsia" w:ascii="Arial" w:hAnsi="Arial" w:cs="Arial"/>
          <w:color w:val="222222"/>
          <w:kern w:val="0"/>
          <w:sz w:val="24"/>
          <w:lang w:eastAsia="zh-CN"/>
        </w:rPr>
        <w:t>产品名（ll）</w:t>
      </w:r>
      <w:r>
        <w:rPr>
          <w:rFonts w:hint="eastAsia" w:ascii="Arial" w:hAnsi="Arial" w:cs="Arial"/>
          <w:color w:val="222222"/>
          <w:kern w:val="0"/>
          <w:sz w:val="24"/>
        </w:rPr>
        <w:t>活化物X</w:t>
      </w:r>
      <w:r>
        <w:rPr>
          <w:rFonts w:ascii="Arial" w:hAnsi="Arial" w:cs="Arial"/>
          <w:color w:val="222222"/>
          <w:kern w:val="0"/>
          <w:sz w:val="24"/>
        </w:rPr>
        <w:t>XX</w:t>
      </w:r>
      <w:r>
        <w:rPr>
          <w:rFonts w:hint="eastAsia" w:ascii="Segoe UI" w:hAnsi="Segoe UI" w:cs="Segoe UI"/>
          <w:sz w:val="24"/>
          <w:shd w:val="clear" w:color="auto" w:fill="FFFFFF"/>
        </w:rPr>
        <w:t>。</w:t>
      </w:r>
    </w:p>
    <w:p w14:paraId="1AA4672B">
      <w:pPr>
        <w:pStyle w:val="33"/>
        <w:widowControl/>
        <w:numPr>
          <w:ilvl w:val="0"/>
          <w:numId w:val="5"/>
        </w:numPr>
        <w:snapToGrid w:val="0"/>
        <w:spacing w:line="400" w:lineRule="exact"/>
        <w:ind w:left="426" w:hanging="531" w:firstLineChars="0"/>
        <w:contextualSpacing/>
        <w:jc w:val="left"/>
        <w:rPr>
          <w:rFonts w:ascii="Segoe UI" w:hAnsi="Segoe UI" w:cs="Segoe UI"/>
          <w:sz w:val="24"/>
          <w:shd w:val="clear" w:color="auto" w:fill="FFFFFF"/>
        </w:rPr>
      </w:pPr>
      <w:r>
        <w:rPr>
          <w:rFonts w:hint="eastAsia" w:ascii="Arial" w:hAnsi="Arial" w:cs="Arial"/>
          <w:color w:val="222222"/>
          <w:kern w:val="0"/>
          <w:sz w:val="24"/>
        </w:rPr>
        <w:t>O</w:t>
      </w:r>
      <w:r>
        <w:rPr>
          <w:rFonts w:ascii="Arial" w:hAnsi="Arial" w:cs="Arial"/>
          <w:color w:val="222222"/>
          <w:kern w:val="0"/>
          <w:sz w:val="24"/>
        </w:rPr>
        <w:t>OT共 11 例，涉及</w:t>
      </w:r>
      <w:r>
        <w:rPr>
          <w:rFonts w:hint="eastAsia" w:ascii="Arial" w:hAnsi="Arial" w:cs="Arial"/>
          <w:color w:val="222222"/>
          <w:kern w:val="0"/>
          <w:sz w:val="24"/>
        </w:rPr>
        <w:t>产</w:t>
      </w:r>
      <w:r>
        <w:rPr>
          <w:rFonts w:ascii="Arial" w:hAnsi="Arial" w:cs="Arial"/>
          <w:color w:val="222222"/>
          <w:kern w:val="0"/>
          <w:sz w:val="24"/>
        </w:rPr>
        <w:t>品 2 例</w:t>
      </w:r>
      <w:r>
        <w:rPr>
          <w:rFonts w:hint="eastAsia" w:ascii="Arial" w:hAnsi="Arial" w:cs="Arial"/>
          <w:color w:val="222222"/>
          <w:kern w:val="0"/>
          <w:sz w:val="24"/>
        </w:rPr>
        <w:t>，</w:t>
      </w:r>
      <w:r>
        <w:rPr>
          <w:rFonts w:hint="eastAsia" w:ascii="Arial" w:hAnsi="Arial" w:cs="Arial"/>
          <w:color w:val="222222"/>
          <w:kern w:val="0"/>
          <w:sz w:val="24"/>
          <w:lang w:eastAsia="zh-CN"/>
        </w:rPr>
        <w:t>产品名（ll）</w:t>
      </w:r>
      <w:r>
        <w:rPr>
          <w:rFonts w:hint="eastAsia" w:ascii="Arial" w:hAnsi="Arial" w:cs="Arial"/>
          <w:color w:val="222222"/>
          <w:kern w:val="0"/>
          <w:sz w:val="24"/>
        </w:rPr>
        <w:t>有关物质、</w:t>
      </w:r>
      <w:r>
        <w:rPr>
          <w:rFonts w:hint="eastAsia" w:ascii="Arial" w:hAnsi="Arial" w:cs="Arial"/>
          <w:color w:val="222222"/>
          <w:kern w:val="0"/>
          <w:sz w:val="24"/>
          <w:lang w:eastAsia="zh-CN"/>
        </w:rPr>
        <w:t>产品名（dg）</w:t>
      </w:r>
      <w:r>
        <w:rPr>
          <w:rFonts w:hint="eastAsia" w:ascii="Arial" w:hAnsi="Arial" w:cs="Arial"/>
          <w:color w:val="222222"/>
          <w:kern w:val="0"/>
          <w:sz w:val="24"/>
        </w:rPr>
        <w:t>工作种子前提表达量超趋势，均为实验室原因。</w:t>
      </w:r>
    </w:p>
    <w:p w14:paraId="23B2E6D5">
      <w:pPr>
        <w:widowControl/>
        <w:snapToGrid w:val="0"/>
        <w:spacing w:line="400" w:lineRule="exact"/>
        <w:ind w:firstLine="480" w:firstLineChars="200"/>
        <w:contextualSpacing/>
        <w:jc w:val="left"/>
        <w:rPr>
          <w:rFonts w:ascii="Arial" w:hAnsi="Arial" w:cs="Arial"/>
          <w:color w:val="222222"/>
          <w:kern w:val="0"/>
          <w:sz w:val="24"/>
        </w:rPr>
      </w:pPr>
      <w:r>
        <w:rPr>
          <w:rFonts w:ascii="Arial" w:hAnsi="Arial" w:cs="Arial"/>
          <w:color w:val="222222"/>
          <w:kern w:val="0"/>
          <w:sz w:val="24"/>
        </w:rPr>
        <w:t>稳定性样品 2 例</w:t>
      </w:r>
      <w:r>
        <w:rPr>
          <w:rFonts w:hint="eastAsia" w:ascii="Arial" w:hAnsi="Arial" w:cs="Arial"/>
          <w:color w:val="222222"/>
          <w:kern w:val="0"/>
          <w:sz w:val="24"/>
        </w:rPr>
        <w:t>，</w:t>
      </w:r>
      <w:r>
        <w:rPr>
          <w:rFonts w:hint="eastAsia" w:ascii="Arial" w:hAnsi="Arial" w:cs="Arial"/>
          <w:color w:val="222222"/>
          <w:kern w:val="0"/>
          <w:sz w:val="24"/>
          <w:lang w:eastAsia="zh-CN"/>
        </w:rPr>
        <w:t>产品名（dg）</w:t>
      </w:r>
      <w:r>
        <w:rPr>
          <w:rFonts w:hint="eastAsia" w:ascii="Arial" w:hAnsi="Arial" w:cs="Arial"/>
          <w:color w:val="222222"/>
          <w:kern w:val="0"/>
          <w:sz w:val="24"/>
        </w:rPr>
        <w:t>注射液长期18月锌含量结果超趋势，</w:t>
      </w:r>
      <w:r>
        <w:rPr>
          <w:rFonts w:hint="eastAsia" w:ascii="Arial" w:hAnsi="Arial" w:cs="Arial"/>
          <w:color w:val="222222"/>
          <w:kern w:val="0"/>
          <w:sz w:val="24"/>
          <w:lang w:val="en-US" w:eastAsia="zh-CN"/>
        </w:rPr>
        <w:t>产品名（sm）</w:t>
      </w:r>
      <w:r>
        <w:rPr>
          <w:rFonts w:hint="eastAsia" w:ascii="Arial" w:hAnsi="Arial" w:cs="Arial"/>
          <w:color w:val="222222"/>
          <w:kern w:val="0"/>
          <w:sz w:val="24"/>
        </w:rPr>
        <w:t>原料长期18月的疏水杂质1结果超趋势，为实验室原因。</w:t>
      </w:r>
    </w:p>
    <w:p w14:paraId="6D8C5D68">
      <w:pPr>
        <w:widowControl/>
        <w:snapToGrid w:val="0"/>
        <w:spacing w:line="400" w:lineRule="exact"/>
        <w:ind w:firstLine="480" w:firstLineChars="200"/>
        <w:contextualSpacing/>
        <w:jc w:val="left"/>
        <w:rPr>
          <w:rFonts w:ascii="Arial" w:hAnsi="Arial" w:cs="Arial"/>
          <w:color w:val="222222"/>
          <w:kern w:val="0"/>
          <w:sz w:val="24"/>
        </w:rPr>
      </w:pPr>
      <w:r>
        <w:rPr>
          <w:rFonts w:ascii="Arial" w:hAnsi="Arial" w:cs="Arial"/>
          <w:color w:val="222222"/>
          <w:kern w:val="0"/>
          <w:sz w:val="24"/>
        </w:rPr>
        <w:t>制药用水 2 例</w:t>
      </w:r>
      <w:r>
        <w:rPr>
          <w:rFonts w:hint="eastAsia" w:ascii="Arial" w:hAnsi="Arial" w:cs="Arial"/>
          <w:color w:val="222222"/>
          <w:kern w:val="0"/>
          <w:sz w:val="24"/>
        </w:rPr>
        <w:t>为T</w:t>
      </w:r>
      <w:r>
        <w:rPr>
          <w:rFonts w:ascii="Arial" w:hAnsi="Arial" w:cs="Arial"/>
          <w:color w:val="222222"/>
          <w:kern w:val="0"/>
          <w:sz w:val="24"/>
        </w:rPr>
        <w:t>OC</w:t>
      </w:r>
      <w:r>
        <w:rPr>
          <w:rFonts w:hint="eastAsia" w:ascii="Arial" w:hAnsi="Arial" w:cs="Arial"/>
          <w:color w:val="222222"/>
          <w:kern w:val="0"/>
          <w:sz w:val="24"/>
        </w:rPr>
        <w:t>、不挥发物超趋势，原因为取样环境有有机溶剂的影响、蒸发皿破损。</w:t>
      </w:r>
    </w:p>
    <w:p w14:paraId="4016CC4E">
      <w:pPr>
        <w:widowControl/>
        <w:snapToGrid w:val="0"/>
        <w:spacing w:line="400" w:lineRule="exact"/>
        <w:ind w:firstLine="480" w:firstLineChars="200"/>
        <w:contextualSpacing/>
        <w:jc w:val="left"/>
        <w:rPr>
          <w:rFonts w:ascii="Segoe UI" w:hAnsi="Segoe UI" w:cs="Segoe UI"/>
          <w:sz w:val="24"/>
          <w:shd w:val="clear" w:color="auto" w:fill="FFFFFF"/>
        </w:rPr>
      </w:pPr>
      <w:r>
        <w:rPr>
          <w:rFonts w:ascii="Segoe UI" w:hAnsi="Segoe UI" w:cs="Segoe UI"/>
          <w:sz w:val="24"/>
          <w:shd w:val="clear" w:color="auto" w:fill="FFFFFF"/>
        </w:rPr>
        <w:t>环境监测 4 例</w:t>
      </w:r>
      <w:r>
        <w:rPr>
          <w:rFonts w:hint="eastAsia" w:ascii="Segoe UI" w:hAnsi="Segoe UI" w:cs="Segoe UI"/>
          <w:sz w:val="24"/>
          <w:shd w:val="clear" w:color="auto" w:fill="FFFFFF"/>
        </w:rPr>
        <w:t>为悬浮粒子超趋势，主要原因为操作的影响、限度值设置不合适。</w:t>
      </w:r>
    </w:p>
    <w:p w14:paraId="4BE717E7">
      <w:pPr>
        <w:pStyle w:val="33"/>
        <w:widowControl/>
        <w:numPr>
          <w:ilvl w:val="0"/>
          <w:numId w:val="5"/>
        </w:numPr>
        <w:snapToGrid w:val="0"/>
        <w:spacing w:line="400" w:lineRule="exact"/>
        <w:ind w:firstLineChars="0"/>
        <w:contextualSpacing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color w:val="222222"/>
          <w:kern w:val="0"/>
          <w:sz w:val="24"/>
        </w:rPr>
        <w:t>OOE共XXX例，</w:t>
      </w:r>
      <w:r>
        <w:rPr>
          <w:rFonts w:hint="eastAsia" w:ascii="Arial" w:hAnsi="Arial" w:cs="Arial"/>
          <w:color w:val="222222"/>
          <w:kern w:val="0"/>
          <w:sz w:val="24"/>
        </w:rPr>
        <w:t>涉及产品的检验X</w:t>
      </w:r>
      <w:r>
        <w:rPr>
          <w:rFonts w:ascii="Arial" w:hAnsi="Arial" w:cs="Arial"/>
          <w:color w:val="222222"/>
          <w:kern w:val="0"/>
          <w:sz w:val="24"/>
        </w:rPr>
        <w:t>XX</w:t>
      </w:r>
      <w:r>
        <w:rPr>
          <w:rFonts w:ascii="Segoe UI" w:hAnsi="Segoe UI" w:cs="Segoe UI"/>
          <w:sz w:val="24"/>
          <w:shd w:val="clear" w:color="auto" w:fill="FFFFFF"/>
        </w:rPr>
        <w:t>。</w:t>
      </w:r>
    </w:p>
    <w:p w14:paraId="13324C5C">
      <w:pPr>
        <w:widowControl/>
        <w:snapToGrid w:val="0"/>
        <w:spacing w:line="400" w:lineRule="exact"/>
        <w:ind w:firstLine="480" w:firstLineChars="200"/>
        <w:contextualSpacing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color w:val="222222"/>
          <w:kern w:val="0"/>
          <w:sz w:val="24"/>
        </w:rPr>
        <w:t>稳定性样品XX例</w:t>
      </w:r>
      <w:r>
        <w:rPr>
          <w:rFonts w:hint="eastAsia" w:ascii="Arial" w:hAnsi="Arial" w:cs="Arial"/>
          <w:color w:val="222222"/>
          <w:kern w:val="0"/>
          <w:sz w:val="24"/>
        </w:rPr>
        <w:t>，</w:t>
      </w:r>
      <w:r>
        <w:rPr>
          <w:rFonts w:hint="eastAsia" w:ascii="Arial" w:hAnsi="Arial" w:cs="Arial"/>
          <w:color w:val="222222"/>
          <w:kern w:val="0"/>
          <w:sz w:val="24"/>
          <w:lang w:eastAsia="zh-CN"/>
        </w:rPr>
        <w:t>产品名（dg）</w:t>
      </w:r>
      <w:r>
        <w:rPr>
          <w:rFonts w:hint="eastAsia" w:ascii="Arial" w:hAnsi="Arial" w:cs="Arial"/>
          <w:color w:val="222222"/>
          <w:kern w:val="0"/>
          <w:sz w:val="24"/>
        </w:rPr>
        <w:t>X</w:t>
      </w:r>
      <w:r>
        <w:rPr>
          <w:rFonts w:ascii="Arial" w:hAnsi="Arial" w:cs="Arial"/>
          <w:color w:val="222222"/>
          <w:kern w:val="0"/>
          <w:sz w:val="24"/>
        </w:rPr>
        <w:t>XX</w:t>
      </w:r>
      <w:r>
        <w:rPr>
          <w:rFonts w:hint="eastAsia" w:ascii="Arial" w:hAnsi="Arial" w:cs="Arial"/>
          <w:color w:val="222222"/>
          <w:kern w:val="0"/>
          <w:sz w:val="24"/>
        </w:rPr>
        <w:t>。</w:t>
      </w:r>
    </w:p>
    <w:p w14:paraId="343F869E">
      <w:pPr>
        <w:pStyle w:val="33"/>
        <w:widowControl/>
        <w:numPr>
          <w:ilvl w:val="0"/>
          <w:numId w:val="6"/>
        </w:numPr>
        <w:spacing w:line="400" w:lineRule="exact"/>
        <w:ind w:firstLineChars="0"/>
        <w:jc w:val="left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O</w:t>
      </w:r>
      <w:r>
        <w:rPr>
          <w:rFonts w:ascii="Arial" w:hAnsi="Arial" w:cs="Arial"/>
          <w:sz w:val="24"/>
        </w:rPr>
        <w:t>OS</w:t>
      </w:r>
      <w:r>
        <w:rPr>
          <w:rFonts w:hint="eastAsia" w:ascii="Arial" w:hAnsi="Arial" w:cs="Arial"/>
          <w:sz w:val="24"/>
        </w:rPr>
        <w:t>/</w:t>
      </w:r>
      <w:r>
        <w:rPr>
          <w:rFonts w:ascii="Arial" w:hAnsi="Arial" w:cs="Arial"/>
          <w:sz w:val="24"/>
        </w:rPr>
        <w:t>OOT/OOE</w:t>
      </w:r>
      <w:r>
        <w:rPr>
          <w:rFonts w:hint="eastAsia" w:ascii="Arial" w:hAnsi="Arial" w:cs="Arial"/>
          <w:sz w:val="24"/>
        </w:rPr>
        <w:t>所涉及检验项目分析</w:t>
      </w:r>
    </w:p>
    <w:p w14:paraId="746F4498">
      <w:pPr>
        <w:widowControl/>
        <w:spacing w:after="156" w:afterLines="50" w:line="400" w:lineRule="exact"/>
        <w:ind w:left="567"/>
        <w:jc w:val="left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2</w:t>
      </w:r>
      <w:r>
        <w:rPr>
          <w:rFonts w:ascii="Arial" w:hAnsi="Arial" w:cs="Arial"/>
          <w:sz w:val="24"/>
        </w:rPr>
        <w:t>025</w:t>
      </w:r>
      <w:r>
        <w:rPr>
          <w:rFonts w:hint="eastAsia" w:ascii="Arial" w:hAnsi="Arial" w:cs="Arial"/>
          <w:sz w:val="24"/>
        </w:rPr>
        <w:t>年检验异常结果</w:t>
      </w:r>
      <w:r>
        <w:rPr>
          <w:rFonts w:ascii="Arial" w:hAnsi="Arial" w:cs="Arial"/>
          <w:sz w:val="24"/>
        </w:rPr>
        <w:t>主要</w:t>
      </w:r>
      <w:r>
        <w:rPr>
          <w:rFonts w:hint="eastAsia" w:ascii="Arial" w:hAnsi="Arial" w:cs="Arial"/>
          <w:sz w:val="24"/>
        </w:rPr>
        <w:t>集中于</w:t>
      </w:r>
      <w:r>
        <w:rPr>
          <w:rFonts w:ascii="Arial" w:hAnsi="Arial" w:cs="Arial"/>
          <w:sz w:val="24"/>
        </w:rPr>
        <w:t>TOC、纯度、有关物质、悬浮粒子、水分、残留溶剂、吸光度</w:t>
      </w:r>
      <w:r>
        <w:rPr>
          <w:rFonts w:hint="eastAsia" w:ascii="Arial" w:hAnsi="Arial" w:cs="Arial"/>
          <w:sz w:val="24"/>
        </w:rPr>
        <w:t>等项目；</w:t>
      </w:r>
      <w:r>
        <w:rPr>
          <w:rFonts w:hint="eastAsia"/>
          <w:sz w:val="24"/>
        </w:rPr>
        <w:t>其余涉及检验异常的项目包括</w:t>
      </w:r>
      <w:r>
        <w:rPr>
          <w:rFonts w:ascii="Arial" w:hAnsi="Arial" w:cs="Arial"/>
          <w:sz w:val="24"/>
        </w:rPr>
        <w:t>含量测定、鉴别、pH、沉降菌、位移准确度、剂量准确度、生物活性残留、凝点、性状、不溶性微粒、清洁确认，</w:t>
      </w:r>
      <w:r>
        <w:rPr>
          <w:rFonts w:hint="eastAsia" w:ascii="Arial" w:hAnsi="Arial" w:cs="Arial"/>
          <w:sz w:val="24"/>
        </w:rPr>
        <w:t>具体明细</w:t>
      </w:r>
      <w:r>
        <w:rPr>
          <w:rFonts w:ascii="Arial" w:hAnsi="Arial" w:cs="Arial"/>
          <w:sz w:val="24"/>
        </w:rPr>
        <w:t>详见下表：</w:t>
      </w:r>
    </w:p>
    <w:tbl>
      <w:tblPr>
        <w:tblStyle w:val="25"/>
        <w:tblW w:w="8363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595"/>
        <w:gridCol w:w="1596"/>
        <w:gridCol w:w="1596"/>
        <w:gridCol w:w="1596"/>
      </w:tblGrid>
      <w:tr w14:paraId="3B3B538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  <w:jc w:val="center"/>
        </w:trPr>
        <w:tc>
          <w:tcPr>
            <w:tcW w:w="1980" w:type="dxa"/>
            <w:vAlign w:val="center"/>
          </w:tcPr>
          <w:p w14:paraId="17362792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检验项目</w:t>
            </w:r>
          </w:p>
        </w:tc>
        <w:tc>
          <w:tcPr>
            <w:tcW w:w="1595" w:type="dxa"/>
            <w:vAlign w:val="center"/>
          </w:tcPr>
          <w:p w14:paraId="65A7803E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O</w:t>
            </w:r>
            <w:r>
              <w:rPr>
                <w:rFonts w:ascii="Arial" w:hAnsi="Arial" w:cs="Arial"/>
                <w:sz w:val="24"/>
              </w:rPr>
              <w:t>OS</w:t>
            </w:r>
            <w:r>
              <w:rPr>
                <w:rFonts w:hint="eastAsia" w:ascii="Arial" w:hAnsi="Arial" w:cs="Arial"/>
                <w:sz w:val="24"/>
              </w:rPr>
              <w:t>数量</w:t>
            </w:r>
          </w:p>
        </w:tc>
        <w:tc>
          <w:tcPr>
            <w:tcW w:w="1596" w:type="dxa"/>
            <w:vAlign w:val="center"/>
          </w:tcPr>
          <w:p w14:paraId="3E78397F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O</w:t>
            </w:r>
            <w:r>
              <w:rPr>
                <w:rFonts w:ascii="Arial" w:hAnsi="Arial" w:cs="Arial"/>
                <w:sz w:val="24"/>
              </w:rPr>
              <w:t>OT数量</w:t>
            </w:r>
          </w:p>
        </w:tc>
        <w:tc>
          <w:tcPr>
            <w:tcW w:w="1596" w:type="dxa"/>
            <w:vAlign w:val="center"/>
          </w:tcPr>
          <w:p w14:paraId="50908113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O</w:t>
            </w:r>
            <w:r>
              <w:rPr>
                <w:rFonts w:ascii="Arial" w:hAnsi="Arial" w:cs="Arial"/>
                <w:sz w:val="24"/>
              </w:rPr>
              <w:t>OE数量</w:t>
            </w:r>
          </w:p>
        </w:tc>
        <w:tc>
          <w:tcPr>
            <w:tcW w:w="1596" w:type="dxa"/>
            <w:vAlign w:val="center"/>
          </w:tcPr>
          <w:p w14:paraId="65EFCA93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总计</w:t>
            </w:r>
          </w:p>
        </w:tc>
      </w:tr>
      <w:tr w14:paraId="65FD27C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vAlign w:val="center"/>
          </w:tcPr>
          <w:p w14:paraId="6DFF3721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TOC</w:t>
            </w:r>
          </w:p>
        </w:tc>
        <w:tc>
          <w:tcPr>
            <w:tcW w:w="1595" w:type="dxa"/>
            <w:vAlign w:val="center"/>
          </w:tcPr>
          <w:p w14:paraId="6AA7F7F5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06678957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73B360ED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48E07534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46547DC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vAlign w:val="center"/>
          </w:tcPr>
          <w:p w14:paraId="0C7D6DFF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有关物质</w:t>
            </w:r>
          </w:p>
        </w:tc>
        <w:tc>
          <w:tcPr>
            <w:tcW w:w="1595" w:type="dxa"/>
            <w:vAlign w:val="center"/>
          </w:tcPr>
          <w:p w14:paraId="42F17972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44CCF1E4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05688BC0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16C60903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75F601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vAlign w:val="center"/>
          </w:tcPr>
          <w:p w14:paraId="568862FA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悬浮粒子</w:t>
            </w:r>
          </w:p>
        </w:tc>
        <w:tc>
          <w:tcPr>
            <w:tcW w:w="1595" w:type="dxa"/>
            <w:vAlign w:val="center"/>
          </w:tcPr>
          <w:p w14:paraId="37C138C5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22039296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673C073D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0AABA56D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63FA8CE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vAlign w:val="center"/>
          </w:tcPr>
          <w:p w14:paraId="3BC95B9D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纯度</w:t>
            </w:r>
          </w:p>
        </w:tc>
        <w:tc>
          <w:tcPr>
            <w:tcW w:w="1595" w:type="dxa"/>
            <w:vAlign w:val="center"/>
          </w:tcPr>
          <w:p w14:paraId="587D1D9F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3D44A19A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0ED45C91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52E63134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4A0803C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vAlign w:val="center"/>
          </w:tcPr>
          <w:p w14:paraId="08DCDC5F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含量</w:t>
            </w:r>
          </w:p>
        </w:tc>
        <w:tc>
          <w:tcPr>
            <w:tcW w:w="1595" w:type="dxa"/>
            <w:vAlign w:val="center"/>
          </w:tcPr>
          <w:p w14:paraId="1BFECDAE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19254349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45930E67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359C58D0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2635828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vAlign w:val="center"/>
          </w:tcPr>
          <w:p w14:paraId="164E69D6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残留量</w:t>
            </w:r>
          </w:p>
        </w:tc>
        <w:tc>
          <w:tcPr>
            <w:tcW w:w="1595" w:type="dxa"/>
            <w:vAlign w:val="center"/>
          </w:tcPr>
          <w:p w14:paraId="5DE2D58F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315090C1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25BBA2E2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6227A6C3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1F07784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vAlign w:val="center"/>
          </w:tcPr>
          <w:p w14:paraId="09C0BAF5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蛋白含量</w:t>
            </w:r>
          </w:p>
        </w:tc>
        <w:tc>
          <w:tcPr>
            <w:tcW w:w="1595" w:type="dxa"/>
            <w:vAlign w:val="center"/>
          </w:tcPr>
          <w:p w14:paraId="0805BCC9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4B980C91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6AF86D7E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5F281055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012F697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vAlign w:val="center"/>
          </w:tcPr>
          <w:p w14:paraId="29EC57A2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不挥发物</w:t>
            </w:r>
          </w:p>
        </w:tc>
        <w:tc>
          <w:tcPr>
            <w:tcW w:w="1595" w:type="dxa"/>
            <w:vAlign w:val="center"/>
          </w:tcPr>
          <w:p w14:paraId="490CF409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2961388E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6938000D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10FAD0F8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5A1061D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vAlign w:val="center"/>
          </w:tcPr>
          <w:p w14:paraId="62C97466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红外鉴别</w:t>
            </w:r>
          </w:p>
        </w:tc>
        <w:tc>
          <w:tcPr>
            <w:tcW w:w="1595" w:type="dxa"/>
            <w:vAlign w:val="center"/>
          </w:tcPr>
          <w:p w14:paraId="7C73C09F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11FC68F2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1A4079C4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7FB190E3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7B06D04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vAlign w:val="center"/>
          </w:tcPr>
          <w:p w14:paraId="325BB096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水分</w:t>
            </w:r>
          </w:p>
        </w:tc>
        <w:tc>
          <w:tcPr>
            <w:tcW w:w="1595" w:type="dxa"/>
            <w:vAlign w:val="center"/>
          </w:tcPr>
          <w:p w14:paraId="41375856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537C0EDB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38652979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0344A1FB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1E39698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vAlign w:val="center"/>
          </w:tcPr>
          <w:p w14:paraId="3A82BCA4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0L</w:t>
            </w:r>
            <w:r>
              <w:rPr>
                <w:rFonts w:hint="eastAsia" w:ascii="Arial" w:hAnsi="Arial" w:cs="Arial"/>
                <w:sz w:val="24"/>
              </w:rPr>
              <w:t>发酵表达量</w:t>
            </w:r>
          </w:p>
        </w:tc>
        <w:tc>
          <w:tcPr>
            <w:tcW w:w="1595" w:type="dxa"/>
            <w:vAlign w:val="center"/>
          </w:tcPr>
          <w:p w14:paraId="448BA1F7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3BD15806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692AA91B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24A6633A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1E98F69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vAlign w:val="center"/>
          </w:tcPr>
          <w:p w14:paraId="43DAFCF8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固含量</w:t>
            </w:r>
          </w:p>
        </w:tc>
        <w:tc>
          <w:tcPr>
            <w:tcW w:w="1595" w:type="dxa"/>
            <w:vAlign w:val="center"/>
          </w:tcPr>
          <w:p w14:paraId="43279F85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621F7A98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6CAF0BC8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1263ED72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17FCD85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vAlign w:val="center"/>
          </w:tcPr>
          <w:p w14:paraId="14B08634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电导率</w:t>
            </w:r>
          </w:p>
        </w:tc>
        <w:tc>
          <w:tcPr>
            <w:tcW w:w="1595" w:type="dxa"/>
            <w:vAlign w:val="center"/>
          </w:tcPr>
          <w:p w14:paraId="53193D99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0A5D0614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2DBEEB88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105E9813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1CFB56C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vAlign w:val="center"/>
          </w:tcPr>
          <w:p w14:paraId="1905AECE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残留溶剂</w:t>
            </w:r>
          </w:p>
        </w:tc>
        <w:tc>
          <w:tcPr>
            <w:tcW w:w="1595" w:type="dxa"/>
            <w:vAlign w:val="center"/>
          </w:tcPr>
          <w:p w14:paraId="0A0FE5E9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1EF3E3A7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0D714680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4DAA6541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52A42DF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vAlign w:val="center"/>
          </w:tcPr>
          <w:p w14:paraId="13FAB927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吸光度</w:t>
            </w:r>
          </w:p>
        </w:tc>
        <w:tc>
          <w:tcPr>
            <w:tcW w:w="1595" w:type="dxa"/>
            <w:vAlign w:val="center"/>
          </w:tcPr>
          <w:p w14:paraId="149DCF2F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0521F287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0261DE38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7F96AE28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014168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vAlign w:val="center"/>
          </w:tcPr>
          <w:p w14:paraId="72503D62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苯</w:t>
            </w:r>
          </w:p>
        </w:tc>
        <w:tc>
          <w:tcPr>
            <w:tcW w:w="1595" w:type="dxa"/>
            <w:vAlign w:val="center"/>
          </w:tcPr>
          <w:p w14:paraId="0B4FD7E9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111AAA23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46FDC5CC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109A0F16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79FB1B1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vAlign w:val="center"/>
          </w:tcPr>
          <w:p w14:paraId="6A1B2488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高分子蛋白</w:t>
            </w:r>
          </w:p>
        </w:tc>
        <w:tc>
          <w:tcPr>
            <w:tcW w:w="1595" w:type="dxa"/>
            <w:vAlign w:val="center"/>
          </w:tcPr>
          <w:p w14:paraId="2E557430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1F5715CE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6AEC346F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02A473CC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7BB4D48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vAlign w:val="center"/>
          </w:tcPr>
          <w:p w14:paraId="52D4CD3F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活性分子数</w:t>
            </w:r>
          </w:p>
        </w:tc>
        <w:tc>
          <w:tcPr>
            <w:tcW w:w="1595" w:type="dxa"/>
            <w:vAlign w:val="center"/>
          </w:tcPr>
          <w:p w14:paraId="48D2DBDA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5C491E99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7C27BCB4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1B7F3F87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0B63D28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vAlign w:val="center"/>
          </w:tcPr>
          <w:p w14:paraId="5E24478A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锌</w:t>
            </w:r>
          </w:p>
        </w:tc>
        <w:tc>
          <w:tcPr>
            <w:tcW w:w="1595" w:type="dxa"/>
            <w:vAlign w:val="center"/>
          </w:tcPr>
          <w:p w14:paraId="30D969D4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1FBDA4B0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4963B008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1064F04F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77DCA01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vAlign w:val="center"/>
          </w:tcPr>
          <w:p w14:paraId="7E01DF13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DGHHW-B</w:t>
            </w:r>
          </w:p>
        </w:tc>
        <w:tc>
          <w:tcPr>
            <w:tcW w:w="1595" w:type="dxa"/>
            <w:vAlign w:val="center"/>
          </w:tcPr>
          <w:p w14:paraId="28D7E373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7D3D7CE1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3AECB63B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96" w:type="dxa"/>
            <w:vAlign w:val="center"/>
          </w:tcPr>
          <w:p w14:paraId="2617BDE4">
            <w:pPr>
              <w:widowControl/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672E03F4">
      <w:pPr>
        <w:widowControl/>
        <w:spacing w:line="400" w:lineRule="exact"/>
        <w:jc w:val="center"/>
        <w:rPr>
          <w:rFonts w:ascii="Arial" w:hAnsi="Arial" w:cs="Arial"/>
          <w:sz w:val="24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271780</wp:posOffset>
            </wp:positionH>
            <wp:positionV relativeFrom="paragraph">
              <wp:posOffset>76835</wp:posOffset>
            </wp:positionV>
            <wp:extent cx="5518150" cy="2743200"/>
            <wp:effectExtent l="0" t="0" r="6350" b="0"/>
            <wp:wrapNone/>
            <wp:docPr id="4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anchor>
        </w:drawing>
      </w:r>
    </w:p>
    <w:p w14:paraId="77900DD0">
      <w:pPr>
        <w:widowControl/>
        <w:spacing w:line="400" w:lineRule="exact"/>
        <w:jc w:val="center"/>
        <w:rPr>
          <w:rFonts w:ascii="Arial" w:hAnsi="Arial" w:cs="Arial"/>
          <w:sz w:val="24"/>
        </w:rPr>
      </w:pPr>
    </w:p>
    <w:p w14:paraId="4DFB5E96">
      <w:pPr>
        <w:widowControl/>
        <w:spacing w:line="400" w:lineRule="exact"/>
        <w:jc w:val="center"/>
        <w:rPr>
          <w:rFonts w:ascii="Arial" w:hAnsi="Arial" w:cs="Arial"/>
          <w:sz w:val="24"/>
        </w:rPr>
      </w:pPr>
    </w:p>
    <w:p w14:paraId="6D2D0904">
      <w:pPr>
        <w:widowControl/>
        <w:spacing w:line="400" w:lineRule="exact"/>
        <w:jc w:val="center"/>
        <w:rPr>
          <w:rFonts w:ascii="Arial" w:hAnsi="Arial" w:cs="Arial"/>
          <w:sz w:val="24"/>
        </w:rPr>
      </w:pPr>
    </w:p>
    <w:p w14:paraId="218F7BEE">
      <w:pPr>
        <w:widowControl/>
        <w:spacing w:line="400" w:lineRule="exact"/>
        <w:jc w:val="center"/>
        <w:rPr>
          <w:rFonts w:ascii="Arial" w:hAnsi="Arial" w:cs="Arial"/>
          <w:sz w:val="24"/>
        </w:rPr>
      </w:pPr>
    </w:p>
    <w:p w14:paraId="6F4A9AB8">
      <w:pPr>
        <w:widowControl/>
        <w:spacing w:line="400" w:lineRule="exact"/>
        <w:jc w:val="center"/>
        <w:rPr>
          <w:rFonts w:ascii="Arial" w:hAnsi="Arial" w:cs="Arial"/>
          <w:sz w:val="24"/>
        </w:rPr>
      </w:pPr>
    </w:p>
    <w:p w14:paraId="6187BA20">
      <w:pPr>
        <w:widowControl/>
        <w:spacing w:line="400" w:lineRule="exact"/>
        <w:jc w:val="center"/>
        <w:rPr>
          <w:rFonts w:ascii="Arial" w:hAnsi="Arial" w:cs="Arial"/>
          <w:sz w:val="24"/>
        </w:rPr>
      </w:pPr>
    </w:p>
    <w:p w14:paraId="2D5B003C">
      <w:pPr>
        <w:widowControl/>
        <w:spacing w:line="400" w:lineRule="exact"/>
        <w:jc w:val="center"/>
        <w:rPr>
          <w:rFonts w:ascii="Arial" w:hAnsi="Arial" w:cs="Arial"/>
          <w:sz w:val="24"/>
        </w:rPr>
      </w:pPr>
    </w:p>
    <w:p w14:paraId="099BC30D">
      <w:pPr>
        <w:widowControl/>
        <w:spacing w:line="400" w:lineRule="exact"/>
        <w:jc w:val="center"/>
        <w:rPr>
          <w:rFonts w:ascii="Arial" w:hAnsi="Arial" w:cs="Arial"/>
          <w:sz w:val="24"/>
        </w:rPr>
      </w:pPr>
    </w:p>
    <w:p w14:paraId="5DC206AB">
      <w:pPr>
        <w:widowControl/>
        <w:spacing w:line="720" w:lineRule="auto"/>
        <w:jc w:val="center"/>
        <w:rPr>
          <w:rFonts w:ascii="Arial" w:hAnsi="Arial" w:cs="Arial"/>
          <w:sz w:val="24"/>
        </w:rPr>
      </w:pPr>
    </w:p>
    <w:p w14:paraId="3F58EFFA">
      <w:pPr>
        <w:widowControl/>
        <w:spacing w:line="400" w:lineRule="exact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小结：</w:t>
      </w:r>
    </w:p>
    <w:p w14:paraId="55DEE237">
      <w:pPr>
        <w:pStyle w:val="33"/>
        <w:widowControl/>
        <w:spacing w:line="400" w:lineRule="exact"/>
        <w:ind w:left="567" w:firstLine="0" w:firstLineChars="0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  <w:shd w:val="clear" w:color="auto" w:fill="FFFFFF"/>
        </w:rPr>
        <w:t>2025年OOS/OOT/OOE主要发生在TOC、悬浮粒子、有关物质、纯度、含量、残留量、蛋白含量、不挥发物、红外鉴别、水分相关项目。已通过培训、完善操作文件、增加标识等措施进行纠正及预防。</w:t>
      </w:r>
    </w:p>
    <w:p w14:paraId="4622B8F0">
      <w:pPr>
        <w:pStyle w:val="33"/>
        <w:widowControl/>
        <w:numPr>
          <w:ilvl w:val="0"/>
          <w:numId w:val="7"/>
        </w:numPr>
        <w:spacing w:line="400" w:lineRule="exact"/>
        <w:ind w:firstLineChars="0"/>
        <w:jc w:val="left"/>
        <w:rPr>
          <w:rFonts w:ascii="Arial" w:hAnsi="Arial" w:cs="Arial"/>
          <w:sz w:val="24"/>
          <w:shd w:val="clear" w:color="auto" w:fill="FFFFFF"/>
        </w:rPr>
      </w:pPr>
      <w:r>
        <w:rPr>
          <w:rFonts w:ascii="Arial" w:hAnsi="Arial" w:cs="Arial"/>
          <w:sz w:val="24"/>
          <w:shd w:val="clear" w:color="auto" w:fill="FFFFFF"/>
        </w:rPr>
        <w:t>TOC</w:t>
      </w:r>
    </w:p>
    <w:p w14:paraId="2E567108">
      <w:pPr>
        <w:pStyle w:val="33"/>
        <w:widowControl/>
        <w:spacing w:line="400" w:lineRule="exact"/>
        <w:ind w:left="709" w:hanging="2" w:firstLineChars="0"/>
        <w:jc w:val="left"/>
        <w:rPr>
          <w:rFonts w:ascii="Arial" w:hAnsi="Arial" w:cs="Arial"/>
          <w:sz w:val="24"/>
          <w:shd w:val="clear" w:color="auto" w:fill="FFFFFF"/>
        </w:rPr>
      </w:pPr>
      <w:r>
        <w:rPr>
          <w:rFonts w:ascii="Arial" w:hAnsi="Arial" w:cs="Arial"/>
          <w:sz w:val="24"/>
          <w:shd w:val="clear" w:color="auto" w:fill="FFFFFF"/>
        </w:rPr>
        <w:t>涉及纯化水、清洁洗水、接收罐 / 结晶罐 / 储罐口清洁等多个检测对象，共出现 7 起异常。主要原因为取样环境/操作的影响，取样操作不规范、取样环境受污染；人员操作疏漏，未开启净化设备导致环境有机残留多。已通过培训作为纠正措施，及完善取样操作文件作为预防措施。</w:t>
      </w:r>
    </w:p>
    <w:p w14:paraId="2867BBDF">
      <w:pPr>
        <w:pStyle w:val="33"/>
        <w:widowControl/>
        <w:numPr>
          <w:ilvl w:val="0"/>
          <w:numId w:val="7"/>
        </w:numPr>
        <w:spacing w:line="400" w:lineRule="exact"/>
        <w:ind w:firstLineChars="0"/>
        <w:jc w:val="left"/>
        <w:rPr>
          <w:rFonts w:ascii="宋体" w:hAnsi="宋体" w:cs="Arial"/>
          <w:sz w:val="24"/>
          <w:shd w:val="clear" w:color="auto" w:fill="FFFFFF"/>
        </w:rPr>
      </w:pPr>
      <w:r>
        <w:rPr>
          <w:rFonts w:hint="eastAsia" w:ascii="宋体" w:hAnsi="宋体" w:cs="Arial"/>
          <w:sz w:val="24"/>
          <w:shd w:val="clear" w:color="auto" w:fill="FFFFFF"/>
        </w:rPr>
        <w:t>悬浮粒子</w:t>
      </w:r>
    </w:p>
    <w:p w14:paraId="02656BFE">
      <w:pPr>
        <w:pStyle w:val="33"/>
        <w:widowControl/>
        <w:spacing w:line="400" w:lineRule="exact"/>
        <w:ind w:left="567" w:firstLine="0" w:firstLineChars="0"/>
        <w:jc w:val="left"/>
        <w:rPr>
          <w:rFonts w:ascii="宋体" w:hAnsi="宋体" w:cs="Arial"/>
          <w:color w:val="1F2329"/>
          <w:kern w:val="0"/>
          <w:sz w:val="24"/>
        </w:rPr>
      </w:pPr>
      <w:r>
        <w:rPr>
          <w:rFonts w:ascii="宋体" w:hAnsi="宋体"/>
          <w:sz w:val="24"/>
        </w:rPr>
        <w:t>涉及</w:t>
      </w:r>
      <w:r>
        <w:rPr>
          <w:rFonts w:hint="eastAsia" w:ascii="宋体" w:hAnsi="宋体"/>
          <w:sz w:val="24"/>
        </w:rPr>
        <w:t>X</w:t>
      </w:r>
      <w:r>
        <w:rPr>
          <w:rFonts w:ascii="宋体" w:hAnsi="宋体"/>
          <w:sz w:val="24"/>
        </w:rPr>
        <w:t>XX</w:t>
      </w:r>
      <w:r>
        <w:rPr>
          <w:rFonts w:hint="eastAsia" w:ascii="宋体" w:hAnsi="宋体" w:cs="宋体"/>
          <w:kern w:val="0"/>
          <w:sz w:val="24"/>
        </w:rPr>
        <w:t>。</w:t>
      </w:r>
    </w:p>
    <w:p w14:paraId="738E6AC7">
      <w:pPr>
        <w:pStyle w:val="33"/>
        <w:widowControl/>
        <w:numPr>
          <w:ilvl w:val="0"/>
          <w:numId w:val="7"/>
        </w:numPr>
        <w:spacing w:line="400" w:lineRule="exact"/>
        <w:ind w:firstLineChars="0"/>
        <w:jc w:val="left"/>
        <w:rPr>
          <w:rFonts w:ascii="Arial" w:hAnsi="Arial" w:cs="Arial"/>
          <w:sz w:val="24"/>
          <w:shd w:val="clear" w:color="auto" w:fill="FFFFFF"/>
        </w:rPr>
      </w:pPr>
      <w:r>
        <w:rPr>
          <w:rFonts w:hint="eastAsia" w:ascii="Arial" w:hAnsi="Arial" w:cs="Arial"/>
          <w:sz w:val="24"/>
          <w:shd w:val="clear" w:color="auto" w:fill="FFFFFF"/>
        </w:rPr>
        <w:t>有关物质</w:t>
      </w:r>
    </w:p>
    <w:p w14:paraId="001E7191">
      <w:pPr>
        <w:pStyle w:val="33"/>
        <w:widowControl/>
        <w:spacing w:line="400" w:lineRule="exact"/>
        <w:ind w:left="567" w:firstLine="0" w:firstLineChars="0"/>
        <w:jc w:val="left"/>
        <w:rPr>
          <w:sz w:val="24"/>
        </w:rPr>
      </w:pPr>
      <w:r>
        <w:rPr>
          <w:sz w:val="24"/>
        </w:rPr>
        <w:t>涉及</w:t>
      </w:r>
      <w:r>
        <w:rPr>
          <w:rFonts w:hint="eastAsia" w:ascii="Arial" w:hAnsi="Arial" w:cs="Arial"/>
          <w:color w:val="1F2329"/>
          <w:kern w:val="0"/>
          <w:sz w:val="24"/>
        </w:rPr>
        <w:t>X</w:t>
      </w:r>
      <w:r>
        <w:rPr>
          <w:rFonts w:ascii="Arial" w:hAnsi="Arial" w:cs="Arial"/>
          <w:color w:val="1F2329"/>
          <w:kern w:val="0"/>
          <w:sz w:val="24"/>
        </w:rPr>
        <w:t>XX。</w:t>
      </w:r>
    </w:p>
    <w:p w14:paraId="040F8446">
      <w:pPr>
        <w:pStyle w:val="33"/>
        <w:widowControl/>
        <w:numPr>
          <w:ilvl w:val="0"/>
          <w:numId w:val="7"/>
        </w:numPr>
        <w:spacing w:line="400" w:lineRule="exact"/>
        <w:ind w:firstLineChars="0"/>
        <w:jc w:val="left"/>
        <w:rPr>
          <w:rFonts w:ascii="Arial" w:hAnsi="Arial" w:cs="Arial"/>
          <w:sz w:val="24"/>
          <w:shd w:val="clear" w:color="auto" w:fill="FFFFFF"/>
        </w:rPr>
      </w:pPr>
      <w:r>
        <w:rPr>
          <w:rFonts w:hint="eastAsia" w:ascii="Arial" w:hAnsi="Arial" w:cs="Arial"/>
          <w:sz w:val="24"/>
          <w:shd w:val="clear" w:color="auto" w:fill="FFFFFF"/>
        </w:rPr>
        <w:t>含量测定</w:t>
      </w:r>
    </w:p>
    <w:p w14:paraId="5A479A00">
      <w:pPr>
        <w:pStyle w:val="33"/>
        <w:widowControl/>
        <w:spacing w:line="400" w:lineRule="exact"/>
        <w:ind w:left="567" w:firstLine="0" w:firstLineChars="0"/>
        <w:jc w:val="left"/>
        <w:rPr>
          <w:sz w:val="24"/>
        </w:rPr>
      </w:pPr>
      <w:r>
        <w:rPr>
          <w:rFonts w:hint="eastAsia"/>
          <w:sz w:val="24"/>
        </w:rPr>
        <w:t>涉及磷酸氢二钾、氢氧化钠、十二水合磷酸氢二钠 3 种物料，共发生 3 起含量检验异常。经调查分析，X</w:t>
      </w:r>
      <w:r>
        <w:rPr>
          <w:sz w:val="24"/>
        </w:rPr>
        <w:t>XX</w:t>
      </w:r>
      <w:r>
        <w:rPr>
          <w:rFonts w:hint="eastAsia"/>
          <w:sz w:val="24"/>
        </w:rPr>
        <w:t>。</w:t>
      </w:r>
    </w:p>
    <w:p w14:paraId="66C68EAF">
      <w:pPr>
        <w:pStyle w:val="33"/>
        <w:widowControl/>
        <w:numPr>
          <w:ilvl w:val="0"/>
          <w:numId w:val="7"/>
        </w:numPr>
        <w:spacing w:line="400" w:lineRule="exact"/>
        <w:ind w:firstLineChars="0"/>
        <w:jc w:val="left"/>
        <w:rPr>
          <w:rFonts w:ascii="Arial" w:hAnsi="Arial" w:cs="Arial"/>
          <w:sz w:val="24"/>
          <w:shd w:val="clear" w:color="auto" w:fill="FFFFFF"/>
        </w:rPr>
      </w:pPr>
      <w:r>
        <w:rPr>
          <w:rFonts w:hint="eastAsia" w:ascii="Arial" w:hAnsi="Arial" w:cs="Arial"/>
          <w:sz w:val="24"/>
          <w:shd w:val="clear" w:color="auto" w:fill="FFFFFF"/>
        </w:rPr>
        <w:t>蛋白含量</w:t>
      </w:r>
    </w:p>
    <w:p w14:paraId="2BB929D7">
      <w:pPr>
        <w:pStyle w:val="33"/>
        <w:widowControl/>
        <w:spacing w:line="400" w:lineRule="exact"/>
        <w:ind w:left="567" w:firstLine="0" w:firstLineChars="0"/>
        <w:jc w:val="left"/>
        <w:rPr>
          <w:sz w:val="24"/>
        </w:rPr>
      </w:pPr>
      <w:r>
        <w:rPr>
          <w:sz w:val="24"/>
        </w:rPr>
        <w:t>涉及</w:t>
      </w:r>
      <w:r>
        <w:rPr>
          <w:rFonts w:hint="eastAsia"/>
          <w:sz w:val="24"/>
        </w:rPr>
        <w:t>X</w:t>
      </w:r>
      <w:r>
        <w:rPr>
          <w:sz w:val="24"/>
        </w:rPr>
        <w:t>XX</w:t>
      </w:r>
      <w:r>
        <w:rPr>
          <w:rFonts w:hint="eastAsia" w:ascii="Arial" w:hAnsi="Arial" w:cs="Arial"/>
          <w:color w:val="1F2329"/>
          <w:kern w:val="0"/>
          <w:sz w:val="24"/>
        </w:rPr>
        <w:t>。</w:t>
      </w:r>
    </w:p>
    <w:p w14:paraId="7FC57F37">
      <w:pPr>
        <w:pStyle w:val="33"/>
        <w:widowControl/>
        <w:numPr>
          <w:ilvl w:val="0"/>
          <w:numId w:val="7"/>
        </w:numPr>
        <w:spacing w:line="400" w:lineRule="exact"/>
        <w:ind w:firstLineChars="0"/>
        <w:jc w:val="left"/>
        <w:rPr>
          <w:rFonts w:ascii="Arial" w:hAnsi="Arial" w:cs="Arial"/>
          <w:sz w:val="24"/>
          <w:shd w:val="clear" w:color="auto" w:fill="FFFFFF"/>
        </w:rPr>
      </w:pPr>
      <w:r>
        <w:rPr>
          <w:rFonts w:hint="eastAsia" w:ascii="Arial" w:hAnsi="Arial" w:cs="Arial"/>
          <w:sz w:val="24"/>
          <w:shd w:val="clear" w:color="auto" w:fill="FFFFFF"/>
        </w:rPr>
        <w:t>不挥发物</w:t>
      </w:r>
    </w:p>
    <w:p w14:paraId="332CACD2">
      <w:pPr>
        <w:pStyle w:val="33"/>
        <w:widowControl/>
        <w:spacing w:line="400" w:lineRule="exact"/>
        <w:ind w:left="567" w:firstLine="0" w:firstLineChars="0"/>
        <w:jc w:val="left"/>
        <w:rPr>
          <w:sz w:val="24"/>
        </w:rPr>
      </w:pPr>
      <w:r>
        <w:rPr>
          <w:sz w:val="24"/>
        </w:rPr>
        <w:t>涉及注射用水、纯化水的不挥发物检测，共 3 起异常</w:t>
      </w:r>
      <w:r>
        <w:rPr>
          <w:rFonts w:hint="eastAsia"/>
          <w:sz w:val="24"/>
        </w:rPr>
        <w:t>。原因为：蒸发皿残留凡士林及蒸发皿破损，导致影响结果。</w:t>
      </w:r>
    </w:p>
    <w:p w14:paraId="485127CD">
      <w:pPr>
        <w:pStyle w:val="33"/>
        <w:widowControl/>
        <w:numPr>
          <w:ilvl w:val="0"/>
          <w:numId w:val="7"/>
        </w:numPr>
        <w:spacing w:line="400" w:lineRule="exact"/>
        <w:ind w:firstLineChars="0"/>
        <w:jc w:val="left"/>
        <w:rPr>
          <w:rFonts w:ascii="Arial" w:hAnsi="Arial" w:cs="Arial"/>
          <w:sz w:val="24"/>
          <w:shd w:val="clear" w:color="auto" w:fill="FFFFFF"/>
        </w:rPr>
      </w:pPr>
      <w:r>
        <w:rPr>
          <w:rFonts w:hint="eastAsia" w:ascii="Arial" w:hAnsi="Arial" w:cs="Arial"/>
          <w:sz w:val="24"/>
          <w:shd w:val="clear" w:color="auto" w:fill="FFFFFF"/>
        </w:rPr>
        <w:t>红外鉴别</w:t>
      </w:r>
    </w:p>
    <w:p w14:paraId="36A67487">
      <w:pPr>
        <w:pStyle w:val="33"/>
        <w:widowControl/>
        <w:spacing w:line="400" w:lineRule="exact"/>
        <w:ind w:left="567" w:firstLine="0" w:firstLineChars="0"/>
        <w:jc w:val="left"/>
        <w:rPr>
          <w:sz w:val="24"/>
        </w:rPr>
      </w:pPr>
      <w:r>
        <w:rPr>
          <w:sz w:val="24"/>
        </w:rPr>
        <w:t>涉及药用聚乙烯袋、</w:t>
      </w:r>
      <w:r>
        <w:rPr>
          <w:rFonts w:hint="eastAsia"/>
          <w:sz w:val="24"/>
        </w:rPr>
        <w:t>X</w:t>
      </w:r>
      <w:r>
        <w:rPr>
          <w:sz w:val="24"/>
        </w:rPr>
        <w:t>XX</w:t>
      </w:r>
      <w:r>
        <w:rPr>
          <w:rFonts w:hint="eastAsia"/>
          <w:sz w:val="24"/>
        </w:rPr>
        <w:t>。</w:t>
      </w:r>
    </w:p>
    <w:p w14:paraId="4C289CD2">
      <w:pPr>
        <w:pStyle w:val="33"/>
        <w:widowControl/>
        <w:numPr>
          <w:ilvl w:val="0"/>
          <w:numId w:val="7"/>
        </w:numPr>
        <w:spacing w:line="400" w:lineRule="exact"/>
        <w:ind w:firstLineChars="0"/>
        <w:jc w:val="left"/>
        <w:rPr>
          <w:rFonts w:ascii="Arial" w:hAnsi="Arial" w:cs="Arial"/>
          <w:sz w:val="24"/>
          <w:shd w:val="clear" w:color="auto" w:fill="FFFFFF"/>
        </w:rPr>
      </w:pPr>
      <w:r>
        <w:rPr>
          <w:rFonts w:hint="eastAsia" w:ascii="Arial" w:hAnsi="Arial" w:cs="Arial"/>
          <w:sz w:val="24"/>
          <w:shd w:val="clear" w:color="auto" w:fill="FFFFFF"/>
        </w:rPr>
        <w:t>残留量</w:t>
      </w:r>
    </w:p>
    <w:p w14:paraId="5A55008F">
      <w:pPr>
        <w:pStyle w:val="33"/>
        <w:widowControl/>
        <w:spacing w:line="400" w:lineRule="exact"/>
        <w:ind w:left="567" w:firstLine="0" w:firstLineChars="0"/>
        <w:jc w:val="left"/>
        <w:rPr>
          <w:rFonts w:ascii="宋体" w:hAnsi="宋体" w:cs="宋体"/>
          <w:kern w:val="0"/>
          <w:sz w:val="24"/>
        </w:rPr>
      </w:pPr>
      <w:r>
        <w:rPr>
          <w:sz w:val="24"/>
        </w:rPr>
        <w:t>涉及不</w:t>
      </w:r>
      <w:r>
        <w:rPr>
          <w:rFonts w:hint="eastAsia"/>
          <w:sz w:val="24"/>
        </w:rPr>
        <w:t>X</w:t>
      </w:r>
      <w:r>
        <w:rPr>
          <w:sz w:val="24"/>
        </w:rPr>
        <w:t>X</w:t>
      </w:r>
      <w:r>
        <w:rPr>
          <w:rFonts w:ascii="宋体" w:hAnsi="宋体" w:cs="宋体"/>
          <w:kern w:val="0"/>
          <w:sz w:val="24"/>
        </w:rPr>
        <w:t>。</w:t>
      </w:r>
    </w:p>
    <w:p w14:paraId="7942271B">
      <w:pPr>
        <w:pStyle w:val="33"/>
        <w:widowControl/>
        <w:numPr>
          <w:ilvl w:val="0"/>
          <w:numId w:val="7"/>
        </w:numPr>
        <w:spacing w:line="400" w:lineRule="exact"/>
        <w:ind w:firstLineChars="0"/>
        <w:jc w:val="left"/>
        <w:rPr>
          <w:rFonts w:ascii="Arial" w:hAnsi="Arial" w:cs="Arial"/>
          <w:sz w:val="24"/>
          <w:shd w:val="clear" w:color="auto" w:fill="FFFFFF"/>
        </w:rPr>
      </w:pPr>
      <w:r>
        <w:rPr>
          <w:rFonts w:hint="eastAsia" w:ascii="Arial" w:hAnsi="Arial" w:cs="Arial"/>
          <w:sz w:val="24"/>
          <w:shd w:val="clear" w:color="auto" w:fill="FFFFFF"/>
        </w:rPr>
        <w:t>纯度</w:t>
      </w:r>
    </w:p>
    <w:p w14:paraId="3D56C186">
      <w:pPr>
        <w:pStyle w:val="33"/>
        <w:widowControl/>
        <w:spacing w:line="400" w:lineRule="exact"/>
        <w:ind w:left="567" w:firstLine="0" w:firstLineChars="0"/>
        <w:jc w:val="left"/>
        <w:rPr>
          <w:sz w:val="24"/>
        </w:rPr>
      </w:pPr>
      <w:r>
        <w:rPr>
          <w:sz w:val="24"/>
        </w:rPr>
        <w:t>涉及</w:t>
      </w:r>
      <w:r>
        <w:rPr>
          <w:rFonts w:hint="eastAsia"/>
          <w:sz w:val="24"/>
          <w:lang w:eastAsia="zh-CN"/>
        </w:rPr>
        <w:t>产品名（ll）</w:t>
      </w:r>
      <w:r>
        <w:rPr>
          <w:sz w:val="24"/>
        </w:rPr>
        <w:t>、N,N'- 二环己基碳二亚胺 2 类物料，共 3 起异常</w:t>
      </w:r>
      <w:r>
        <w:rPr>
          <w:rFonts w:hint="eastAsia"/>
          <w:sz w:val="24"/>
        </w:rPr>
        <w:t>，主要原因为：</w:t>
      </w:r>
      <w:r>
        <w:rPr>
          <w:sz w:val="24"/>
        </w:rPr>
        <w:t>实验室检测因素</w:t>
      </w:r>
      <w:r>
        <w:rPr>
          <w:rFonts w:hint="eastAsia"/>
          <w:sz w:val="24"/>
        </w:rPr>
        <w:t>；</w:t>
      </w:r>
      <w:r>
        <w:rPr>
          <w:sz w:val="24"/>
        </w:rPr>
        <w:t>物料</w:t>
      </w:r>
      <w:r>
        <w:rPr>
          <w:rFonts w:hint="eastAsia"/>
          <w:sz w:val="24"/>
        </w:rPr>
        <w:t>质量</w:t>
      </w:r>
      <w:r>
        <w:rPr>
          <w:sz w:val="24"/>
        </w:rPr>
        <w:t>本身问题</w:t>
      </w:r>
      <w:r>
        <w:rPr>
          <w:rFonts w:hint="eastAsia"/>
          <w:sz w:val="24"/>
        </w:rPr>
        <w:t>；未找到根本原因，重新检测合格。</w:t>
      </w:r>
    </w:p>
    <w:p w14:paraId="489732B9">
      <w:pPr>
        <w:pStyle w:val="33"/>
        <w:numPr>
          <w:ilvl w:val="1"/>
          <w:numId w:val="1"/>
        </w:numPr>
        <w:spacing w:line="400" w:lineRule="exact"/>
        <w:ind w:left="0" w:firstLine="0" w:firstLineChars="0"/>
        <w:rPr>
          <w:rFonts w:ascii="Arial" w:hAnsi="Arial" w:eastAsia="黑体" w:cs="Arial"/>
          <w:color w:val="000000"/>
          <w:sz w:val="24"/>
        </w:rPr>
      </w:pPr>
      <w:r>
        <w:rPr>
          <w:rFonts w:hint="eastAsia" w:ascii="Arial" w:hAnsi="Arial" w:eastAsia="黑体" w:cs="Arial"/>
          <w:sz w:val="24"/>
        </w:rPr>
        <w:t>检验异常调查完成情况统计：</w:t>
      </w:r>
    </w:p>
    <w:p w14:paraId="04259733">
      <w:pPr>
        <w:pStyle w:val="33"/>
        <w:widowControl/>
        <w:spacing w:line="400" w:lineRule="exact"/>
        <w:ind w:left="567" w:firstLine="0" w:firstLineChars="0"/>
        <w:jc w:val="left"/>
        <w:rPr>
          <w:rFonts w:ascii="Arial" w:hAnsi="Arial" w:cs="Arial"/>
          <w:color w:val="000000"/>
          <w:sz w:val="24"/>
        </w:rPr>
      </w:pPr>
      <w:r>
        <w:rPr>
          <w:rFonts w:hint="eastAsia" w:ascii="Arial" w:hAnsi="Arial" w:eastAsia="黑体" w:cs="Arial"/>
          <w:color w:val="000000"/>
          <w:sz w:val="24"/>
        </w:rPr>
        <w:t xml:space="preserve"> </w:t>
      </w:r>
      <w:r>
        <w:rPr>
          <w:rFonts w:ascii="Arial" w:hAnsi="Arial" w:eastAsia="黑体" w:cs="Arial"/>
          <w:color w:val="000000"/>
          <w:sz w:val="24"/>
        </w:rPr>
        <w:t xml:space="preserve">  </w:t>
      </w:r>
      <w:r>
        <w:rPr>
          <w:rFonts w:hint="eastAsia" w:ascii="Arial" w:hAnsi="Arial" w:cs="Arial"/>
          <w:color w:val="000000"/>
          <w:sz w:val="24"/>
        </w:rPr>
        <w:t>根据《超标结果（O</w:t>
      </w:r>
      <w:r>
        <w:rPr>
          <w:rFonts w:ascii="Arial" w:hAnsi="Arial" w:cs="Arial"/>
          <w:color w:val="000000"/>
          <w:sz w:val="24"/>
        </w:rPr>
        <w:t>OS</w:t>
      </w:r>
      <w:r>
        <w:rPr>
          <w:rFonts w:hint="eastAsia" w:ascii="Arial" w:hAnsi="Arial" w:cs="Arial"/>
          <w:color w:val="000000"/>
          <w:sz w:val="24"/>
        </w:rPr>
        <w:t>）管理规程》（文件编号：G</w:t>
      </w:r>
      <w:r>
        <w:rPr>
          <w:rFonts w:ascii="Arial" w:hAnsi="Arial" w:cs="Arial"/>
          <w:color w:val="000000"/>
          <w:sz w:val="24"/>
        </w:rPr>
        <w:t>QA-G00</w:t>
      </w:r>
      <w:r>
        <w:rPr>
          <w:rFonts w:hint="eastAsia" w:ascii="Arial" w:hAnsi="Arial" w:cs="Arial"/>
          <w:color w:val="000000"/>
          <w:sz w:val="24"/>
          <w:lang w:val="en-US" w:eastAsia="zh-CN"/>
        </w:rPr>
        <w:t>xx</w:t>
      </w:r>
      <w:r>
        <w:rPr>
          <w:rFonts w:ascii="Arial" w:hAnsi="Arial" w:cs="Arial"/>
          <w:color w:val="000000"/>
          <w:sz w:val="24"/>
        </w:rPr>
        <w:t>(3.0)</w:t>
      </w:r>
      <w:r>
        <w:rPr>
          <w:rFonts w:hint="eastAsia" w:ascii="Arial" w:hAnsi="Arial" w:cs="Arial"/>
          <w:color w:val="000000"/>
          <w:sz w:val="24"/>
        </w:rPr>
        <w:t>）中调查时限的要求：全部的实验室及生产调查应在O</w:t>
      </w:r>
      <w:r>
        <w:rPr>
          <w:rFonts w:ascii="Arial" w:hAnsi="Arial" w:cs="Arial"/>
          <w:color w:val="000000"/>
          <w:sz w:val="24"/>
        </w:rPr>
        <w:t>OS</w:t>
      </w:r>
      <w:r>
        <w:rPr>
          <w:rFonts w:hint="eastAsia" w:ascii="Arial" w:hAnsi="Arial" w:cs="Arial"/>
          <w:color w:val="000000"/>
          <w:sz w:val="24"/>
        </w:rPr>
        <w:t>结果发现一个月内完成，如有特殊情况，不能按期完成的调查应在质量管理系统上进行调查延期申请，在经过质量负责人的同意后，方可进行延期，Q</w:t>
      </w:r>
      <w:r>
        <w:rPr>
          <w:rFonts w:ascii="Arial" w:hAnsi="Arial" w:cs="Arial"/>
          <w:color w:val="000000"/>
          <w:sz w:val="24"/>
        </w:rPr>
        <w:t>A</w:t>
      </w:r>
      <w:r>
        <w:rPr>
          <w:rFonts w:hint="eastAsia" w:ascii="Arial" w:hAnsi="Arial" w:cs="Arial"/>
          <w:color w:val="000000"/>
          <w:sz w:val="24"/>
        </w:rPr>
        <w:t>应跟进调查的进度。</w:t>
      </w:r>
    </w:p>
    <w:p w14:paraId="69445DCA">
      <w:pPr>
        <w:pStyle w:val="33"/>
        <w:widowControl/>
        <w:spacing w:line="400" w:lineRule="exact"/>
        <w:ind w:left="567" w:firstLine="0" w:firstLineChars="0"/>
        <w:jc w:val="left"/>
        <w:rPr>
          <w:rFonts w:ascii="Arial" w:hAnsi="Arial" w:cs="Arial"/>
          <w:color w:val="000000"/>
          <w:sz w:val="24"/>
        </w:rPr>
      </w:pPr>
      <w:r>
        <w:rPr>
          <w:rFonts w:hint="eastAsia" w:ascii="Arial" w:hAnsi="Arial" w:cs="Arial"/>
          <w:color w:val="000000"/>
          <w:sz w:val="24"/>
        </w:rPr>
        <w:t>以下统计2</w:t>
      </w:r>
      <w:r>
        <w:rPr>
          <w:rFonts w:ascii="Arial" w:hAnsi="Arial" w:cs="Arial"/>
          <w:color w:val="000000"/>
          <w:sz w:val="24"/>
        </w:rPr>
        <w:t>025.01.01-2025.12.31</w:t>
      </w:r>
      <w:r>
        <w:rPr>
          <w:rFonts w:hint="eastAsia" w:ascii="Arial" w:hAnsi="Arial" w:cs="Arial"/>
          <w:color w:val="000000"/>
          <w:sz w:val="24"/>
        </w:rPr>
        <w:t>发生的检验异常的关闭情况：</w:t>
      </w:r>
      <w:bookmarkStart w:id="2" w:name="_GoBack"/>
      <w:bookmarkEnd w:id="2"/>
    </w:p>
    <w:tbl>
      <w:tblPr>
        <w:tblStyle w:val="25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125"/>
        <w:gridCol w:w="2125"/>
        <w:gridCol w:w="2125"/>
      </w:tblGrid>
      <w:tr w14:paraId="27DEA5C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9" w:type="dxa"/>
            <w:vAlign w:val="center"/>
          </w:tcPr>
          <w:p w14:paraId="7ECF0AAF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检验异常数量</w:t>
            </w:r>
          </w:p>
        </w:tc>
        <w:tc>
          <w:tcPr>
            <w:tcW w:w="2125" w:type="dxa"/>
            <w:vAlign w:val="center"/>
          </w:tcPr>
          <w:p w14:paraId="67D9E8E3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已完成调查</w:t>
            </w:r>
          </w:p>
        </w:tc>
        <w:tc>
          <w:tcPr>
            <w:tcW w:w="2125" w:type="dxa"/>
            <w:vAlign w:val="center"/>
          </w:tcPr>
          <w:p w14:paraId="2DC83C7C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未完成调查</w:t>
            </w:r>
          </w:p>
        </w:tc>
        <w:tc>
          <w:tcPr>
            <w:tcW w:w="2125" w:type="dxa"/>
          </w:tcPr>
          <w:p w14:paraId="75C529B9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延期完成数量</w:t>
            </w:r>
          </w:p>
        </w:tc>
      </w:tr>
      <w:tr w14:paraId="54F10C4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9" w:type="dxa"/>
            <w:vAlign w:val="center"/>
          </w:tcPr>
          <w:p w14:paraId="2389A738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125" w:type="dxa"/>
            <w:vAlign w:val="center"/>
          </w:tcPr>
          <w:p w14:paraId="72E0DB78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125" w:type="dxa"/>
            <w:vAlign w:val="center"/>
          </w:tcPr>
          <w:p w14:paraId="3750796A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125" w:type="dxa"/>
          </w:tcPr>
          <w:p w14:paraId="254EA3DD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48E9B65F">
      <w:pPr>
        <w:spacing w:line="400" w:lineRule="exact"/>
        <w:rPr>
          <w:rFonts w:ascii="Arial" w:hAnsi="Arial" w:cs="Arial"/>
          <w:sz w:val="24"/>
        </w:rPr>
      </w:pPr>
      <w:r>
        <w:rPr>
          <w:rFonts w:hint="eastAsia" w:ascii="Arial" w:hAnsi="Arial" w:cs="Arial"/>
          <w:szCs w:val="21"/>
        </w:rPr>
        <w:t xml:space="preserve"> </w:t>
      </w:r>
      <w:r>
        <w:rPr>
          <w:rFonts w:ascii="Arial" w:hAnsi="Arial" w:cs="Arial"/>
          <w:szCs w:val="21"/>
        </w:rPr>
        <w:t xml:space="preserve">  </w:t>
      </w:r>
      <w:r>
        <w:rPr>
          <w:rFonts w:ascii="Arial" w:hAnsi="Arial" w:cs="Arial"/>
          <w:sz w:val="24"/>
        </w:rPr>
        <w:t>从上表可知</w:t>
      </w:r>
      <w:r>
        <w:rPr>
          <w:rFonts w:hint="eastAsia" w:ascii="Arial" w:hAnsi="Arial" w:cs="Arial"/>
          <w:sz w:val="24"/>
        </w:rPr>
        <w:t>，检验异常已全部完成调查，调查完成个数为</w:t>
      </w:r>
      <w:r>
        <w:rPr>
          <w:rFonts w:ascii="Arial" w:hAnsi="Arial" w:cs="Arial"/>
          <w:sz w:val="24"/>
        </w:rPr>
        <w:t>XXX</w:t>
      </w:r>
      <w:r>
        <w:rPr>
          <w:rFonts w:hint="eastAsia" w:ascii="Arial" w:hAnsi="Arial" w:cs="Arial"/>
          <w:sz w:val="24"/>
        </w:rPr>
        <w:t>个，延期完成的有</w:t>
      </w:r>
      <w:r>
        <w:rPr>
          <w:rFonts w:ascii="Arial" w:hAnsi="Arial" w:cs="Arial"/>
          <w:sz w:val="24"/>
        </w:rPr>
        <w:t>XX</w:t>
      </w:r>
      <w:r>
        <w:rPr>
          <w:rFonts w:hint="eastAsia" w:ascii="Arial" w:hAnsi="Arial" w:cs="Arial"/>
          <w:sz w:val="24"/>
        </w:rPr>
        <w:t>个，其中延期的有7个涉及生产的调查，按时完成率为</w:t>
      </w:r>
      <w:r>
        <w:rPr>
          <w:rFonts w:ascii="Arial" w:hAnsi="Arial" w:cs="Arial"/>
          <w:sz w:val="24"/>
        </w:rPr>
        <w:t>XX</w:t>
      </w:r>
      <w:r>
        <w:rPr>
          <w:rFonts w:hint="eastAsia" w:ascii="Arial" w:hAnsi="Arial" w:cs="Arial"/>
          <w:sz w:val="24"/>
        </w:rPr>
        <w:t>。</w:t>
      </w:r>
      <w:r>
        <w:rPr>
          <w:rFonts w:hint="eastAsia" w:ascii="Arial" w:hAnsi="Arial"/>
          <w:sz w:val="24"/>
        </w:rPr>
        <w:t>延期的主要原因为相关事项需要开展进一步深入调查。</w:t>
      </w:r>
      <w:r>
        <w:rPr>
          <w:rFonts w:hint="eastAsia" w:ascii="Arial" w:hAnsi="Arial" w:cs="Arial"/>
          <w:sz w:val="24"/>
        </w:rPr>
        <w:t>未能在规定期限内完成的均在质量管理系统上进行了延期申请，并经质量负责人的批准。</w:t>
      </w:r>
    </w:p>
    <w:p w14:paraId="3E919F19">
      <w:pPr>
        <w:pStyle w:val="3"/>
        <w:spacing w:before="156" w:beforeLines="50" w:after="0" w:line="400" w:lineRule="exact"/>
        <w:jc w:val="left"/>
        <w:rPr>
          <w:rFonts w:cs="Arial"/>
          <w:b w:val="0"/>
          <w:sz w:val="28"/>
          <w:szCs w:val="28"/>
        </w:rPr>
      </w:pPr>
      <w:r>
        <w:rPr>
          <w:rFonts w:cs="Arial"/>
          <w:b w:val="0"/>
          <w:sz w:val="28"/>
          <w:szCs w:val="28"/>
        </w:rPr>
        <w:t xml:space="preserve">3  OOS/OOT/OOE </w:t>
      </w:r>
      <w:r>
        <w:rPr>
          <w:rFonts w:hint="eastAsia" w:cs="Arial"/>
          <w:b w:val="0"/>
          <w:sz w:val="28"/>
          <w:szCs w:val="28"/>
        </w:rPr>
        <w:t>管理体系运行</w:t>
      </w:r>
      <w:r>
        <w:rPr>
          <w:rFonts w:cs="Arial"/>
          <w:b w:val="0"/>
          <w:sz w:val="28"/>
          <w:szCs w:val="28"/>
        </w:rPr>
        <w:t>评估</w:t>
      </w:r>
    </w:p>
    <w:p w14:paraId="7C4E583B">
      <w:pPr>
        <w:spacing w:line="400" w:lineRule="exact"/>
        <w:rPr>
          <w:rFonts w:ascii="Arial" w:hAnsi="Arial" w:eastAsia="黑体" w:cs="Arial"/>
          <w:sz w:val="24"/>
        </w:rPr>
      </w:pPr>
      <w:r>
        <w:rPr>
          <w:rFonts w:hint="eastAsia" w:ascii="Arial" w:hAnsi="Arial" w:eastAsia="黑体" w:cs="Arial"/>
          <w:sz w:val="24"/>
        </w:rPr>
        <w:t>3</w:t>
      </w:r>
      <w:r>
        <w:rPr>
          <w:rFonts w:ascii="Arial" w:hAnsi="Arial" w:eastAsia="黑体" w:cs="Arial"/>
          <w:sz w:val="24"/>
        </w:rPr>
        <w:t xml:space="preserve">.1 </w:t>
      </w:r>
      <w:r>
        <w:rPr>
          <w:rFonts w:hint="eastAsia" w:ascii="Arial" w:hAnsi="Arial" w:eastAsia="黑体" w:cs="Arial"/>
          <w:sz w:val="24"/>
        </w:rPr>
        <w:t>O</w:t>
      </w:r>
      <w:r>
        <w:rPr>
          <w:rFonts w:ascii="Arial" w:hAnsi="Arial" w:eastAsia="黑体" w:cs="Arial"/>
          <w:sz w:val="24"/>
        </w:rPr>
        <w:t>OS/OOT/OOE</w:t>
      </w:r>
      <w:r>
        <w:rPr>
          <w:rFonts w:hint="eastAsia" w:ascii="Arial" w:hAnsi="Arial" w:eastAsia="黑体" w:cs="Arial"/>
          <w:sz w:val="24"/>
        </w:rPr>
        <w:t>管理情况</w:t>
      </w:r>
    </w:p>
    <w:p w14:paraId="649BCC90">
      <w:pPr>
        <w:spacing w:line="400" w:lineRule="exact"/>
        <w:ind w:left="420" w:leftChars="200" w:firstLine="540" w:firstLineChars="225"/>
        <w:rPr>
          <w:rFonts w:ascii="Arial" w:hAnsi="Arial" w:cs="Arial"/>
          <w:sz w:val="24"/>
        </w:rPr>
      </w:pPr>
      <w:r>
        <w:rPr>
          <w:rFonts w:hint="eastAsia" w:ascii="Arial" w:hAnsi="Arial" w:cs="Arial"/>
          <w:snapToGrid w:val="0"/>
          <w:kern w:val="0"/>
          <w:sz w:val="24"/>
        </w:rPr>
        <w:t>检验异常按照《质量管理系统检验异常模块操作规程》在</w:t>
      </w:r>
      <w:r>
        <w:rPr>
          <w:rFonts w:ascii="Arial" w:hAnsi="Arial" w:cs="Arial"/>
          <w:snapToGrid w:val="0"/>
          <w:kern w:val="0"/>
          <w:sz w:val="24"/>
        </w:rPr>
        <w:t>质量管理系统</w:t>
      </w:r>
      <w:r>
        <w:rPr>
          <w:rFonts w:hint="eastAsia" w:ascii="Arial" w:hAnsi="Arial" w:cs="Arial"/>
          <w:snapToGrid w:val="0"/>
          <w:kern w:val="0"/>
          <w:sz w:val="24"/>
        </w:rPr>
        <w:t>（线上）进行报告、审核、批准。</w:t>
      </w:r>
      <w:r>
        <w:rPr>
          <w:rFonts w:hint="eastAsia" w:ascii="Arial" w:hAnsi="Arial" w:cs="Arial"/>
          <w:color w:val="222222"/>
          <w:kern w:val="0"/>
          <w:sz w:val="24"/>
        </w:rPr>
        <w:t>检验异常</w:t>
      </w:r>
      <w:r>
        <w:rPr>
          <w:rFonts w:ascii="Arial" w:hAnsi="Arial" w:cs="Arial"/>
          <w:color w:val="222222"/>
          <w:sz w:val="24"/>
        </w:rPr>
        <w:t>发现后</w:t>
      </w:r>
      <w:r>
        <w:rPr>
          <w:rFonts w:hint="eastAsia" w:ascii="Arial" w:hAnsi="Arial" w:cs="Arial"/>
          <w:color w:val="222222"/>
          <w:sz w:val="24"/>
        </w:rPr>
        <w:t>大部分都能再2</w:t>
      </w:r>
      <w:r>
        <w:rPr>
          <w:rFonts w:ascii="Arial" w:hAnsi="Arial" w:cs="Arial"/>
          <w:color w:val="222222"/>
          <w:sz w:val="24"/>
        </w:rPr>
        <w:t>4</w:t>
      </w:r>
      <w:r>
        <w:rPr>
          <w:rFonts w:hint="eastAsia" w:ascii="Arial" w:hAnsi="Arial" w:cs="Arial"/>
          <w:color w:val="222222"/>
          <w:sz w:val="24"/>
        </w:rPr>
        <w:t>小时</w:t>
      </w:r>
      <w:r>
        <w:rPr>
          <w:rFonts w:ascii="Arial" w:hAnsi="Arial" w:cs="Arial"/>
          <w:color w:val="222222"/>
          <w:sz w:val="24"/>
        </w:rPr>
        <w:t>内报告</w:t>
      </w:r>
      <w:r>
        <w:rPr>
          <w:rFonts w:ascii="Arial" w:hAnsi="Arial" w:cs="Arial"/>
          <w:color w:val="222222"/>
          <w:kern w:val="0"/>
          <w:sz w:val="24"/>
        </w:rPr>
        <w:t>，</w:t>
      </w:r>
      <w:r>
        <w:rPr>
          <w:rFonts w:hint="eastAsia" w:ascii="Arial" w:hAnsi="Arial" w:cs="Arial"/>
          <w:color w:val="222222"/>
          <w:kern w:val="0"/>
          <w:sz w:val="24"/>
        </w:rPr>
        <w:t>小部分未能及时上报的均注明了原因。上报后按照《检验异常管理规程》、《质量调查工具管理规程》</w:t>
      </w:r>
      <w:r>
        <w:rPr>
          <w:rFonts w:ascii="Arial" w:hAnsi="Arial" w:cs="Arial"/>
          <w:color w:val="222222"/>
          <w:kern w:val="0"/>
          <w:sz w:val="24"/>
        </w:rPr>
        <w:t>启动调查</w:t>
      </w:r>
      <w:r>
        <w:rPr>
          <w:rFonts w:ascii="Arial" w:hAnsi="Arial" w:cs="Arial"/>
          <w:sz w:val="24"/>
        </w:rPr>
        <w:t>调查程序：</w:t>
      </w:r>
      <w:r>
        <w:rPr>
          <w:rFonts w:hint="eastAsia" w:ascii="Arial" w:hAnsi="Arial" w:cs="Arial"/>
          <w:sz w:val="24"/>
        </w:rPr>
        <w:t>采用第一阶段实验室调查，找到根本原因时，结束调查。</w:t>
      </w:r>
      <w:r>
        <w:rPr>
          <w:rFonts w:ascii="Arial" w:hAnsi="Arial" w:cs="Arial"/>
          <w:sz w:val="24"/>
        </w:rPr>
        <w:t>若</w:t>
      </w:r>
      <w:r>
        <w:rPr>
          <w:rFonts w:hint="eastAsia" w:ascii="Arial" w:hAnsi="Arial" w:cs="Arial"/>
          <w:sz w:val="24"/>
        </w:rPr>
        <w:t>第一阶段</w:t>
      </w:r>
      <w:r>
        <w:rPr>
          <w:rFonts w:ascii="Arial" w:hAnsi="Arial" w:cs="Arial"/>
          <w:sz w:val="24"/>
        </w:rPr>
        <w:t>调查无法确定根本原因</w:t>
      </w:r>
      <w:r>
        <w:rPr>
          <w:rFonts w:hint="eastAsia" w:ascii="Arial" w:hAnsi="Arial" w:cs="Arial"/>
          <w:sz w:val="24"/>
        </w:rPr>
        <w:t>，启动第二阶段实验室与生产同步调查。特殊情况下，第一阶段的调查可由实验室与生产同步调查</w:t>
      </w:r>
      <w:r>
        <w:rPr>
          <w:rFonts w:ascii="Arial" w:hAnsi="Arial" w:cs="Arial"/>
          <w:sz w:val="24"/>
        </w:rPr>
        <w:t>。涉及生产过程的各个环节，包括物料采购、生产工艺、人员操作、设备运行、环境条件等方面的追溯和审查。</w:t>
      </w:r>
      <w:r>
        <w:rPr>
          <w:rFonts w:hint="eastAsia" w:ascii="Arial" w:hAnsi="Arial" w:cs="Arial"/>
          <w:sz w:val="24"/>
        </w:rPr>
        <w:t>涉及物料的调查，第二阶段由物控部调查物料的验收、储存等情况；供应商调查生产及运输的相关情况等。</w:t>
      </w:r>
    </w:p>
    <w:p w14:paraId="73E5018A">
      <w:pPr>
        <w:spacing w:line="400" w:lineRule="exact"/>
        <w:ind w:left="420" w:leftChars="200" w:firstLine="540" w:firstLineChars="225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规定检验异常的调查期限，未按期完成的，依据文件规定申请延期，且经质量负责人批准。。</w:t>
      </w:r>
    </w:p>
    <w:p w14:paraId="294E4EA8">
      <w:pPr>
        <w:widowControl/>
        <w:spacing w:line="400" w:lineRule="exact"/>
        <w:jc w:val="left"/>
        <w:rPr>
          <w:rFonts w:ascii="Arial" w:hAnsi="Arial" w:eastAsia="黑体" w:cs="Arial"/>
          <w:sz w:val="24"/>
        </w:rPr>
      </w:pPr>
      <w:r>
        <w:rPr>
          <w:rFonts w:hint="eastAsia" w:ascii="Arial" w:hAnsi="Arial" w:cs="Arial"/>
          <w:sz w:val="24"/>
        </w:rPr>
        <w:t>3</w:t>
      </w:r>
      <w:r>
        <w:rPr>
          <w:rFonts w:ascii="Arial" w:hAnsi="Arial" w:cs="Arial"/>
          <w:sz w:val="24"/>
        </w:rPr>
        <w:t xml:space="preserve">.2  </w:t>
      </w:r>
      <w:r>
        <w:rPr>
          <w:rFonts w:ascii="Arial" w:hAnsi="Arial" w:eastAsia="黑体" w:cs="Arial"/>
          <w:sz w:val="24"/>
        </w:rPr>
        <w:t xml:space="preserve">OOS/OOT/OOE </w:t>
      </w:r>
      <w:r>
        <w:rPr>
          <w:rFonts w:hint="eastAsia" w:ascii="Arial" w:hAnsi="Arial" w:eastAsia="黑体" w:cs="Arial"/>
          <w:sz w:val="24"/>
        </w:rPr>
        <w:t>管理存在的问题</w:t>
      </w:r>
    </w:p>
    <w:p w14:paraId="6F4DBF2A">
      <w:pPr>
        <w:spacing w:line="400" w:lineRule="exact"/>
        <w:ind w:left="472" w:leftChars="225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2</w:t>
      </w:r>
      <w:r>
        <w:rPr>
          <w:rFonts w:ascii="Arial" w:hAnsi="Arial" w:cs="Arial"/>
          <w:sz w:val="24"/>
        </w:rPr>
        <w:t>025</w:t>
      </w:r>
      <w:r>
        <w:rPr>
          <w:rFonts w:hint="eastAsia" w:ascii="Arial" w:hAnsi="Arial" w:cs="Arial"/>
          <w:sz w:val="24"/>
        </w:rPr>
        <w:t>年O</w:t>
      </w:r>
      <w:r>
        <w:rPr>
          <w:rFonts w:ascii="Arial" w:hAnsi="Arial" w:cs="Arial"/>
          <w:sz w:val="24"/>
        </w:rPr>
        <w:t>OS/OOT/OOE</w:t>
      </w:r>
      <w:r>
        <w:rPr>
          <w:rFonts w:hint="eastAsia" w:ascii="Arial" w:hAnsi="Arial" w:cs="Arial"/>
          <w:sz w:val="24"/>
        </w:rPr>
        <w:t>管理中，完成调查情况延期占比为</w:t>
      </w:r>
      <w:r>
        <w:rPr>
          <w:rFonts w:ascii="Arial" w:hAnsi="Arial" w:cs="Arial"/>
          <w:sz w:val="24"/>
        </w:rPr>
        <w:t>XX</w:t>
      </w:r>
      <w:r>
        <w:rPr>
          <w:rFonts w:hint="eastAsia" w:ascii="Arial" w:hAnsi="Arial" w:cs="Arial"/>
          <w:sz w:val="24"/>
        </w:rPr>
        <w:t>，2</w:t>
      </w:r>
      <w:r>
        <w:rPr>
          <w:rFonts w:ascii="Arial" w:hAnsi="Arial" w:cs="Arial"/>
          <w:sz w:val="24"/>
        </w:rPr>
        <w:t>024</w:t>
      </w:r>
      <w:r>
        <w:rPr>
          <w:rFonts w:hint="eastAsia" w:ascii="Arial" w:hAnsi="Arial" w:cs="Arial"/>
          <w:sz w:val="24"/>
        </w:rPr>
        <w:t>年的延期占比为</w:t>
      </w:r>
      <w:r>
        <w:rPr>
          <w:rFonts w:ascii="Arial" w:hAnsi="Arial" w:cs="Arial"/>
          <w:sz w:val="24"/>
        </w:rPr>
        <w:t>XX%</w:t>
      </w:r>
      <w:r>
        <w:rPr>
          <w:rFonts w:hint="eastAsia" w:ascii="Arial" w:hAnsi="Arial" w:cs="Arial"/>
          <w:sz w:val="24"/>
        </w:rPr>
        <w:t>。按期完成率相对于2</w:t>
      </w:r>
      <w:r>
        <w:rPr>
          <w:rFonts w:ascii="Arial" w:hAnsi="Arial" w:cs="Arial"/>
          <w:sz w:val="24"/>
        </w:rPr>
        <w:t>024</w:t>
      </w:r>
      <w:r>
        <w:rPr>
          <w:rFonts w:hint="eastAsia" w:ascii="Arial" w:hAnsi="Arial" w:cs="Arial"/>
          <w:sz w:val="24"/>
        </w:rPr>
        <w:t>年取得了一定的成效，但仍然存在问题：</w:t>
      </w:r>
    </w:p>
    <w:p w14:paraId="5A78C23D">
      <w:pPr>
        <w:pStyle w:val="33"/>
        <w:widowControl/>
        <w:numPr>
          <w:ilvl w:val="0"/>
          <w:numId w:val="8"/>
        </w:numPr>
        <w:shd w:val="clear" w:color="auto" w:fill="FFFFFF"/>
        <w:spacing w:line="400" w:lineRule="exact"/>
        <w:ind w:left="357" w:hanging="357" w:firstLineChars="0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无效OOS数量，占</w:t>
      </w:r>
      <w:r>
        <w:rPr>
          <w:rFonts w:hint="eastAsia" w:ascii="Arial" w:hAnsi="Arial" w:cs="Arial"/>
          <w:sz w:val="24"/>
        </w:rPr>
        <w:t>比</w:t>
      </w:r>
      <w:r>
        <w:rPr>
          <w:rFonts w:ascii="Arial" w:hAnsi="Arial" w:cs="Arial"/>
          <w:sz w:val="24"/>
        </w:rPr>
        <w:t>51.06%，这个数据说明实验室检验能力需要提升，减少因实验室原因导致的检验异常数据。主要是人员/文件的问题，需要提升人员的管理能力，识别文件的可操作性及实验员的检验操作能力</w:t>
      </w:r>
      <w:r>
        <w:rPr>
          <w:rFonts w:hint="eastAsia" w:ascii="Arial" w:hAnsi="Arial" w:cs="Arial"/>
          <w:sz w:val="24"/>
        </w:rPr>
        <w:t>。</w:t>
      </w:r>
    </w:p>
    <w:p w14:paraId="56F04283">
      <w:pPr>
        <w:pStyle w:val="33"/>
        <w:widowControl/>
        <w:numPr>
          <w:ilvl w:val="0"/>
          <w:numId w:val="8"/>
        </w:numPr>
        <w:shd w:val="clear" w:color="auto" w:fill="FFFFFF"/>
        <w:spacing w:line="400" w:lineRule="exact"/>
        <w:ind w:left="357" w:hanging="357" w:firstLineChars="0"/>
        <w:jc w:val="left"/>
        <w:rPr>
          <w:sz w:val="24"/>
        </w:rPr>
      </w:pPr>
      <w:r>
        <w:rPr>
          <w:rFonts w:hint="eastAsia"/>
          <w:sz w:val="24"/>
        </w:rPr>
        <w:t>根本原因为“人”的偏差占比最多，原因有未按操作规程操作；操作错误；培训不足；说明培训效果不到位，需要根据培训的内容选择合适的考核方式，确保培训效果。</w:t>
      </w:r>
    </w:p>
    <w:p w14:paraId="43FFC934">
      <w:pPr>
        <w:pStyle w:val="33"/>
        <w:widowControl/>
        <w:numPr>
          <w:ilvl w:val="0"/>
          <w:numId w:val="8"/>
        </w:numPr>
        <w:shd w:val="clear" w:color="auto" w:fill="FFFFFF"/>
        <w:spacing w:line="400" w:lineRule="exact"/>
        <w:ind w:left="357" w:hanging="357" w:firstLineChars="0"/>
        <w:jc w:val="left"/>
        <w:rPr>
          <w:sz w:val="24"/>
        </w:rPr>
      </w:pPr>
      <w:r>
        <w:rPr>
          <w:rFonts w:hint="eastAsia"/>
          <w:sz w:val="24"/>
        </w:rPr>
        <w:t>检验异未能在规定时间内关闭，调查时间较长，说明检验异常时效性方面存在问题。</w:t>
      </w:r>
    </w:p>
    <w:p w14:paraId="4E77ED57">
      <w:pPr>
        <w:pStyle w:val="33"/>
        <w:widowControl/>
        <w:numPr>
          <w:ilvl w:val="0"/>
          <w:numId w:val="8"/>
        </w:numPr>
        <w:shd w:val="clear" w:color="auto" w:fill="FFFFFF"/>
        <w:spacing w:line="400" w:lineRule="exact"/>
        <w:ind w:left="357" w:hanging="357" w:firstLineChars="0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个别案例调查记录不够详尽</w:t>
      </w:r>
      <w:r>
        <w:rPr>
          <w:rFonts w:hint="eastAsia" w:ascii="Arial" w:hAnsi="Arial" w:cs="Arial"/>
          <w:sz w:val="24"/>
        </w:rPr>
        <w:t>，调查深度不彻底，根本原因分析流于表面。</w:t>
      </w:r>
    </w:p>
    <w:p w14:paraId="7415BE71">
      <w:pPr>
        <w:widowControl/>
        <w:spacing w:line="400" w:lineRule="exact"/>
        <w:jc w:val="left"/>
        <w:rPr>
          <w:rFonts w:ascii="Arial" w:hAnsi="Arial" w:eastAsia="黑体" w:cs="Arial"/>
          <w:sz w:val="24"/>
        </w:rPr>
      </w:pPr>
      <w:r>
        <w:rPr>
          <w:rFonts w:hint="eastAsia" w:ascii="Arial" w:hAnsi="Arial" w:cs="Arial"/>
          <w:sz w:val="24"/>
        </w:rPr>
        <w:t>3</w:t>
      </w:r>
      <w:r>
        <w:rPr>
          <w:rFonts w:ascii="Arial" w:hAnsi="Arial" w:cs="Arial"/>
          <w:sz w:val="24"/>
        </w:rPr>
        <w:t xml:space="preserve">.3  </w:t>
      </w:r>
      <w:r>
        <w:rPr>
          <w:rFonts w:ascii="Arial" w:hAnsi="Arial" w:eastAsia="黑体" w:cs="Arial"/>
          <w:sz w:val="24"/>
        </w:rPr>
        <w:t xml:space="preserve">OOS/OOT/OOE </w:t>
      </w:r>
      <w:r>
        <w:rPr>
          <w:rFonts w:hint="eastAsia" w:ascii="Arial" w:hAnsi="Arial" w:eastAsia="黑体" w:cs="Arial"/>
          <w:sz w:val="24"/>
        </w:rPr>
        <w:t>管理改进建议</w:t>
      </w:r>
    </w:p>
    <w:p w14:paraId="3DF138CC">
      <w:pPr>
        <w:spacing w:line="400" w:lineRule="exact"/>
        <w:ind w:left="472" w:leftChars="225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针对</w:t>
      </w:r>
      <w:r>
        <w:rPr>
          <w:rFonts w:hint="eastAsia" w:ascii="Arial" w:hAnsi="Arial" w:cs="Arial"/>
          <w:sz w:val="24"/>
        </w:rPr>
        <w:t>上述</w:t>
      </w:r>
      <w:r>
        <w:rPr>
          <w:rFonts w:ascii="Arial" w:hAnsi="Arial" w:cs="Arial"/>
          <w:sz w:val="24"/>
        </w:rPr>
        <w:t>问题</w:t>
      </w:r>
      <w:r>
        <w:rPr>
          <w:rFonts w:hint="eastAsia" w:ascii="Arial" w:hAnsi="Arial" w:cs="Arial"/>
          <w:sz w:val="24"/>
        </w:rPr>
        <w:t>需</w:t>
      </w:r>
      <w:r>
        <w:rPr>
          <w:rFonts w:ascii="Arial" w:hAnsi="Arial" w:cs="Arial"/>
          <w:sz w:val="24"/>
        </w:rPr>
        <w:t>制定改进措施，加强对调查过程的监督和管理，确保调查工作的合规性和有效性</w:t>
      </w:r>
      <w:r>
        <w:rPr>
          <w:rFonts w:hint="eastAsia" w:ascii="Arial" w:hAnsi="Arial" w:cs="Arial"/>
          <w:sz w:val="24"/>
        </w:rPr>
        <w:t>，如下：</w:t>
      </w:r>
    </w:p>
    <w:tbl>
      <w:tblPr>
        <w:tblStyle w:val="25"/>
        <w:tblW w:w="5000" w:type="pct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5515"/>
        <w:gridCol w:w="1559"/>
        <w:gridCol w:w="1551"/>
      </w:tblGrid>
      <w:tr w14:paraId="3456C7A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385" w:type="pct"/>
            <w:vAlign w:val="center"/>
          </w:tcPr>
          <w:p w14:paraId="0E08B378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ascii="Arial" w:hAnsi="Arial" w:cs="Arial"/>
                <w:color w:val="222222"/>
                <w:kern w:val="0"/>
                <w:szCs w:val="21"/>
              </w:rPr>
              <w:t>序号</w:t>
            </w:r>
          </w:p>
        </w:tc>
        <w:tc>
          <w:tcPr>
            <w:tcW w:w="2951" w:type="pct"/>
            <w:vAlign w:val="center"/>
          </w:tcPr>
          <w:p w14:paraId="7ED9C115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ascii="Arial" w:hAnsi="Arial" w:cs="Arial"/>
                <w:color w:val="222222"/>
                <w:kern w:val="0"/>
                <w:szCs w:val="21"/>
              </w:rPr>
              <w:t>改进措施</w:t>
            </w:r>
          </w:p>
        </w:tc>
        <w:tc>
          <w:tcPr>
            <w:tcW w:w="834" w:type="pct"/>
            <w:vAlign w:val="center"/>
          </w:tcPr>
          <w:p w14:paraId="02D12F34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ascii="Arial" w:hAnsi="Arial" w:cs="Arial"/>
                <w:color w:val="222222"/>
                <w:kern w:val="0"/>
                <w:szCs w:val="21"/>
              </w:rPr>
              <w:t>执行部门</w:t>
            </w:r>
          </w:p>
        </w:tc>
        <w:tc>
          <w:tcPr>
            <w:tcW w:w="830" w:type="pct"/>
            <w:vAlign w:val="center"/>
          </w:tcPr>
          <w:p w14:paraId="2E0C9903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ascii="Arial" w:hAnsi="Arial" w:cs="Arial"/>
                <w:color w:val="222222"/>
                <w:kern w:val="0"/>
                <w:szCs w:val="21"/>
              </w:rPr>
              <w:t>计划完成时间</w:t>
            </w:r>
          </w:p>
        </w:tc>
      </w:tr>
      <w:tr w14:paraId="2D94D01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" w:type="pct"/>
            <w:vMerge w:val="restart"/>
            <w:vAlign w:val="center"/>
          </w:tcPr>
          <w:p w14:paraId="188906A7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222222"/>
                <w:kern w:val="0"/>
                <w:szCs w:val="21"/>
              </w:rPr>
              <w:t>1</w:t>
            </w:r>
          </w:p>
        </w:tc>
        <w:tc>
          <w:tcPr>
            <w:tcW w:w="2951" w:type="pct"/>
            <w:vAlign w:val="center"/>
          </w:tcPr>
          <w:p w14:paraId="5BD0F554">
            <w:pPr>
              <w:widowControl/>
              <w:spacing w:line="240" w:lineRule="atLeast"/>
              <w:jc w:val="left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ascii="Arial" w:hAnsi="Arial" w:cs="Arial"/>
                <w:szCs w:val="21"/>
              </w:rPr>
              <w:t>1）学习法规提高认知，识别公司文件与法规条款的差异性。</w:t>
            </w:r>
          </w:p>
        </w:tc>
        <w:tc>
          <w:tcPr>
            <w:tcW w:w="834" w:type="pct"/>
            <w:vMerge w:val="restart"/>
            <w:vAlign w:val="center"/>
          </w:tcPr>
          <w:p w14:paraId="7A608E59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ascii="Arial" w:hAnsi="Arial" w:cs="Arial"/>
                <w:color w:val="222222"/>
                <w:kern w:val="0"/>
                <w:szCs w:val="21"/>
              </w:rPr>
              <w:t>各部门</w:t>
            </w:r>
          </w:p>
        </w:tc>
        <w:tc>
          <w:tcPr>
            <w:tcW w:w="830" w:type="pct"/>
            <w:vMerge w:val="restart"/>
            <w:vAlign w:val="center"/>
          </w:tcPr>
          <w:p w14:paraId="6541EFA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222222"/>
                <w:kern w:val="0"/>
                <w:szCs w:val="21"/>
              </w:rPr>
              <w:t>持续</w:t>
            </w:r>
          </w:p>
        </w:tc>
      </w:tr>
      <w:tr w14:paraId="6AD3CC3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" w:type="pct"/>
            <w:vMerge w:val="continue"/>
            <w:vAlign w:val="center"/>
          </w:tcPr>
          <w:p w14:paraId="286D3B05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  <w:tc>
          <w:tcPr>
            <w:tcW w:w="2951" w:type="pct"/>
            <w:vAlign w:val="center"/>
          </w:tcPr>
          <w:p w14:paraId="017DFA93">
            <w:pPr>
              <w:widowControl/>
              <w:spacing w:line="240" w:lineRule="atLeast"/>
              <w:jc w:val="left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ascii="Arial" w:hAnsi="Arial" w:cs="Arial"/>
                <w:kern w:val="0"/>
                <w:szCs w:val="21"/>
              </w:rPr>
              <w:t>2）</w:t>
            </w:r>
            <w:r>
              <w:rPr>
                <w:rFonts w:ascii="Arial" w:hAnsi="Arial" w:cs="Arial"/>
                <w:szCs w:val="21"/>
              </w:rPr>
              <w:t>持续开展文件两年周期性评审的工作，确认文件/记录内容的适配性</w:t>
            </w:r>
          </w:p>
        </w:tc>
        <w:tc>
          <w:tcPr>
            <w:tcW w:w="834" w:type="pct"/>
            <w:vMerge w:val="continue"/>
            <w:vAlign w:val="center"/>
          </w:tcPr>
          <w:p w14:paraId="59027F04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  <w:tc>
          <w:tcPr>
            <w:tcW w:w="830" w:type="pct"/>
            <w:vMerge w:val="continue"/>
            <w:vAlign w:val="center"/>
          </w:tcPr>
          <w:p w14:paraId="4FCF9D56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</w:tr>
      <w:tr w14:paraId="581E8AA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" w:type="pct"/>
            <w:vMerge w:val="restart"/>
            <w:vAlign w:val="center"/>
          </w:tcPr>
          <w:p w14:paraId="12F3C70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222222"/>
                <w:kern w:val="0"/>
                <w:szCs w:val="21"/>
              </w:rPr>
              <w:t>2</w:t>
            </w:r>
          </w:p>
        </w:tc>
        <w:tc>
          <w:tcPr>
            <w:tcW w:w="2951" w:type="pct"/>
          </w:tcPr>
          <w:p w14:paraId="2D282CB1">
            <w:pPr>
              <w:pStyle w:val="12"/>
              <w:spacing w:line="240" w:lineRule="atLeas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1）</w:t>
            </w:r>
            <w:r>
              <w:rPr>
                <w:rFonts w:hint="eastAsia" w:ascii="Arial" w:hAnsi="Arial" w:cs="Arial"/>
                <w:szCs w:val="21"/>
              </w:rPr>
              <w:t>相关</w:t>
            </w:r>
            <w:r>
              <w:rPr>
                <w:rFonts w:ascii="Arial" w:hAnsi="Arial" w:cs="Arial"/>
                <w:szCs w:val="21"/>
              </w:rPr>
              <w:t>岗位操作规程需要通过“实际操作”的考核方式进行培训效果的确认。</w:t>
            </w:r>
          </w:p>
        </w:tc>
        <w:tc>
          <w:tcPr>
            <w:tcW w:w="834" w:type="pct"/>
            <w:vMerge w:val="restart"/>
            <w:vAlign w:val="center"/>
          </w:tcPr>
          <w:p w14:paraId="79475C83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ascii="Arial" w:hAnsi="Arial" w:cs="Arial"/>
                <w:color w:val="222222"/>
                <w:kern w:val="0"/>
                <w:szCs w:val="21"/>
              </w:rPr>
              <w:t>各部门</w:t>
            </w:r>
          </w:p>
        </w:tc>
        <w:tc>
          <w:tcPr>
            <w:tcW w:w="830" w:type="pct"/>
            <w:vMerge w:val="restart"/>
            <w:vAlign w:val="center"/>
          </w:tcPr>
          <w:p w14:paraId="41B5021B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222222"/>
                <w:kern w:val="0"/>
                <w:szCs w:val="21"/>
              </w:rPr>
              <w:t>持续</w:t>
            </w:r>
          </w:p>
        </w:tc>
      </w:tr>
      <w:tr w14:paraId="0B5B65B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385" w:type="pct"/>
            <w:vMerge w:val="continue"/>
            <w:vAlign w:val="center"/>
          </w:tcPr>
          <w:p w14:paraId="266B65C2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  <w:tc>
          <w:tcPr>
            <w:tcW w:w="2951" w:type="pct"/>
            <w:vAlign w:val="center"/>
          </w:tcPr>
          <w:p w14:paraId="012B7B4D">
            <w:pPr>
              <w:pStyle w:val="12"/>
              <w:spacing w:line="240" w:lineRule="atLeas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kern w:val="0"/>
                <w:szCs w:val="21"/>
              </w:rPr>
              <w:t>2）</w:t>
            </w:r>
            <w:r>
              <w:rPr>
                <w:rFonts w:ascii="Arial" w:hAnsi="Arial" w:cs="Arial"/>
                <w:szCs w:val="21"/>
              </w:rPr>
              <w:t>对岗位资质的持续确认</w:t>
            </w:r>
          </w:p>
        </w:tc>
        <w:tc>
          <w:tcPr>
            <w:tcW w:w="834" w:type="pct"/>
            <w:vMerge w:val="continue"/>
            <w:vAlign w:val="center"/>
          </w:tcPr>
          <w:p w14:paraId="7C25F8CF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  <w:tc>
          <w:tcPr>
            <w:tcW w:w="830" w:type="pct"/>
            <w:vMerge w:val="continue"/>
            <w:vAlign w:val="center"/>
          </w:tcPr>
          <w:p w14:paraId="57C7141C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</w:tr>
      <w:tr w14:paraId="770451E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" w:type="pct"/>
            <w:vAlign w:val="center"/>
          </w:tcPr>
          <w:p w14:paraId="3BA878C9">
            <w:pPr>
              <w:widowControl/>
              <w:spacing w:line="240" w:lineRule="atLeast"/>
              <w:ind w:firstLine="210" w:firstLineChars="100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222222"/>
                <w:kern w:val="0"/>
                <w:szCs w:val="21"/>
              </w:rPr>
              <w:t>3</w:t>
            </w:r>
          </w:p>
        </w:tc>
        <w:tc>
          <w:tcPr>
            <w:tcW w:w="2951" w:type="pct"/>
          </w:tcPr>
          <w:p w14:paraId="492E8BB0">
            <w:pPr>
              <w:pStyle w:val="12"/>
              <w:spacing w:line="240" w:lineRule="atLeas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kern w:val="0"/>
                <w:szCs w:val="21"/>
              </w:rPr>
              <w:t>优化责任分工，调查负责人建议由有资历、有经验的人员担任。对于偏差</w:t>
            </w:r>
            <w:r>
              <w:rPr>
                <w:rFonts w:ascii="Arial" w:hAnsi="Arial" w:cs="Arial"/>
                <w:szCs w:val="21"/>
              </w:rPr>
              <w:t>出现时，各部门应优先处理，完成调查</w:t>
            </w:r>
            <w:r>
              <w:rPr>
                <w:rFonts w:hint="eastAsia" w:ascii="Arial" w:hAnsi="Arial" w:cs="Arial"/>
                <w:szCs w:val="21"/>
              </w:rPr>
              <w:t>。</w:t>
            </w:r>
          </w:p>
        </w:tc>
        <w:tc>
          <w:tcPr>
            <w:tcW w:w="834" w:type="pct"/>
            <w:vAlign w:val="center"/>
          </w:tcPr>
          <w:p w14:paraId="19B1C285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ascii="Arial" w:hAnsi="Arial" w:cs="Arial"/>
                <w:color w:val="222222"/>
                <w:kern w:val="0"/>
                <w:szCs w:val="21"/>
              </w:rPr>
              <w:t>各部门</w:t>
            </w:r>
          </w:p>
        </w:tc>
        <w:tc>
          <w:tcPr>
            <w:tcW w:w="830" w:type="pct"/>
            <w:vAlign w:val="center"/>
          </w:tcPr>
          <w:p w14:paraId="53802B27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222222"/>
                <w:kern w:val="0"/>
                <w:szCs w:val="21"/>
              </w:rPr>
              <w:t>2</w:t>
            </w:r>
            <w:r>
              <w:rPr>
                <w:rFonts w:ascii="Arial" w:hAnsi="Arial" w:cs="Arial"/>
                <w:color w:val="222222"/>
                <w:kern w:val="0"/>
                <w:szCs w:val="21"/>
              </w:rPr>
              <w:t>026.06</w:t>
            </w:r>
          </w:p>
        </w:tc>
      </w:tr>
      <w:tr w14:paraId="22DE990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" w:type="pct"/>
            <w:vMerge w:val="restart"/>
            <w:vAlign w:val="center"/>
          </w:tcPr>
          <w:p w14:paraId="7BC709D8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222222"/>
                <w:kern w:val="0"/>
                <w:szCs w:val="21"/>
              </w:rPr>
              <w:t>4</w:t>
            </w:r>
          </w:p>
        </w:tc>
        <w:tc>
          <w:tcPr>
            <w:tcW w:w="2951" w:type="pct"/>
          </w:tcPr>
          <w:p w14:paraId="1DD19849">
            <w:pPr>
              <w:widowControl/>
              <w:spacing w:line="240" w:lineRule="atLeast"/>
              <w:jc w:val="lef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/>
                <w:szCs w:val="21"/>
              </w:rPr>
              <w:t>1）</w:t>
            </w:r>
            <w:r>
              <w:rPr>
                <w:rFonts w:ascii="Arial" w:hAnsi="Arial" w:cs="Arial"/>
                <w:kern w:val="0"/>
                <w:szCs w:val="21"/>
              </w:rPr>
              <w:t>制定培训计划，培训要求覆盖OOS/OOT/OOE管理要求、识别异常、调查流程、根本原因分析方法（如5Why、鱼骨图）、记录规范、风险评估工具等内容。</w:t>
            </w:r>
            <w:r>
              <w:rPr>
                <w:rFonts w:ascii="Arial" w:hAnsi="Arial" w:cs="Arial"/>
                <w:szCs w:val="21"/>
              </w:rPr>
              <w:t>开展季度偏差/OOS等的典型案例分析会</w:t>
            </w:r>
            <w:r>
              <w:rPr>
                <w:rFonts w:ascii="Arial" w:hAnsi="Arial" w:cs="Arial"/>
                <w:kern w:val="0"/>
                <w:szCs w:val="21"/>
              </w:rPr>
              <w:t>，提升人员对调查要点的理解与应用能力。</w:t>
            </w:r>
          </w:p>
        </w:tc>
        <w:tc>
          <w:tcPr>
            <w:tcW w:w="834" w:type="pct"/>
            <w:vAlign w:val="center"/>
          </w:tcPr>
          <w:p w14:paraId="0CCBE2E4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ascii="Arial" w:hAnsi="Arial" w:cs="Arial"/>
                <w:color w:val="222222"/>
                <w:kern w:val="0"/>
                <w:szCs w:val="21"/>
              </w:rPr>
              <w:t>质量保证部</w:t>
            </w:r>
          </w:p>
        </w:tc>
        <w:tc>
          <w:tcPr>
            <w:tcW w:w="830" w:type="pct"/>
            <w:vAlign w:val="center"/>
          </w:tcPr>
          <w:p w14:paraId="04CC0B6A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222222"/>
                <w:kern w:val="0"/>
                <w:szCs w:val="21"/>
              </w:rPr>
              <w:t>2</w:t>
            </w:r>
            <w:r>
              <w:rPr>
                <w:rFonts w:ascii="Arial" w:hAnsi="Arial" w:cs="Arial"/>
                <w:color w:val="222222"/>
                <w:kern w:val="0"/>
                <w:szCs w:val="21"/>
              </w:rPr>
              <w:t>026.06</w:t>
            </w:r>
          </w:p>
        </w:tc>
      </w:tr>
      <w:tr w14:paraId="01E838F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" w:type="pct"/>
            <w:vMerge w:val="continue"/>
            <w:vAlign w:val="center"/>
          </w:tcPr>
          <w:p w14:paraId="62266692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  <w:tc>
          <w:tcPr>
            <w:tcW w:w="2951" w:type="pct"/>
          </w:tcPr>
          <w:p w14:paraId="7639D803">
            <w:pPr>
              <w:widowControl/>
              <w:spacing w:line="240" w:lineRule="atLeast"/>
              <w:jc w:val="lef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/>
                <w:kern w:val="0"/>
                <w:szCs w:val="21"/>
              </w:rPr>
              <w:t>2）</w:t>
            </w:r>
            <w:r>
              <w:rPr>
                <w:rFonts w:ascii="Arial" w:hAnsi="Arial" w:cs="Arial"/>
                <w:szCs w:val="21"/>
              </w:rPr>
              <w:t>开展季度偏差/OOS等的典型案例分析会</w:t>
            </w:r>
            <w:r>
              <w:rPr>
                <w:rFonts w:ascii="Arial" w:hAnsi="Arial" w:cs="Arial"/>
                <w:kern w:val="0"/>
                <w:szCs w:val="21"/>
              </w:rPr>
              <w:t>，提升人员对调查要点的理解与应用能力。</w:t>
            </w:r>
          </w:p>
        </w:tc>
        <w:tc>
          <w:tcPr>
            <w:tcW w:w="834" w:type="pct"/>
            <w:vAlign w:val="center"/>
          </w:tcPr>
          <w:p w14:paraId="2420D74A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ascii="Arial" w:hAnsi="Arial" w:cs="Arial"/>
                <w:color w:val="222222"/>
                <w:kern w:val="0"/>
                <w:szCs w:val="21"/>
              </w:rPr>
              <w:t>质量保证部</w:t>
            </w:r>
          </w:p>
        </w:tc>
        <w:tc>
          <w:tcPr>
            <w:tcW w:w="830" w:type="pct"/>
            <w:vAlign w:val="center"/>
          </w:tcPr>
          <w:p w14:paraId="1AEFF073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222222"/>
                <w:kern w:val="0"/>
                <w:szCs w:val="21"/>
              </w:rPr>
              <w:t>每季度</w:t>
            </w:r>
          </w:p>
        </w:tc>
      </w:tr>
    </w:tbl>
    <w:p w14:paraId="2759D156">
      <w:pPr>
        <w:pStyle w:val="2"/>
        <w:keepLines w:val="0"/>
        <w:adjustRightInd w:val="0"/>
        <w:snapToGrid w:val="0"/>
        <w:spacing w:before="156" w:beforeLines="50" w:after="0" w:line="400" w:lineRule="exact"/>
        <w:rPr>
          <w:rFonts w:ascii="Arial" w:hAnsi="Arial" w:eastAsia="黑体" w:cs="Arial"/>
          <w:b w:val="0"/>
          <w:bCs w:val="0"/>
          <w:color w:val="000000"/>
          <w:kern w:val="2"/>
          <w:sz w:val="28"/>
          <w:szCs w:val="28"/>
        </w:rPr>
      </w:pPr>
      <w:r>
        <w:rPr>
          <w:rFonts w:ascii="Arial" w:hAnsi="Arial" w:eastAsia="黑体" w:cs="Arial"/>
          <w:b w:val="0"/>
          <w:bCs w:val="0"/>
          <w:color w:val="000000"/>
          <w:kern w:val="2"/>
          <w:sz w:val="28"/>
          <w:szCs w:val="28"/>
        </w:rPr>
        <w:t xml:space="preserve">4  </w:t>
      </w:r>
      <w:r>
        <w:rPr>
          <w:rFonts w:hint="eastAsia" w:ascii="Arial" w:hAnsi="Arial" w:eastAsia="黑体" w:cs="Arial"/>
          <w:b w:val="0"/>
          <w:bCs w:val="0"/>
          <w:color w:val="000000"/>
          <w:kern w:val="2"/>
          <w:sz w:val="28"/>
          <w:szCs w:val="28"/>
        </w:rPr>
        <w:t>总结</w:t>
      </w:r>
    </w:p>
    <w:p w14:paraId="6192385F">
      <w:pPr>
        <w:widowControl/>
        <w:spacing w:line="400" w:lineRule="exact"/>
        <w:jc w:val="left"/>
        <w:rPr>
          <w:rFonts w:ascii="宋体" w:hAnsi="宋体" w:cs="宋体"/>
          <w:kern w:val="0"/>
          <w:sz w:val="24"/>
        </w:rPr>
      </w:pPr>
      <w:r>
        <w:rPr>
          <w:rFonts w:hint="eastAsia"/>
        </w:rPr>
        <w:t xml:space="preserve"> </w:t>
      </w:r>
      <w:r>
        <w:t xml:space="preserve">  </w:t>
      </w:r>
      <w:r>
        <w:rPr>
          <w:rFonts w:ascii="Arial" w:hAnsi="Arial" w:cs="Arial"/>
          <w:sz w:val="24"/>
        </w:rPr>
        <w:t>2025</w:t>
      </w:r>
      <w:r>
        <w:rPr>
          <w:rFonts w:hint="eastAsia"/>
          <w:sz w:val="24"/>
        </w:rPr>
        <w:t>年公司检验异常总量比2</w:t>
      </w:r>
      <w:r>
        <w:rPr>
          <w:sz w:val="24"/>
        </w:rPr>
        <w:t>024</w:t>
      </w:r>
      <w:r>
        <w:rPr>
          <w:rFonts w:hint="eastAsia"/>
          <w:sz w:val="24"/>
        </w:rPr>
        <w:t>年有上升，主要源于</w:t>
      </w:r>
      <w:r>
        <w:rPr>
          <w:rFonts w:hint="eastAsia" w:ascii="Arial" w:hAnsi="Arial" w:cs="Arial"/>
          <w:sz w:val="24"/>
          <w:shd w:val="clear" w:color="auto" w:fill="FFFFFF"/>
        </w:rPr>
        <w:t>生产批次增加</w:t>
      </w:r>
      <w:r>
        <w:rPr>
          <w:rFonts w:hint="eastAsia"/>
          <w:sz w:val="24"/>
        </w:rPr>
        <w:t>，物料/成品的检测频次也随之增加，发生的检验异常概率增大。检验异常管理体系运行有效，存在一些不足，如无效O</w:t>
      </w:r>
      <w:r>
        <w:rPr>
          <w:sz w:val="24"/>
        </w:rPr>
        <w:t>OS</w:t>
      </w:r>
      <w:r>
        <w:rPr>
          <w:rFonts w:hint="eastAsia"/>
          <w:sz w:val="24"/>
        </w:rPr>
        <w:t>较多、人员培训不足、设备维护不完善、文件记录不完善、流程关闭不及时问题；此外，还存在一些短板，根本原因分析深度不足</w:t>
      </w:r>
      <w:r>
        <w:rPr>
          <w:rFonts w:ascii="宋体" w:hAnsi="宋体" w:cs="宋体"/>
          <w:kern w:val="0"/>
          <w:sz w:val="24"/>
        </w:rPr>
        <w:t>。下一年度，我们将以问题为导向，以提升质量为核心，扎实推进各项改进措施，持续优化检验流程，强化质量管控，不断降低检验异常发生率，为企业的持续健康发展提供有力保障。</w:t>
      </w:r>
      <w:r>
        <w:rPr>
          <w:rFonts w:hint="eastAsia" w:ascii="Arial" w:hAnsi="Arial" w:cs="Arial"/>
          <w:sz w:val="24"/>
        </w:rPr>
        <w:t>/</w:t>
      </w:r>
      <w:r>
        <w:rPr>
          <w:rFonts w:ascii="Arial" w:hAnsi="Arial" w:cs="Arial"/>
          <w:sz w:val="24"/>
        </w:rPr>
        <w:t>/</w:t>
      </w:r>
    </w:p>
    <w:p w14:paraId="32BD1F7D">
      <w:pPr>
        <w:widowControl/>
        <w:spacing w:line="400" w:lineRule="exact"/>
        <w:jc w:val="left"/>
        <w:rPr>
          <w:rFonts w:ascii="Arial" w:hAnsi="Arial" w:cs="Arial"/>
          <w:sz w:val="24"/>
        </w:rPr>
      </w:pPr>
      <w:r>
        <w:rPr>
          <w:rFonts w:hint="eastAsia" w:ascii="Arial" w:hAnsi="Arial" w:cs="Arial"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1478915</wp:posOffset>
                </wp:positionH>
                <wp:positionV relativeFrom="paragraph">
                  <wp:posOffset>206375</wp:posOffset>
                </wp:positionV>
                <wp:extent cx="2488565" cy="8255"/>
                <wp:effectExtent l="19050" t="19050" r="26035" b="3048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88758" cy="7951"/>
                        </a:xfrm>
                        <a:prstGeom prst="line">
                          <a:avLst/>
                        </a:prstGeom>
                        <a:ln w="317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16.45pt;margin-top:16.25pt;height:0.65pt;width:195.95pt;z-index:251659264;mso-width-relative:page;mso-height-relative:page;" filled="f" stroked="t" coordsize="21600,21600" o:gfxdata="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VWRqwdkAAAAJAQAADwAAAAAAAAABACAAAAAiAAAAZHJzL2Rvd25y&#10;ZXYueG1sUEsBAhQAFAAAAAgAh07iQHwVx0j9AQAA4QMAAA4AAAAAAAAAAQAgAAAAKAEAAGRycy9l&#10;Mm9Eb2MueG1sUEsFBgAAAAAGAAYAWQEAAJcFAAAAAA==&#10;">
                <v:fill on="f" focussize="0,0"/>
                <v:stroke weight="2.5pt"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2126B26C">
      <w:pPr>
        <w:rPr>
          <w:rFonts w:ascii="Arial" w:hAnsi="Arial" w:cs="Arial"/>
          <w:sz w:val="24"/>
        </w:rPr>
      </w:pPr>
    </w:p>
    <w:sectPr>
      <w:footerReference r:id="rId5" w:type="default"/>
      <w:pgSz w:w="11906" w:h="16838"/>
      <w:pgMar w:top="1701" w:right="1134" w:bottom="851" w:left="1418" w:header="1871" w:footer="850" w:gutter="0"/>
      <w:pgNumType w:start="1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020C1">
    <w:pPr>
      <w:pStyle w:val="18"/>
      <w:jc w:val="center"/>
    </w:pPr>
    <w:r>
      <w:rPr>
        <w:rFonts w:hint="eastAsia" w:ascii="宋体" w:hAnsi="宋体"/>
      </w:rPr>
      <w:t>控制文件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E6C94F">
    <w:pPr>
      <w:pStyle w:val="18"/>
      <w:pBdr>
        <w:top w:val="single" w:color="auto" w:sz="4" w:space="1"/>
      </w:pBdr>
      <w:wordWrap w:val="0"/>
      <w:spacing w:line="300" w:lineRule="exact"/>
      <w:jc w:val="right"/>
    </w:pPr>
    <w:r>
      <w:rPr>
        <w:rFonts w:hint="eastAsia" w:ascii="宋体" w:hAnsi="宋体"/>
      </w:rPr>
      <w:t xml:space="preserve">控制文件                                   </w:t>
    </w:r>
    <w:r>
      <w:rPr>
        <w:rFonts w:ascii="Arial" w:hAnsi="Arial" w:cs="Arial"/>
        <w:kern w:val="0"/>
        <w:szCs w:val="21"/>
      </w:rPr>
      <w:t xml:space="preserve">第 </w:t>
    </w:r>
    <w:r>
      <w:rPr>
        <w:rFonts w:ascii="Arial" w:hAnsi="Arial" w:cs="Arial"/>
        <w:kern w:val="0"/>
        <w:szCs w:val="21"/>
      </w:rPr>
      <w:fldChar w:fldCharType="begin"/>
    </w:r>
    <w:r>
      <w:rPr>
        <w:rFonts w:ascii="Arial" w:hAnsi="Arial" w:cs="Arial"/>
        <w:kern w:val="0"/>
        <w:szCs w:val="21"/>
      </w:rPr>
      <w:instrText xml:space="preserve"> PAGE </w:instrText>
    </w:r>
    <w:r>
      <w:rPr>
        <w:rFonts w:ascii="Arial" w:hAnsi="Arial" w:cs="Arial"/>
        <w:kern w:val="0"/>
        <w:szCs w:val="21"/>
      </w:rPr>
      <w:fldChar w:fldCharType="separate"/>
    </w:r>
    <w:r>
      <w:rPr>
        <w:rFonts w:ascii="Arial" w:hAnsi="Arial" w:cs="Arial"/>
        <w:kern w:val="0"/>
        <w:szCs w:val="21"/>
      </w:rPr>
      <w:t>9</w:t>
    </w:r>
    <w:r>
      <w:rPr>
        <w:rFonts w:ascii="Arial" w:hAnsi="Arial" w:cs="Arial"/>
        <w:kern w:val="0"/>
        <w:szCs w:val="21"/>
      </w:rPr>
      <w:fldChar w:fldCharType="end"/>
    </w:r>
    <w:r>
      <w:rPr>
        <w:rFonts w:ascii="Arial" w:hAnsi="Arial" w:cs="Arial"/>
        <w:kern w:val="0"/>
        <w:szCs w:val="21"/>
      </w:rPr>
      <w:t xml:space="preserve"> 页</w:t>
    </w:r>
    <w:r>
      <w:rPr>
        <w:rFonts w:hint="eastAsia" w:ascii="Arial" w:hAnsi="Arial" w:cs="Arial"/>
        <w:kern w:val="0"/>
        <w:szCs w:val="21"/>
      </w:rPr>
      <w:t xml:space="preserve"> </w:t>
    </w:r>
    <w:r>
      <w:rPr>
        <w:rFonts w:ascii="Arial" w:hAnsi="Arial" w:cs="Arial"/>
        <w:kern w:val="0"/>
        <w:szCs w:val="21"/>
      </w:rPr>
      <w:t xml:space="preserve"> 共 11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W w:w="9351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700"/>
      <w:gridCol w:w="7651"/>
    </w:tblGrid>
    <w:tr w14:paraId="1DB2393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Ex>
      <w:trPr>
        <w:cantSplit/>
        <w:trHeight w:val="510" w:hRule="atLeast"/>
      </w:trPr>
      <w:tc>
        <w:tcPr>
          <w:tcW w:w="909" w:type="pct"/>
          <w:vAlign w:val="center"/>
        </w:tcPr>
        <w:p w14:paraId="4FE54EE1">
          <w:pPr>
            <w:spacing w:line="400" w:lineRule="exact"/>
            <w:jc w:val="center"/>
            <w:rPr>
              <w:rFonts w:ascii="宋体" w:hAnsi="宋体" w:cs="Arial"/>
              <w:sz w:val="18"/>
            </w:rPr>
          </w:pPr>
          <w:bookmarkStart w:id="1" w:name="_Hlk55466297"/>
          <w:r>
            <w:rPr>
              <w:rFonts w:hint="eastAsia" w:ascii="宋体" w:hAnsi="宋体" w:cs="Arial"/>
              <w:sz w:val="18"/>
            </w:rPr>
            <w:t>文件名称</w:t>
          </w:r>
        </w:p>
      </w:tc>
      <w:tc>
        <w:tcPr>
          <w:tcW w:w="4091" w:type="pct"/>
          <w:vAlign w:val="center"/>
        </w:tcPr>
        <w:p w14:paraId="2B0FF18B">
          <w:pPr>
            <w:spacing w:line="400" w:lineRule="exact"/>
            <w:jc w:val="center"/>
            <w:rPr>
              <w:rFonts w:ascii="Arial" w:hAnsi="Arial" w:eastAsia="黑体" w:cs="Arial"/>
              <w:sz w:val="36"/>
              <w:szCs w:val="36"/>
            </w:rPr>
          </w:pPr>
          <w:r>
            <w:rPr>
              <w:rFonts w:ascii="Arial" w:hAnsi="Arial" w:eastAsia="黑体" w:cs="Arial"/>
              <w:sz w:val="36"/>
              <w:szCs w:val="36"/>
            </w:rPr>
            <w:t>2025</w:t>
          </w:r>
          <w:r>
            <w:rPr>
              <w:rFonts w:hint="eastAsia" w:ascii="黑体" w:eastAsia="黑体" w:cs="Arial"/>
              <w:sz w:val="36"/>
              <w:szCs w:val="36"/>
            </w:rPr>
            <w:t>年检验异常年度质量回顾报告</w:t>
          </w:r>
        </w:p>
      </w:tc>
    </w:tr>
    <w:tr w14:paraId="3C8CCE9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510" w:hRule="atLeast"/>
      </w:trPr>
      <w:tc>
        <w:tcPr>
          <w:tcW w:w="909" w:type="pct"/>
          <w:vAlign w:val="center"/>
        </w:tcPr>
        <w:p w14:paraId="594AA789">
          <w:pPr>
            <w:spacing w:line="400" w:lineRule="exact"/>
            <w:jc w:val="center"/>
            <w:rPr>
              <w:rFonts w:ascii="宋体" w:hAnsi="宋体" w:cs="Arial"/>
              <w:sz w:val="18"/>
            </w:rPr>
          </w:pPr>
          <w:r>
            <w:rPr>
              <w:rFonts w:hint="eastAsia" w:ascii="宋体" w:hAnsi="宋体" w:cs="Arial"/>
              <w:sz w:val="18"/>
            </w:rPr>
            <w:t>文件编号</w:t>
          </w:r>
        </w:p>
      </w:tc>
      <w:tc>
        <w:tcPr>
          <w:tcW w:w="4091" w:type="pct"/>
          <w:vAlign w:val="center"/>
        </w:tcPr>
        <w:p w14:paraId="200A0C76">
          <w:pPr>
            <w:spacing w:line="400" w:lineRule="exact"/>
            <w:jc w:val="left"/>
            <w:rPr>
              <w:rFonts w:ascii="Arial" w:hAnsi="Arial" w:cs="Arial"/>
              <w:sz w:val="18"/>
            </w:rPr>
          </w:pPr>
          <w:r>
            <w:rPr>
              <w:rFonts w:hint="eastAsia" w:ascii="Arial" w:hAnsi="Arial" w:cs="Arial"/>
              <w:sz w:val="18"/>
            </w:rPr>
            <w:t>G</w:t>
          </w:r>
          <w:r>
            <w:rPr>
              <w:rFonts w:ascii="Arial" w:hAnsi="Arial" w:cs="Arial"/>
              <w:sz w:val="18"/>
            </w:rPr>
            <w:t>R-Q040041.02</w:t>
          </w:r>
        </w:p>
      </w:tc>
    </w:tr>
    <w:bookmarkEnd w:id="1"/>
  </w:tbl>
  <w:p w14:paraId="6A6CA5D0">
    <w:pPr>
      <w:pStyle w:val="19"/>
      <w:pBdr>
        <w:bottom w:val="none" w:color="auto" w:sz="0" w:space="0"/>
      </w:pBdr>
      <w:spacing w:line="12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F4166F"/>
    <w:multiLevelType w:val="multilevel"/>
    <w:tmpl w:val="08F4166F"/>
    <w:lvl w:ilvl="0" w:tentative="0">
      <w:start w:val="1"/>
      <w:numFmt w:val="decimal"/>
      <w:lvlText w:val="%1)"/>
      <w:lvlJc w:val="left"/>
      <w:pPr>
        <w:ind w:left="315" w:hanging="420"/>
      </w:pPr>
    </w:lvl>
    <w:lvl w:ilvl="1" w:tentative="0">
      <w:start w:val="1"/>
      <w:numFmt w:val="lowerLetter"/>
      <w:lvlText w:val="%2)"/>
      <w:lvlJc w:val="left"/>
      <w:pPr>
        <w:ind w:left="735" w:hanging="420"/>
      </w:pPr>
    </w:lvl>
    <w:lvl w:ilvl="2" w:tentative="0">
      <w:start w:val="1"/>
      <w:numFmt w:val="lowerRoman"/>
      <w:lvlText w:val="%3."/>
      <w:lvlJc w:val="right"/>
      <w:pPr>
        <w:ind w:left="1155" w:hanging="420"/>
      </w:pPr>
    </w:lvl>
    <w:lvl w:ilvl="3" w:tentative="0">
      <w:start w:val="1"/>
      <w:numFmt w:val="decimal"/>
      <w:lvlText w:val="%4."/>
      <w:lvlJc w:val="left"/>
      <w:pPr>
        <w:ind w:left="1575" w:hanging="420"/>
      </w:pPr>
    </w:lvl>
    <w:lvl w:ilvl="4" w:tentative="0">
      <w:start w:val="1"/>
      <w:numFmt w:val="lowerLetter"/>
      <w:lvlText w:val="%5)"/>
      <w:lvlJc w:val="left"/>
      <w:pPr>
        <w:ind w:left="1995" w:hanging="420"/>
      </w:pPr>
    </w:lvl>
    <w:lvl w:ilvl="5" w:tentative="0">
      <w:start w:val="1"/>
      <w:numFmt w:val="lowerRoman"/>
      <w:lvlText w:val="%6."/>
      <w:lvlJc w:val="right"/>
      <w:pPr>
        <w:ind w:left="2415" w:hanging="420"/>
      </w:pPr>
    </w:lvl>
    <w:lvl w:ilvl="6" w:tentative="0">
      <w:start w:val="1"/>
      <w:numFmt w:val="decimal"/>
      <w:lvlText w:val="%7."/>
      <w:lvlJc w:val="left"/>
      <w:pPr>
        <w:ind w:left="2835" w:hanging="420"/>
      </w:pPr>
    </w:lvl>
    <w:lvl w:ilvl="7" w:tentative="0">
      <w:start w:val="1"/>
      <w:numFmt w:val="lowerLetter"/>
      <w:lvlText w:val="%8)"/>
      <w:lvlJc w:val="left"/>
      <w:pPr>
        <w:ind w:left="3255" w:hanging="420"/>
      </w:pPr>
    </w:lvl>
    <w:lvl w:ilvl="8" w:tentative="0">
      <w:start w:val="1"/>
      <w:numFmt w:val="lowerRoman"/>
      <w:lvlText w:val="%9."/>
      <w:lvlJc w:val="right"/>
      <w:pPr>
        <w:ind w:left="3675" w:hanging="420"/>
      </w:pPr>
    </w:lvl>
  </w:abstractNum>
  <w:abstractNum w:abstractNumId="1">
    <w:nsid w:val="2BDF3D73"/>
    <w:multiLevelType w:val="multilevel"/>
    <w:tmpl w:val="2BDF3D73"/>
    <w:lvl w:ilvl="0" w:tentative="0">
      <w:start w:val="1"/>
      <w:numFmt w:val="decimal"/>
      <w:lvlText w:val="%1)"/>
      <w:lvlJc w:val="left"/>
      <w:pPr>
        <w:ind w:left="987" w:hanging="420"/>
      </w:pPr>
    </w:lvl>
    <w:lvl w:ilvl="1" w:tentative="0">
      <w:start w:val="1"/>
      <w:numFmt w:val="lowerLetter"/>
      <w:lvlText w:val="%2)"/>
      <w:lvlJc w:val="left"/>
      <w:pPr>
        <w:ind w:left="1407" w:hanging="420"/>
      </w:pPr>
    </w:lvl>
    <w:lvl w:ilvl="2" w:tentative="0">
      <w:start w:val="1"/>
      <w:numFmt w:val="lowerRoman"/>
      <w:lvlText w:val="%3."/>
      <w:lvlJc w:val="right"/>
      <w:pPr>
        <w:ind w:left="1827" w:hanging="420"/>
      </w:pPr>
    </w:lvl>
    <w:lvl w:ilvl="3" w:tentative="0">
      <w:start w:val="1"/>
      <w:numFmt w:val="decimal"/>
      <w:lvlText w:val="%4."/>
      <w:lvlJc w:val="left"/>
      <w:pPr>
        <w:ind w:left="2247" w:hanging="420"/>
      </w:pPr>
    </w:lvl>
    <w:lvl w:ilvl="4" w:tentative="0">
      <w:start w:val="1"/>
      <w:numFmt w:val="lowerLetter"/>
      <w:lvlText w:val="%5)"/>
      <w:lvlJc w:val="left"/>
      <w:pPr>
        <w:ind w:left="2667" w:hanging="420"/>
      </w:pPr>
    </w:lvl>
    <w:lvl w:ilvl="5" w:tentative="0">
      <w:start w:val="1"/>
      <w:numFmt w:val="lowerRoman"/>
      <w:lvlText w:val="%6."/>
      <w:lvlJc w:val="right"/>
      <w:pPr>
        <w:ind w:left="3087" w:hanging="420"/>
      </w:pPr>
    </w:lvl>
    <w:lvl w:ilvl="6" w:tentative="0">
      <w:start w:val="1"/>
      <w:numFmt w:val="decimal"/>
      <w:lvlText w:val="%7."/>
      <w:lvlJc w:val="left"/>
      <w:pPr>
        <w:ind w:left="3507" w:hanging="420"/>
      </w:pPr>
    </w:lvl>
    <w:lvl w:ilvl="7" w:tentative="0">
      <w:start w:val="1"/>
      <w:numFmt w:val="lowerLetter"/>
      <w:lvlText w:val="%8)"/>
      <w:lvlJc w:val="left"/>
      <w:pPr>
        <w:ind w:left="3927" w:hanging="420"/>
      </w:pPr>
    </w:lvl>
    <w:lvl w:ilvl="8" w:tentative="0">
      <w:start w:val="1"/>
      <w:numFmt w:val="lowerRoman"/>
      <w:lvlText w:val="%9."/>
      <w:lvlJc w:val="right"/>
      <w:pPr>
        <w:ind w:left="4347" w:hanging="420"/>
      </w:pPr>
    </w:lvl>
  </w:abstractNum>
  <w:abstractNum w:abstractNumId="2">
    <w:nsid w:val="31C0494F"/>
    <w:multiLevelType w:val="multilevel"/>
    <w:tmpl w:val="31C0494F"/>
    <w:lvl w:ilvl="0" w:tentative="0">
      <w:start w:val="2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5"/>
      <w:lvlJc w:val="left"/>
      <w:pPr>
        <w:ind w:left="992" w:hanging="567"/>
      </w:pPr>
      <w:rPr>
        <w:rFonts w:hint="eastAsia"/>
      </w:rPr>
    </w:lvl>
    <w:lvl w:ilvl="2" w:tentative="0">
      <w:start w:val="1"/>
      <w:numFmt w:val="none"/>
      <w:lvlText w:val="2.4.1"/>
      <w:lvlJc w:val="left"/>
      <w:pPr>
        <w:ind w:left="567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2FC318E"/>
    <w:multiLevelType w:val="multilevel"/>
    <w:tmpl w:val="32FC318E"/>
    <w:lvl w:ilvl="0" w:tentative="0">
      <w:start w:val="2"/>
      <w:numFmt w:val="decimal"/>
      <w:lvlText w:val="%1.4.2"/>
      <w:lvlJc w:val="left"/>
      <w:pPr>
        <w:ind w:left="510" w:hanging="510"/>
      </w:pPr>
      <w:rPr>
        <w:rFonts w:hint="eastAsia"/>
      </w:rPr>
    </w:lvl>
    <w:lvl w:ilvl="1" w:tentative="0">
      <w:start w:val="1"/>
      <w:numFmt w:val="decimal"/>
      <w:lvlText w:val="%2%1.5"/>
      <w:lvlJc w:val="left"/>
      <w:pPr>
        <w:ind w:left="850" w:hanging="510"/>
      </w:pPr>
      <w:rPr>
        <w:rFonts w:hint="eastAsia"/>
      </w:rPr>
    </w:lvl>
    <w:lvl w:ilvl="2" w:tentative="0">
      <w:start w:val="1"/>
      <w:numFmt w:val="none"/>
      <w:lvlText w:val="2.5.2"/>
      <w:lvlJc w:val="left"/>
      <w:pPr>
        <w:ind w:left="1190" w:hanging="51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530" w:hanging="51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1870" w:hanging="51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2210" w:hanging="51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2550" w:hanging="51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2890" w:hanging="51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3230" w:hanging="510"/>
      </w:pPr>
      <w:rPr>
        <w:rFonts w:hint="eastAsia"/>
      </w:rPr>
    </w:lvl>
  </w:abstractNum>
  <w:abstractNum w:abstractNumId="4">
    <w:nsid w:val="3E743BDB"/>
    <w:multiLevelType w:val="multilevel"/>
    <w:tmpl w:val="3E743BDB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 w:ascii="Arial" w:hAnsi="Arial" w:cs="Arial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6B42131"/>
    <w:multiLevelType w:val="multilevel"/>
    <w:tmpl w:val="46B42131"/>
    <w:lvl w:ilvl="0" w:tentative="0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47AA13E5"/>
    <w:multiLevelType w:val="multilevel"/>
    <w:tmpl w:val="47AA13E5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 w:ascii="Arial" w:hAnsi="Arial" w:cs="Arial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7">
    <w:nsid w:val="75190845"/>
    <w:multiLevelType w:val="multilevel"/>
    <w:tmpl w:val="75190845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2.%2"/>
      <w:lvlJc w:val="left"/>
      <w:pPr>
        <w:ind w:left="1958" w:hanging="539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0EF"/>
    <w:rsid w:val="0000164B"/>
    <w:rsid w:val="000032A1"/>
    <w:rsid w:val="00004CA7"/>
    <w:rsid w:val="00005E06"/>
    <w:rsid w:val="000077DB"/>
    <w:rsid w:val="00013874"/>
    <w:rsid w:val="00014615"/>
    <w:rsid w:val="000147BF"/>
    <w:rsid w:val="0001618C"/>
    <w:rsid w:val="00020B05"/>
    <w:rsid w:val="0003104D"/>
    <w:rsid w:val="00031376"/>
    <w:rsid w:val="000326AD"/>
    <w:rsid w:val="000375B5"/>
    <w:rsid w:val="00041B45"/>
    <w:rsid w:val="00042BD2"/>
    <w:rsid w:val="00042EC3"/>
    <w:rsid w:val="0005121F"/>
    <w:rsid w:val="000518AD"/>
    <w:rsid w:val="00051B22"/>
    <w:rsid w:val="00052549"/>
    <w:rsid w:val="0005454E"/>
    <w:rsid w:val="000549B5"/>
    <w:rsid w:val="00056AC2"/>
    <w:rsid w:val="000575D6"/>
    <w:rsid w:val="000627B9"/>
    <w:rsid w:val="0006376E"/>
    <w:rsid w:val="00063B65"/>
    <w:rsid w:val="00065F3A"/>
    <w:rsid w:val="0007183A"/>
    <w:rsid w:val="00074782"/>
    <w:rsid w:val="00075C81"/>
    <w:rsid w:val="00080A14"/>
    <w:rsid w:val="000836BC"/>
    <w:rsid w:val="000846C4"/>
    <w:rsid w:val="00084912"/>
    <w:rsid w:val="00085F71"/>
    <w:rsid w:val="00086319"/>
    <w:rsid w:val="0008735F"/>
    <w:rsid w:val="00093CFD"/>
    <w:rsid w:val="000941FD"/>
    <w:rsid w:val="00097449"/>
    <w:rsid w:val="000A1B58"/>
    <w:rsid w:val="000A2A9C"/>
    <w:rsid w:val="000A6F2A"/>
    <w:rsid w:val="000B0961"/>
    <w:rsid w:val="000B0A4D"/>
    <w:rsid w:val="000B195A"/>
    <w:rsid w:val="000B2830"/>
    <w:rsid w:val="000B357A"/>
    <w:rsid w:val="000B40B6"/>
    <w:rsid w:val="000B4329"/>
    <w:rsid w:val="000B734B"/>
    <w:rsid w:val="000C28B8"/>
    <w:rsid w:val="000C3A1F"/>
    <w:rsid w:val="000C5190"/>
    <w:rsid w:val="000D0F27"/>
    <w:rsid w:val="000D1801"/>
    <w:rsid w:val="000D3C7D"/>
    <w:rsid w:val="000D5C19"/>
    <w:rsid w:val="000E0E81"/>
    <w:rsid w:val="000F00CA"/>
    <w:rsid w:val="000F084C"/>
    <w:rsid w:val="000F2E4C"/>
    <w:rsid w:val="000F5F02"/>
    <w:rsid w:val="00100E27"/>
    <w:rsid w:val="00101D9E"/>
    <w:rsid w:val="00113409"/>
    <w:rsid w:val="00113CB7"/>
    <w:rsid w:val="00114508"/>
    <w:rsid w:val="001166A3"/>
    <w:rsid w:val="00117B92"/>
    <w:rsid w:val="00117F64"/>
    <w:rsid w:val="0012172F"/>
    <w:rsid w:val="00122320"/>
    <w:rsid w:val="00124ABE"/>
    <w:rsid w:val="00125577"/>
    <w:rsid w:val="00127D15"/>
    <w:rsid w:val="001316DC"/>
    <w:rsid w:val="001317D0"/>
    <w:rsid w:val="00132246"/>
    <w:rsid w:val="00137B30"/>
    <w:rsid w:val="00142089"/>
    <w:rsid w:val="00142097"/>
    <w:rsid w:val="00142221"/>
    <w:rsid w:val="0014474D"/>
    <w:rsid w:val="00145B58"/>
    <w:rsid w:val="00146254"/>
    <w:rsid w:val="00147941"/>
    <w:rsid w:val="00150F6A"/>
    <w:rsid w:val="00152665"/>
    <w:rsid w:val="00155225"/>
    <w:rsid w:val="00163960"/>
    <w:rsid w:val="001649A3"/>
    <w:rsid w:val="00165F74"/>
    <w:rsid w:val="001663F7"/>
    <w:rsid w:val="00167C78"/>
    <w:rsid w:val="0017550E"/>
    <w:rsid w:val="00176BBF"/>
    <w:rsid w:val="0018022E"/>
    <w:rsid w:val="00180270"/>
    <w:rsid w:val="00182A16"/>
    <w:rsid w:val="00182E35"/>
    <w:rsid w:val="00184179"/>
    <w:rsid w:val="0018628B"/>
    <w:rsid w:val="001872B1"/>
    <w:rsid w:val="00191758"/>
    <w:rsid w:val="00195A79"/>
    <w:rsid w:val="001A078A"/>
    <w:rsid w:val="001A25BB"/>
    <w:rsid w:val="001A7C89"/>
    <w:rsid w:val="001B22BB"/>
    <w:rsid w:val="001B4904"/>
    <w:rsid w:val="001B4D15"/>
    <w:rsid w:val="001C08C2"/>
    <w:rsid w:val="001C3CDF"/>
    <w:rsid w:val="001D0053"/>
    <w:rsid w:val="001D0105"/>
    <w:rsid w:val="001D0B00"/>
    <w:rsid w:val="001D17EF"/>
    <w:rsid w:val="001D5C01"/>
    <w:rsid w:val="001E2974"/>
    <w:rsid w:val="001E7513"/>
    <w:rsid w:val="001F029C"/>
    <w:rsid w:val="001F70E3"/>
    <w:rsid w:val="00203D8D"/>
    <w:rsid w:val="00207378"/>
    <w:rsid w:val="00210F2B"/>
    <w:rsid w:val="002122CA"/>
    <w:rsid w:val="0021330A"/>
    <w:rsid w:val="00214CA4"/>
    <w:rsid w:val="00215B70"/>
    <w:rsid w:val="002169B8"/>
    <w:rsid w:val="00220894"/>
    <w:rsid w:val="00225EF9"/>
    <w:rsid w:val="0022682E"/>
    <w:rsid w:val="0022711F"/>
    <w:rsid w:val="00230576"/>
    <w:rsid w:val="00232B40"/>
    <w:rsid w:val="00232EC6"/>
    <w:rsid w:val="00235920"/>
    <w:rsid w:val="00235BA9"/>
    <w:rsid w:val="00240CF4"/>
    <w:rsid w:val="00241AB2"/>
    <w:rsid w:val="00243A3C"/>
    <w:rsid w:val="00247089"/>
    <w:rsid w:val="002527A0"/>
    <w:rsid w:val="00255B9D"/>
    <w:rsid w:val="0026004F"/>
    <w:rsid w:val="00260226"/>
    <w:rsid w:val="00264131"/>
    <w:rsid w:val="0026584D"/>
    <w:rsid w:val="002673A9"/>
    <w:rsid w:val="00267741"/>
    <w:rsid w:val="002714A8"/>
    <w:rsid w:val="00272B69"/>
    <w:rsid w:val="00274829"/>
    <w:rsid w:val="00281E81"/>
    <w:rsid w:val="00296B4F"/>
    <w:rsid w:val="00297117"/>
    <w:rsid w:val="002A2F08"/>
    <w:rsid w:val="002A7A1D"/>
    <w:rsid w:val="002B02C1"/>
    <w:rsid w:val="002B2D94"/>
    <w:rsid w:val="002B5EDF"/>
    <w:rsid w:val="002B7AE7"/>
    <w:rsid w:val="002C0B4B"/>
    <w:rsid w:val="002C26C7"/>
    <w:rsid w:val="002D24BA"/>
    <w:rsid w:val="002D3FAD"/>
    <w:rsid w:val="002D5049"/>
    <w:rsid w:val="002D630A"/>
    <w:rsid w:val="002E00C8"/>
    <w:rsid w:val="002E4C7C"/>
    <w:rsid w:val="002E57C4"/>
    <w:rsid w:val="002E6408"/>
    <w:rsid w:val="002F1201"/>
    <w:rsid w:val="002F17EE"/>
    <w:rsid w:val="002F33C4"/>
    <w:rsid w:val="002F3AF4"/>
    <w:rsid w:val="002F6831"/>
    <w:rsid w:val="003000C4"/>
    <w:rsid w:val="00301553"/>
    <w:rsid w:val="00302275"/>
    <w:rsid w:val="00302816"/>
    <w:rsid w:val="00304917"/>
    <w:rsid w:val="0030626D"/>
    <w:rsid w:val="003118C0"/>
    <w:rsid w:val="00315BCB"/>
    <w:rsid w:val="00315E9F"/>
    <w:rsid w:val="00316C87"/>
    <w:rsid w:val="0032623B"/>
    <w:rsid w:val="00332200"/>
    <w:rsid w:val="003348F1"/>
    <w:rsid w:val="00335C2C"/>
    <w:rsid w:val="00336539"/>
    <w:rsid w:val="00336BD1"/>
    <w:rsid w:val="003420FD"/>
    <w:rsid w:val="003436E8"/>
    <w:rsid w:val="00344474"/>
    <w:rsid w:val="00344D0B"/>
    <w:rsid w:val="00347760"/>
    <w:rsid w:val="00351FAB"/>
    <w:rsid w:val="00353562"/>
    <w:rsid w:val="00355AD2"/>
    <w:rsid w:val="0036046C"/>
    <w:rsid w:val="0036098D"/>
    <w:rsid w:val="00362834"/>
    <w:rsid w:val="00364512"/>
    <w:rsid w:val="003656F9"/>
    <w:rsid w:val="003664FB"/>
    <w:rsid w:val="00366AE0"/>
    <w:rsid w:val="003718F7"/>
    <w:rsid w:val="00373997"/>
    <w:rsid w:val="0037451D"/>
    <w:rsid w:val="003777DF"/>
    <w:rsid w:val="0038020E"/>
    <w:rsid w:val="00380680"/>
    <w:rsid w:val="00380B0E"/>
    <w:rsid w:val="00382370"/>
    <w:rsid w:val="0038304B"/>
    <w:rsid w:val="00383424"/>
    <w:rsid w:val="00385F6D"/>
    <w:rsid w:val="00390126"/>
    <w:rsid w:val="003910FF"/>
    <w:rsid w:val="00391D92"/>
    <w:rsid w:val="003933BD"/>
    <w:rsid w:val="003954F5"/>
    <w:rsid w:val="00396635"/>
    <w:rsid w:val="0039759C"/>
    <w:rsid w:val="003A2D1A"/>
    <w:rsid w:val="003A37A1"/>
    <w:rsid w:val="003A3A1F"/>
    <w:rsid w:val="003A65BF"/>
    <w:rsid w:val="003A79E6"/>
    <w:rsid w:val="003B02A9"/>
    <w:rsid w:val="003B1BE9"/>
    <w:rsid w:val="003B477F"/>
    <w:rsid w:val="003B69A1"/>
    <w:rsid w:val="003C2B93"/>
    <w:rsid w:val="003C3E2E"/>
    <w:rsid w:val="003C457E"/>
    <w:rsid w:val="003C4DC3"/>
    <w:rsid w:val="003C6EB5"/>
    <w:rsid w:val="003D2194"/>
    <w:rsid w:val="003D6248"/>
    <w:rsid w:val="003D6941"/>
    <w:rsid w:val="003E0241"/>
    <w:rsid w:val="003E0A41"/>
    <w:rsid w:val="003E334A"/>
    <w:rsid w:val="003E5839"/>
    <w:rsid w:val="003E6FF1"/>
    <w:rsid w:val="003F0CF0"/>
    <w:rsid w:val="003F247F"/>
    <w:rsid w:val="003F4BAC"/>
    <w:rsid w:val="00401C57"/>
    <w:rsid w:val="00415C70"/>
    <w:rsid w:val="0042030B"/>
    <w:rsid w:val="004267F5"/>
    <w:rsid w:val="00426B7F"/>
    <w:rsid w:val="004305CD"/>
    <w:rsid w:val="004350D3"/>
    <w:rsid w:val="00444240"/>
    <w:rsid w:val="00444477"/>
    <w:rsid w:val="004447C3"/>
    <w:rsid w:val="00453A74"/>
    <w:rsid w:val="00454434"/>
    <w:rsid w:val="00455091"/>
    <w:rsid w:val="00456356"/>
    <w:rsid w:val="00466454"/>
    <w:rsid w:val="00474DDC"/>
    <w:rsid w:val="00476353"/>
    <w:rsid w:val="00480F75"/>
    <w:rsid w:val="00482872"/>
    <w:rsid w:val="00487AD3"/>
    <w:rsid w:val="00492C34"/>
    <w:rsid w:val="0049347F"/>
    <w:rsid w:val="0049404F"/>
    <w:rsid w:val="0049546E"/>
    <w:rsid w:val="004961AE"/>
    <w:rsid w:val="004A5D6B"/>
    <w:rsid w:val="004B0513"/>
    <w:rsid w:val="004B2746"/>
    <w:rsid w:val="004B2DAF"/>
    <w:rsid w:val="004B30F8"/>
    <w:rsid w:val="004B6113"/>
    <w:rsid w:val="004B736B"/>
    <w:rsid w:val="004B738E"/>
    <w:rsid w:val="004C4D9C"/>
    <w:rsid w:val="004C5910"/>
    <w:rsid w:val="004C5B69"/>
    <w:rsid w:val="004D0FA1"/>
    <w:rsid w:val="004D500F"/>
    <w:rsid w:val="004E0151"/>
    <w:rsid w:val="004E0BF6"/>
    <w:rsid w:val="004E3B80"/>
    <w:rsid w:val="004E6703"/>
    <w:rsid w:val="004F1065"/>
    <w:rsid w:val="004F2139"/>
    <w:rsid w:val="004F26E1"/>
    <w:rsid w:val="004F5C44"/>
    <w:rsid w:val="004F6200"/>
    <w:rsid w:val="004F6912"/>
    <w:rsid w:val="00500091"/>
    <w:rsid w:val="005003AE"/>
    <w:rsid w:val="00502944"/>
    <w:rsid w:val="005035B8"/>
    <w:rsid w:val="00503F97"/>
    <w:rsid w:val="005067C9"/>
    <w:rsid w:val="00507DA9"/>
    <w:rsid w:val="0051283A"/>
    <w:rsid w:val="00512EED"/>
    <w:rsid w:val="005133FC"/>
    <w:rsid w:val="005143E8"/>
    <w:rsid w:val="0051726C"/>
    <w:rsid w:val="005200AA"/>
    <w:rsid w:val="00527EE1"/>
    <w:rsid w:val="005326BF"/>
    <w:rsid w:val="00532AD4"/>
    <w:rsid w:val="00533AE2"/>
    <w:rsid w:val="00535EDA"/>
    <w:rsid w:val="00540AE1"/>
    <w:rsid w:val="00542DB0"/>
    <w:rsid w:val="00544B47"/>
    <w:rsid w:val="00544BEC"/>
    <w:rsid w:val="00545EA4"/>
    <w:rsid w:val="0054736B"/>
    <w:rsid w:val="0055079F"/>
    <w:rsid w:val="00552342"/>
    <w:rsid w:val="00554315"/>
    <w:rsid w:val="005543F4"/>
    <w:rsid w:val="005550AB"/>
    <w:rsid w:val="0056013F"/>
    <w:rsid w:val="00562F3A"/>
    <w:rsid w:val="005707C8"/>
    <w:rsid w:val="005732C8"/>
    <w:rsid w:val="00574C4A"/>
    <w:rsid w:val="0057670B"/>
    <w:rsid w:val="00576F6D"/>
    <w:rsid w:val="005820F5"/>
    <w:rsid w:val="00583CAD"/>
    <w:rsid w:val="0058542C"/>
    <w:rsid w:val="005868FA"/>
    <w:rsid w:val="00586E5C"/>
    <w:rsid w:val="0059019E"/>
    <w:rsid w:val="00590F52"/>
    <w:rsid w:val="005919C1"/>
    <w:rsid w:val="0059533E"/>
    <w:rsid w:val="005A196A"/>
    <w:rsid w:val="005A3695"/>
    <w:rsid w:val="005B5E0D"/>
    <w:rsid w:val="005B7CB9"/>
    <w:rsid w:val="005C1BB7"/>
    <w:rsid w:val="005D1433"/>
    <w:rsid w:val="005D3015"/>
    <w:rsid w:val="005D4D87"/>
    <w:rsid w:val="005D66AC"/>
    <w:rsid w:val="005D6EAC"/>
    <w:rsid w:val="005E0390"/>
    <w:rsid w:val="005E1A6C"/>
    <w:rsid w:val="005E35C5"/>
    <w:rsid w:val="005E4250"/>
    <w:rsid w:val="005E54D3"/>
    <w:rsid w:val="005E5ACA"/>
    <w:rsid w:val="005F1D93"/>
    <w:rsid w:val="005F4BE9"/>
    <w:rsid w:val="005F4D1A"/>
    <w:rsid w:val="005F6D47"/>
    <w:rsid w:val="005F792C"/>
    <w:rsid w:val="005F7C20"/>
    <w:rsid w:val="006017DD"/>
    <w:rsid w:val="0060474A"/>
    <w:rsid w:val="00605F02"/>
    <w:rsid w:val="00607461"/>
    <w:rsid w:val="00610575"/>
    <w:rsid w:val="00612E6F"/>
    <w:rsid w:val="0061312E"/>
    <w:rsid w:val="00616D2C"/>
    <w:rsid w:val="00617978"/>
    <w:rsid w:val="0062114C"/>
    <w:rsid w:val="006224CC"/>
    <w:rsid w:val="0062631E"/>
    <w:rsid w:val="006318C2"/>
    <w:rsid w:val="006321E4"/>
    <w:rsid w:val="00632763"/>
    <w:rsid w:val="00632CE2"/>
    <w:rsid w:val="00633193"/>
    <w:rsid w:val="00633ADB"/>
    <w:rsid w:val="00635E46"/>
    <w:rsid w:val="00637131"/>
    <w:rsid w:val="00640B7D"/>
    <w:rsid w:val="00640CF0"/>
    <w:rsid w:val="00646AE6"/>
    <w:rsid w:val="00646E34"/>
    <w:rsid w:val="0064700F"/>
    <w:rsid w:val="00652B10"/>
    <w:rsid w:val="00653FD1"/>
    <w:rsid w:val="006568A8"/>
    <w:rsid w:val="00657E0C"/>
    <w:rsid w:val="00661723"/>
    <w:rsid w:val="006627C1"/>
    <w:rsid w:val="0066472C"/>
    <w:rsid w:val="00674F19"/>
    <w:rsid w:val="00677901"/>
    <w:rsid w:val="0068055E"/>
    <w:rsid w:val="00681462"/>
    <w:rsid w:val="006818B4"/>
    <w:rsid w:val="00681CA6"/>
    <w:rsid w:val="00682AAD"/>
    <w:rsid w:val="00683554"/>
    <w:rsid w:val="006872A9"/>
    <w:rsid w:val="006879D6"/>
    <w:rsid w:val="00690E1D"/>
    <w:rsid w:val="00690E25"/>
    <w:rsid w:val="0069199F"/>
    <w:rsid w:val="00692BF0"/>
    <w:rsid w:val="00694B66"/>
    <w:rsid w:val="006A23B6"/>
    <w:rsid w:val="006A3525"/>
    <w:rsid w:val="006A4ECB"/>
    <w:rsid w:val="006B13AA"/>
    <w:rsid w:val="006B1FA6"/>
    <w:rsid w:val="006B2DB9"/>
    <w:rsid w:val="006B37C8"/>
    <w:rsid w:val="006B3A4A"/>
    <w:rsid w:val="006B5339"/>
    <w:rsid w:val="006B5472"/>
    <w:rsid w:val="006B5829"/>
    <w:rsid w:val="006C0DCA"/>
    <w:rsid w:val="006C119B"/>
    <w:rsid w:val="006C417F"/>
    <w:rsid w:val="006C55AF"/>
    <w:rsid w:val="006C7385"/>
    <w:rsid w:val="006D00B3"/>
    <w:rsid w:val="006D0504"/>
    <w:rsid w:val="006D09C6"/>
    <w:rsid w:val="006D0E9B"/>
    <w:rsid w:val="006D1DEE"/>
    <w:rsid w:val="006D49F6"/>
    <w:rsid w:val="006D568B"/>
    <w:rsid w:val="006D5D76"/>
    <w:rsid w:val="006D7AB4"/>
    <w:rsid w:val="006D7DD3"/>
    <w:rsid w:val="006E0CB5"/>
    <w:rsid w:val="006E2A4B"/>
    <w:rsid w:val="006E2BCD"/>
    <w:rsid w:val="006E2C4A"/>
    <w:rsid w:val="006E6261"/>
    <w:rsid w:val="006F0271"/>
    <w:rsid w:val="006F4DB5"/>
    <w:rsid w:val="00700F12"/>
    <w:rsid w:val="00700FD6"/>
    <w:rsid w:val="00702D65"/>
    <w:rsid w:val="007032CC"/>
    <w:rsid w:val="00703546"/>
    <w:rsid w:val="00703C42"/>
    <w:rsid w:val="007056DF"/>
    <w:rsid w:val="007058EB"/>
    <w:rsid w:val="00707324"/>
    <w:rsid w:val="0071161B"/>
    <w:rsid w:val="00711ECB"/>
    <w:rsid w:val="00712EB5"/>
    <w:rsid w:val="00716CD6"/>
    <w:rsid w:val="00717EB9"/>
    <w:rsid w:val="007206A9"/>
    <w:rsid w:val="00721272"/>
    <w:rsid w:val="0072270D"/>
    <w:rsid w:val="00723071"/>
    <w:rsid w:val="00725CB5"/>
    <w:rsid w:val="007271B8"/>
    <w:rsid w:val="00727AFB"/>
    <w:rsid w:val="00731A9B"/>
    <w:rsid w:val="00731E08"/>
    <w:rsid w:val="0073294A"/>
    <w:rsid w:val="0073603E"/>
    <w:rsid w:val="007362E1"/>
    <w:rsid w:val="0074767B"/>
    <w:rsid w:val="00754100"/>
    <w:rsid w:val="00754C1D"/>
    <w:rsid w:val="00757C75"/>
    <w:rsid w:val="007611A8"/>
    <w:rsid w:val="00761BD1"/>
    <w:rsid w:val="007626ED"/>
    <w:rsid w:val="00766029"/>
    <w:rsid w:val="007679B8"/>
    <w:rsid w:val="00773698"/>
    <w:rsid w:val="007746E3"/>
    <w:rsid w:val="00775192"/>
    <w:rsid w:val="007813F7"/>
    <w:rsid w:val="00781EE7"/>
    <w:rsid w:val="00781F32"/>
    <w:rsid w:val="007820C6"/>
    <w:rsid w:val="00784CD9"/>
    <w:rsid w:val="007866E9"/>
    <w:rsid w:val="00787417"/>
    <w:rsid w:val="007900F2"/>
    <w:rsid w:val="00790584"/>
    <w:rsid w:val="00791F0E"/>
    <w:rsid w:val="00795F21"/>
    <w:rsid w:val="007972AF"/>
    <w:rsid w:val="007A65ED"/>
    <w:rsid w:val="007A69A9"/>
    <w:rsid w:val="007B6C0A"/>
    <w:rsid w:val="007C288F"/>
    <w:rsid w:val="007C32E2"/>
    <w:rsid w:val="007C3317"/>
    <w:rsid w:val="007C45AF"/>
    <w:rsid w:val="007C7C66"/>
    <w:rsid w:val="007D3BF4"/>
    <w:rsid w:val="007D61EC"/>
    <w:rsid w:val="007D655A"/>
    <w:rsid w:val="007D77EB"/>
    <w:rsid w:val="007E5B02"/>
    <w:rsid w:val="007E66A0"/>
    <w:rsid w:val="007E7D11"/>
    <w:rsid w:val="007F09B8"/>
    <w:rsid w:val="007F7CC8"/>
    <w:rsid w:val="00800534"/>
    <w:rsid w:val="00812B61"/>
    <w:rsid w:val="00822A00"/>
    <w:rsid w:val="008251E7"/>
    <w:rsid w:val="008279F0"/>
    <w:rsid w:val="00827B92"/>
    <w:rsid w:val="00833231"/>
    <w:rsid w:val="00835B14"/>
    <w:rsid w:val="008377F3"/>
    <w:rsid w:val="00840C08"/>
    <w:rsid w:val="00841588"/>
    <w:rsid w:val="00843934"/>
    <w:rsid w:val="0084466C"/>
    <w:rsid w:val="00845026"/>
    <w:rsid w:val="00845BA6"/>
    <w:rsid w:val="00851481"/>
    <w:rsid w:val="00851B0C"/>
    <w:rsid w:val="00852F3F"/>
    <w:rsid w:val="00854B39"/>
    <w:rsid w:val="00860E3B"/>
    <w:rsid w:val="008628C9"/>
    <w:rsid w:val="0087277F"/>
    <w:rsid w:val="0087346E"/>
    <w:rsid w:val="00873C81"/>
    <w:rsid w:val="00874398"/>
    <w:rsid w:val="00877F21"/>
    <w:rsid w:val="008817A7"/>
    <w:rsid w:val="008820A1"/>
    <w:rsid w:val="008827F4"/>
    <w:rsid w:val="00883F50"/>
    <w:rsid w:val="00884727"/>
    <w:rsid w:val="00886344"/>
    <w:rsid w:val="00887F50"/>
    <w:rsid w:val="00891215"/>
    <w:rsid w:val="00891BEB"/>
    <w:rsid w:val="008A0658"/>
    <w:rsid w:val="008A382D"/>
    <w:rsid w:val="008A7089"/>
    <w:rsid w:val="008B1211"/>
    <w:rsid w:val="008B15BE"/>
    <w:rsid w:val="008B320B"/>
    <w:rsid w:val="008B3E29"/>
    <w:rsid w:val="008B7F7A"/>
    <w:rsid w:val="008C0043"/>
    <w:rsid w:val="008C305E"/>
    <w:rsid w:val="008C6A2F"/>
    <w:rsid w:val="008D2A44"/>
    <w:rsid w:val="008D45DE"/>
    <w:rsid w:val="008D5CCD"/>
    <w:rsid w:val="008D6ED3"/>
    <w:rsid w:val="008E0D57"/>
    <w:rsid w:val="008E111B"/>
    <w:rsid w:val="008E17C8"/>
    <w:rsid w:val="008E1B3D"/>
    <w:rsid w:val="008E1DE0"/>
    <w:rsid w:val="008E3A35"/>
    <w:rsid w:val="008E412C"/>
    <w:rsid w:val="008E4B0D"/>
    <w:rsid w:val="008E57EA"/>
    <w:rsid w:val="008F21CA"/>
    <w:rsid w:val="008F2741"/>
    <w:rsid w:val="008F4D5B"/>
    <w:rsid w:val="008F4FE4"/>
    <w:rsid w:val="008F5583"/>
    <w:rsid w:val="008F7C33"/>
    <w:rsid w:val="00900EF2"/>
    <w:rsid w:val="00901C88"/>
    <w:rsid w:val="00902692"/>
    <w:rsid w:val="00902DD2"/>
    <w:rsid w:val="00906A09"/>
    <w:rsid w:val="00906F37"/>
    <w:rsid w:val="00907978"/>
    <w:rsid w:val="0091172C"/>
    <w:rsid w:val="00912B74"/>
    <w:rsid w:val="00914727"/>
    <w:rsid w:val="00914E9D"/>
    <w:rsid w:val="0091773B"/>
    <w:rsid w:val="00922447"/>
    <w:rsid w:val="0092423A"/>
    <w:rsid w:val="009274C8"/>
    <w:rsid w:val="00927838"/>
    <w:rsid w:val="00930FF0"/>
    <w:rsid w:val="0093136C"/>
    <w:rsid w:val="00934462"/>
    <w:rsid w:val="009345BE"/>
    <w:rsid w:val="009420D8"/>
    <w:rsid w:val="00943496"/>
    <w:rsid w:val="00950C10"/>
    <w:rsid w:val="0095126F"/>
    <w:rsid w:val="009551D3"/>
    <w:rsid w:val="00957D93"/>
    <w:rsid w:val="00963F8C"/>
    <w:rsid w:val="00964269"/>
    <w:rsid w:val="00966B87"/>
    <w:rsid w:val="0096766A"/>
    <w:rsid w:val="0097145C"/>
    <w:rsid w:val="0097327E"/>
    <w:rsid w:val="00980A7A"/>
    <w:rsid w:val="00986076"/>
    <w:rsid w:val="009864F4"/>
    <w:rsid w:val="00987723"/>
    <w:rsid w:val="00993D64"/>
    <w:rsid w:val="00994F40"/>
    <w:rsid w:val="009953FD"/>
    <w:rsid w:val="00996CF1"/>
    <w:rsid w:val="009A234B"/>
    <w:rsid w:val="009A33DA"/>
    <w:rsid w:val="009A6A69"/>
    <w:rsid w:val="009B0830"/>
    <w:rsid w:val="009B23A3"/>
    <w:rsid w:val="009C2D34"/>
    <w:rsid w:val="009C3A3C"/>
    <w:rsid w:val="009D486C"/>
    <w:rsid w:val="009D5E5C"/>
    <w:rsid w:val="009D735F"/>
    <w:rsid w:val="009E0F92"/>
    <w:rsid w:val="009E13CE"/>
    <w:rsid w:val="009E1CFD"/>
    <w:rsid w:val="009E1EFD"/>
    <w:rsid w:val="009E22E6"/>
    <w:rsid w:val="009E4863"/>
    <w:rsid w:val="009F19B0"/>
    <w:rsid w:val="009F2051"/>
    <w:rsid w:val="009F2AC5"/>
    <w:rsid w:val="009F2E2F"/>
    <w:rsid w:val="009F339B"/>
    <w:rsid w:val="009F481C"/>
    <w:rsid w:val="009F7A57"/>
    <w:rsid w:val="00A00ECE"/>
    <w:rsid w:val="00A07590"/>
    <w:rsid w:val="00A11331"/>
    <w:rsid w:val="00A16D42"/>
    <w:rsid w:val="00A2095C"/>
    <w:rsid w:val="00A2347F"/>
    <w:rsid w:val="00A26C66"/>
    <w:rsid w:val="00A36110"/>
    <w:rsid w:val="00A3785A"/>
    <w:rsid w:val="00A402EC"/>
    <w:rsid w:val="00A40A13"/>
    <w:rsid w:val="00A41868"/>
    <w:rsid w:val="00A41B38"/>
    <w:rsid w:val="00A51F5F"/>
    <w:rsid w:val="00A528F6"/>
    <w:rsid w:val="00A53B90"/>
    <w:rsid w:val="00A54D0A"/>
    <w:rsid w:val="00A56789"/>
    <w:rsid w:val="00A610E5"/>
    <w:rsid w:val="00A61A23"/>
    <w:rsid w:val="00A62CE6"/>
    <w:rsid w:val="00A63E72"/>
    <w:rsid w:val="00A74FC1"/>
    <w:rsid w:val="00A76988"/>
    <w:rsid w:val="00A801F1"/>
    <w:rsid w:val="00A819DA"/>
    <w:rsid w:val="00A84FBE"/>
    <w:rsid w:val="00A878EE"/>
    <w:rsid w:val="00A9219E"/>
    <w:rsid w:val="00A935E9"/>
    <w:rsid w:val="00A96134"/>
    <w:rsid w:val="00AA0EBF"/>
    <w:rsid w:val="00AA28B3"/>
    <w:rsid w:val="00AA38DB"/>
    <w:rsid w:val="00AA54C2"/>
    <w:rsid w:val="00AB1C23"/>
    <w:rsid w:val="00AB312F"/>
    <w:rsid w:val="00AB3CD4"/>
    <w:rsid w:val="00AB3D35"/>
    <w:rsid w:val="00AB40DE"/>
    <w:rsid w:val="00AB4388"/>
    <w:rsid w:val="00AB57B6"/>
    <w:rsid w:val="00AB61DE"/>
    <w:rsid w:val="00AC2EAF"/>
    <w:rsid w:val="00AC6340"/>
    <w:rsid w:val="00AC76E4"/>
    <w:rsid w:val="00AD17A8"/>
    <w:rsid w:val="00AD2100"/>
    <w:rsid w:val="00AD54BA"/>
    <w:rsid w:val="00AD6839"/>
    <w:rsid w:val="00AE0208"/>
    <w:rsid w:val="00AE032D"/>
    <w:rsid w:val="00AE279A"/>
    <w:rsid w:val="00AE2CC6"/>
    <w:rsid w:val="00AE31F8"/>
    <w:rsid w:val="00AE65FD"/>
    <w:rsid w:val="00AE75FA"/>
    <w:rsid w:val="00AF2A72"/>
    <w:rsid w:val="00AF31F6"/>
    <w:rsid w:val="00AF426A"/>
    <w:rsid w:val="00AF472A"/>
    <w:rsid w:val="00AF541D"/>
    <w:rsid w:val="00AF72A8"/>
    <w:rsid w:val="00B029CE"/>
    <w:rsid w:val="00B0435D"/>
    <w:rsid w:val="00B1013F"/>
    <w:rsid w:val="00B106E5"/>
    <w:rsid w:val="00B1286D"/>
    <w:rsid w:val="00B14364"/>
    <w:rsid w:val="00B16893"/>
    <w:rsid w:val="00B16912"/>
    <w:rsid w:val="00B17624"/>
    <w:rsid w:val="00B22131"/>
    <w:rsid w:val="00B2238A"/>
    <w:rsid w:val="00B224F0"/>
    <w:rsid w:val="00B24313"/>
    <w:rsid w:val="00B2584A"/>
    <w:rsid w:val="00B26F66"/>
    <w:rsid w:val="00B33065"/>
    <w:rsid w:val="00B33980"/>
    <w:rsid w:val="00B35CFF"/>
    <w:rsid w:val="00B362CC"/>
    <w:rsid w:val="00B37605"/>
    <w:rsid w:val="00B408CD"/>
    <w:rsid w:val="00B440F4"/>
    <w:rsid w:val="00B46A92"/>
    <w:rsid w:val="00B50322"/>
    <w:rsid w:val="00B506D6"/>
    <w:rsid w:val="00B53A2A"/>
    <w:rsid w:val="00B53E05"/>
    <w:rsid w:val="00B54DC7"/>
    <w:rsid w:val="00B62F8B"/>
    <w:rsid w:val="00B649AA"/>
    <w:rsid w:val="00B671E1"/>
    <w:rsid w:val="00B76AAF"/>
    <w:rsid w:val="00B77ED0"/>
    <w:rsid w:val="00B800B9"/>
    <w:rsid w:val="00B80A9B"/>
    <w:rsid w:val="00B8336C"/>
    <w:rsid w:val="00B8368E"/>
    <w:rsid w:val="00B85334"/>
    <w:rsid w:val="00B855FF"/>
    <w:rsid w:val="00B87B43"/>
    <w:rsid w:val="00B91BED"/>
    <w:rsid w:val="00B91D62"/>
    <w:rsid w:val="00B93657"/>
    <w:rsid w:val="00BA0001"/>
    <w:rsid w:val="00BA12C3"/>
    <w:rsid w:val="00BA3CF5"/>
    <w:rsid w:val="00BB2528"/>
    <w:rsid w:val="00BB6363"/>
    <w:rsid w:val="00BB7666"/>
    <w:rsid w:val="00BC67F5"/>
    <w:rsid w:val="00BD05C4"/>
    <w:rsid w:val="00BD0BA8"/>
    <w:rsid w:val="00BD1136"/>
    <w:rsid w:val="00BD1909"/>
    <w:rsid w:val="00BD1A16"/>
    <w:rsid w:val="00BD23A3"/>
    <w:rsid w:val="00BD44FA"/>
    <w:rsid w:val="00BD5D22"/>
    <w:rsid w:val="00BD683B"/>
    <w:rsid w:val="00BE01F9"/>
    <w:rsid w:val="00BE037D"/>
    <w:rsid w:val="00BE308A"/>
    <w:rsid w:val="00BE4F97"/>
    <w:rsid w:val="00BE61AC"/>
    <w:rsid w:val="00BF1353"/>
    <w:rsid w:val="00BF181B"/>
    <w:rsid w:val="00BF3A99"/>
    <w:rsid w:val="00BF5BA2"/>
    <w:rsid w:val="00BF67B0"/>
    <w:rsid w:val="00BF7E0F"/>
    <w:rsid w:val="00C015D2"/>
    <w:rsid w:val="00C01F8C"/>
    <w:rsid w:val="00C04F84"/>
    <w:rsid w:val="00C11580"/>
    <w:rsid w:val="00C12489"/>
    <w:rsid w:val="00C147D3"/>
    <w:rsid w:val="00C23927"/>
    <w:rsid w:val="00C24AC1"/>
    <w:rsid w:val="00C25E03"/>
    <w:rsid w:val="00C262CB"/>
    <w:rsid w:val="00C30032"/>
    <w:rsid w:val="00C33FC6"/>
    <w:rsid w:val="00C4265A"/>
    <w:rsid w:val="00C43B79"/>
    <w:rsid w:val="00C4456E"/>
    <w:rsid w:val="00C44984"/>
    <w:rsid w:val="00C45D5B"/>
    <w:rsid w:val="00C51320"/>
    <w:rsid w:val="00C54B74"/>
    <w:rsid w:val="00C55E2A"/>
    <w:rsid w:val="00C56347"/>
    <w:rsid w:val="00C602D5"/>
    <w:rsid w:val="00C6175E"/>
    <w:rsid w:val="00C61F88"/>
    <w:rsid w:val="00C62F96"/>
    <w:rsid w:val="00C63EB0"/>
    <w:rsid w:val="00C67283"/>
    <w:rsid w:val="00C73644"/>
    <w:rsid w:val="00C73BCE"/>
    <w:rsid w:val="00C7475F"/>
    <w:rsid w:val="00C80653"/>
    <w:rsid w:val="00C80C8F"/>
    <w:rsid w:val="00C831EF"/>
    <w:rsid w:val="00C84EB7"/>
    <w:rsid w:val="00C87247"/>
    <w:rsid w:val="00C90357"/>
    <w:rsid w:val="00C9042C"/>
    <w:rsid w:val="00C92E1C"/>
    <w:rsid w:val="00C93958"/>
    <w:rsid w:val="00C93D69"/>
    <w:rsid w:val="00C95F73"/>
    <w:rsid w:val="00CA0C64"/>
    <w:rsid w:val="00CA2468"/>
    <w:rsid w:val="00CA3F84"/>
    <w:rsid w:val="00CB1589"/>
    <w:rsid w:val="00CB1B4F"/>
    <w:rsid w:val="00CB1D66"/>
    <w:rsid w:val="00CB5378"/>
    <w:rsid w:val="00CB6D32"/>
    <w:rsid w:val="00CB7BB4"/>
    <w:rsid w:val="00CC00C4"/>
    <w:rsid w:val="00CC0429"/>
    <w:rsid w:val="00CC36B4"/>
    <w:rsid w:val="00CC4F5B"/>
    <w:rsid w:val="00CC5DF6"/>
    <w:rsid w:val="00CC60A3"/>
    <w:rsid w:val="00CC6CF6"/>
    <w:rsid w:val="00CD0470"/>
    <w:rsid w:val="00CD1006"/>
    <w:rsid w:val="00CD1158"/>
    <w:rsid w:val="00CD28FB"/>
    <w:rsid w:val="00CD2DCD"/>
    <w:rsid w:val="00CE3A66"/>
    <w:rsid w:val="00CF051E"/>
    <w:rsid w:val="00CF34CA"/>
    <w:rsid w:val="00CF420A"/>
    <w:rsid w:val="00CF5E75"/>
    <w:rsid w:val="00CF68A2"/>
    <w:rsid w:val="00CF7349"/>
    <w:rsid w:val="00CF7B4E"/>
    <w:rsid w:val="00CF7C66"/>
    <w:rsid w:val="00D014E7"/>
    <w:rsid w:val="00D01C64"/>
    <w:rsid w:val="00D02724"/>
    <w:rsid w:val="00D02BFC"/>
    <w:rsid w:val="00D03947"/>
    <w:rsid w:val="00D054C6"/>
    <w:rsid w:val="00D118EB"/>
    <w:rsid w:val="00D11F18"/>
    <w:rsid w:val="00D12EC1"/>
    <w:rsid w:val="00D13EA7"/>
    <w:rsid w:val="00D167B0"/>
    <w:rsid w:val="00D17079"/>
    <w:rsid w:val="00D26C00"/>
    <w:rsid w:val="00D32FB7"/>
    <w:rsid w:val="00D37F48"/>
    <w:rsid w:val="00D40099"/>
    <w:rsid w:val="00D41968"/>
    <w:rsid w:val="00D42BB4"/>
    <w:rsid w:val="00D43E64"/>
    <w:rsid w:val="00D44A3A"/>
    <w:rsid w:val="00D44AA9"/>
    <w:rsid w:val="00D5015F"/>
    <w:rsid w:val="00D5260F"/>
    <w:rsid w:val="00D55BE5"/>
    <w:rsid w:val="00D5734F"/>
    <w:rsid w:val="00D575AE"/>
    <w:rsid w:val="00D60AF5"/>
    <w:rsid w:val="00D61188"/>
    <w:rsid w:val="00D66701"/>
    <w:rsid w:val="00D70AAD"/>
    <w:rsid w:val="00D7470C"/>
    <w:rsid w:val="00D76211"/>
    <w:rsid w:val="00D77A0B"/>
    <w:rsid w:val="00D805D7"/>
    <w:rsid w:val="00D80B83"/>
    <w:rsid w:val="00D81C81"/>
    <w:rsid w:val="00D8218D"/>
    <w:rsid w:val="00D82516"/>
    <w:rsid w:val="00D82913"/>
    <w:rsid w:val="00D85570"/>
    <w:rsid w:val="00D86214"/>
    <w:rsid w:val="00D90727"/>
    <w:rsid w:val="00D93CC6"/>
    <w:rsid w:val="00D9461F"/>
    <w:rsid w:val="00D96D66"/>
    <w:rsid w:val="00DA2A64"/>
    <w:rsid w:val="00DA4478"/>
    <w:rsid w:val="00DA72FE"/>
    <w:rsid w:val="00DB0401"/>
    <w:rsid w:val="00DB0B70"/>
    <w:rsid w:val="00DB19DE"/>
    <w:rsid w:val="00DB1D95"/>
    <w:rsid w:val="00DC1222"/>
    <w:rsid w:val="00DC57BD"/>
    <w:rsid w:val="00DC615A"/>
    <w:rsid w:val="00DC65B6"/>
    <w:rsid w:val="00DC767A"/>
    <w:rsid w:val="00DD4A64"/>
    <w:rsid w:val="00DD6FBD"/>
    <w:rsid w:val="00DD707E"/>
    <w:rsid w:val="00DD72FF"/>
    <w:rsid w:val="00DD7627"/>
    <w:rsid w:val="00DE302B"/>
    <w:rsid w:val="00DE43BF"/>
    <w:rsid w:val="00DF4EEC"/>
    <w:rsid w:val="00DF554B"/>
    <w:rsid w:val="00DF60EF"/>
    <w:rsid w:val="00E052C4"/>
    <w:rsid w:val="00E07A39"/>
    <w:rsid w:val="00E10303"/>
    <w:rsid w:val="00E12F7F"/>
    <w:rsid w:val="00E206DB"/>
    <w:rsid w:val="00E22A99"/>
    <w:rsid w:val="00E23544"/>
    <w:rsid w:val="00E23EA1"/>
    <w:rsid w:val="00E26759"/>
    <w:rsid w:val="00E27AD3"/>
    <w:rsid w:val="00E32E49"/>
    <w:rsid w:val="00E34D65"/>
    <w:rsid w:val="00E3665D"/>
    <w:rsid w:val="00E37251"/>
    <w:rsid w:val="00E42C1D"/>
    <w:rsid w:val="00E43BD5"/>
    <w:rsid w:val="00E466EC"/>
    <w:rsid w:val="00E4739A"/>
    <w:rsid w:val="00E509A3"/>
    <w:rsid w:val="00E51DC6"/>
    <w:rsid w:val="00E531C7"/>
    <w:rsid w:val="00E571DD"/>
    <w:rsid w:val="00E60D5E"/>
    <w:rsid w:val="00E66104"/>
    <w:rsid w:val="00E66760"/>
    <w:rsid w:val="00E7172B"/>
    <w:rsid w:val="00E75406"/>
    <w:rsid w:val="00E76DB1"/>
    <w:rsid w:val="00E86613"/>
    <w:rsid w:val="00E8728B"/>
    <w:rsid w:val="00E94012"/>
    <w:rsid w:val="00E94275"/>
    <w:rsid w:val="00E967F2"/>
    <w:rsid w:val="00E96B19"/>
    <w:rsid w:val="00E97364"/>
    <w:rsid w:val="00E97D39"/>
    <w:rsid w:val="00EA0BEF"/>
    <w:rsid w:val="00EA257C"/>
    <w:rsid w:val="00EA28D3"/>
    <w:rsid w:val="00EA2D0F"/>
    <w:rsid w:val="00EA44E0"/>
    <w:rsid w:val="00EA4A66"/>
    <w:rsid w:val="00EA53F2"/>
    <w:rsid w:val="00EA797A"/>
    <w:rsid w:val="00EB077A"/>
    <w:rsid w:val="00EB3424"/>
    <w:rsid w:val="00EB4960"/>
    <w:rsid w:val="00EB5583"/>
    <w:rsid w:val="00EB76DD"/>
    <w:rsid w:val="00EC37EF"/>
    <w:rsid w:val="00EC489F"/>
    <w:rsid w:val="00EC529E"/>
    <w:rsid w:val="00EC55A3"/>
    <w:rsid w:val="00EC5CAB"/>
    <w:rsid w:val="00EC69DA"/>
    <w:rsid w:val="00EC789D"/>
    <w:rsid w:val="00EC7DC4"/>
    <w:rsid w:val="00ED430D"/>
    <w:rsid w:val="00ED7CCD"/>
    <w:rsid w:val="00EE02CB"/>
    <w:rsid w:val="00EE1950"/>
    <w:rsid w:val="00EE1E13"/>
    <w:rsid w:val="00EE2AF5"/>
    <w:rsid w:val="00EE3F52"/>
    <w:rsid w:val="00EE55BD"/>
    <w:rsid w:val="00EE7F54"/>
    <w:rsid w:val="00EF2BCA"/>
    <w:rsid w:val="00EF4F98"/>
    <w:rsid w:val="00EF56EA"/>
    <w:rsid w:val="00F01EC6"/>
    <w:rsid w:val="00F04584"/>
    <w:rsid w:val="00F07926"/>
    <w:rsid w:val="00F11B50"/>
    <w:rsid w:val="00F153FB"/>
    <w:rsid w:val="00F16EB9"/>
    <w:rsid w:val="00F20331"/>
    <w:rsid w:val="00F20D9B"/>
    <w:rsid w:val="00F21E41"/>
    <w:rsid w:val="00F241F8"/>
    <w:rsid w:val="00F25706"/>
    <w:rsid w:val="00F314E0"/>
    <w:rsid w:val="00F31FEC"/>
    <w:rsid w:val="00F32262"/>
    <w:rsid w:val="00F3250E"/>
    <w:rsid w:val="00F32B78"/>
    <w:rsid w:val="00F35941"/>
    <w:rsid w:val="00F37B8D"/>
    <w:rsid w:val="00F43DF7"/>
    <w:rsid w:val="00F4544B"/>
    <w:rsid w:val="00F45A04"/>
    <w:rsid w:val="00F47006"/>
    <w:rsid w:val="00F4792D"/>
    <w:rsid w:val="00F47AB2"/>
    <w:rsid w:val="00F47F96"/>
    <w:rsid w:val="00F50B0C"/>
    <w:rsid w:val="00F5371F"/>
    <w:rsid w:val="00F61E89"/>
    <w:rsid w:val="00F6584B"/>
    <w:rsid w:val="00F677D0"/>
    <w:rsid w:val="00F7039D"/>
    <w:rsid w:val="00F709AC"/>
    <w:rsid w:val="00F727B9"/>
    <w:rsid w:val="00F773A0"/>
    <w:rsid w:val="00F82920"/>
    <w:rsid w:val="00F837CF"/>
    <w:rsid w:val="00F84269"/>
    <w:rsid w:val="00F84A57"/>
    <w:rsid w:val="00F8690F"/>
    <w:rsid w:val="00F9401F"/>
    <w:rsid w:val="00F958E8"/>
    <w:rsid w:val="00F9697E"/>
    <w:rsid w:val="00F975C9"/>
    <w:rsid w:val="00F97F09"/>
    <w:rsid w:val="00FA1ED9"/>
    <w:rsid w:val="00FA4950"/>
    <w:rsid w:val="00FA77CA"/>
    <w:rsid w:val="00FB25E6"/>
    <w:rsid w:val="00FB2E1D"/>
    <w:rsid w:val="00FB4441"/>
    <w:rsid w:val="00FB590B"/>
    <w:rsid w:val="00FC1C01"/>
    <w:rsid w:val="00FC2AE9"/>
    <w:rsid w:val="00FC51D3"/>
    <w:rsid w:val="00FC5B11"/>
    <w:rsid w:val="00FC6066"/>
    <w:rsid w:val="00FC6FEF"/>
    <w:rsid w:val="00FD1176"/>
    <w:rsid w:val="00FD1382"/>
    <w:rsid w:val="00FD3436"/>
    <w:rsid w:val="00FD3AEA"/>
    <w:rsid w:val="00FD568B"/>
    <w:rsid w:val="00FE1DAC"/>
    <w:rsid w:val="00FE6425"/>
    <w:rsid w:val="00FE7C2F"/>
    <w:rsid w:val="00FF1F16"/>
    <w:rsid w:val="00FF3A83"/>
    <w:rsid w:val="00FF3ADE"/>
    <w:rsid w:val="00FF7AFC"/>
    <w:rsid w:val="1C2833AF"/>
    <w:rsid w:val="495E7107"/>
    <w:rsid w:val="5918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nhideWhenUsed="0" w:uiPriority="0" w:semiHidden="0" w:name="List 2"/>
    <w:lsdException w:qFormat="1" w:unhideWhenUsed="0" w:uiPriority="0" w:semiHidden="0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9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40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41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2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43"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44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45"/>
    <w:qFormat/>
    <w:uiPriority w:val="0"/>
    <w:pPr>
      <w:keepNext/>
      <w:keepLines/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26">
    <w:name w:val="Default Paragraph Font"/>
    <w:semiHidden/>
    <w:unhideWhenUsed/>
    <w:uiPriority w:val="1"/>
  </w:style>
  <w:style w:type="table" w:default="1" w:styleId="2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qFormat/>
    <w:uiPriority w:val="0"/>
    <w:pPr>
      <w:ind w:left="100" w:leftChars="400" w:hanging="200" w:hangingChars="200"/>
    </w:pPr>
  </w:style>
  <w:style w:type="paragraph" w:styleId="12">
    <w:name w:val="annotation text"/>
    <w:basedOn w:val="1"/>
    <w:link w:val="34"/>
    <w:qFormat/>
    <w:uiPriority w:val="0"/>
    <w:pPr>
      <w:jc w:val="left"/>
    </w:pPr>
  </w:style>
  <w:style w:type="paragraph" w:styleId="13">
    <w:name w:val="Body Text"/>
    <w:basedOn w:val="1"/>
    <w:link w:val="47"/>
    <w:qFormat/>
    <w:uiPriority w:val="0"/>
    <w:pPr>
      <w:spacing w:after="120"/>
    </w:pPr>
  </w:style>
  <w:style w:type="paragraph" w:styleId="14">
    <w:name w:val="List 2"/>
    <w:basedOn w:val="1"/>
    <w:uiPriority w:val="0"/>
    <w:pPr>
      <w:ind w:left="100" w:leftChars="200" w:hanging="200" w:hangingChars="200"/>
    </w:pPr>
  </w:style>
  <w:style w:type="paragraph" w:styleId="15">
    <w:name w:val="Plain Text"/>
    <w:basedOn w:val="1"/>
    <w:link w:val="36"/>
    <w:uiPriority w:val="0"/>
    <w:rPr>
      <w:rFonts w:ascii="宋体" w:hAnsi="Courier New"/>
      <w:szCs w:val="20"/>
    </w:rPr>
  </w:style>
  <w:style w:type="paragraph" w:styleId="16">
    <w:name w:val="Date"/>
    <w:basedOn w:val="1"/>
    <w:next w:val="1"/>
    <w:link w:val="46"/>
    <w:qFormat/>
    <w:uiPriority w:val="0"/>
    <w:pPr>
      <w:ind w:left="100" w:leftChars="2500"/>
    </w:pPr>
    <w:rPr>
      <w:b/>
      <w:bCs/>
      <w:sz w:val="24"/>
    </w:rPr>
  </w:style>
  <w:style w:type="paragraph" w:styleId="17">
    <w:name w:val="Balloon Text"/>
    <w:basedOn w:val="1"/>
    <w:link w:val="35"/>
    <w:semiHidden/>
    <w:unhideWhenUsed/>
    <w:qFormat/>
    <w:uiPriority w:val="99"/>
    <w:rPr>
      <w:sz w:val="18"/>
      <w:szCs w:val="18"/>
    </w:rPr>
  </w:style>
  <w:style w:type="paragraph" w:styleId="18">
    <w:name w:val="footer"/>
    <w:basedOn w:val="1"/>
    <w:link w:val="32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9">
    <w:name w:val="header"/>
    <w:basedOn w:val="1"/>
    <w:link w:val="31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20">
    <w:name w:val="toc 1"/>
    <w:basedOn w:val="1"/>
    <w:next w:val="1"/>
    <w:autoRedefine/>
    <w:semiHidden/>
    <w:uiPriority w:val="0"/>
  </w:style>
  <w:style w:type="paragraph" w:styleId="21">
    <w:name w:val="List"/>
    <w:basedOn w:val="1"/>
    <w:qFormat/>
    <w:uiPriority w:val="0"/>
    <w:pPr>
      <w:ind w:left="200" w:hanging="200" w:hangingChars="200"/>
    </w:pPr>
  </w:style>
  <w:style w:type="paragraph" w:styleId="2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3">
    <w:name w:val="annotation subject"/>
    <w:basedOn w:val="12"/>
    <w:next w:val="12"/>
    <w:link w:val="52"/>
    <w:semiHidden/>
    <w:unhideWhenUsed/>
    <w:qFormat/>
    <w:uiPriority w:val="99"/>
    <w:rPr>
      <w:b/>
      <w:bCs/>
    </w:rPr>
  </w:style>
  <w:style w:type="table" w:styleId="25">
    <w:name w:val="Table Grid"/>
    <w:basedOn w:val="24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27">
    <w:name w:val="Strong"/>
    <w:basedOn w:val="26"/>
    <w:qFormat/>
    <w:uiPriority w:val="22"/>
    <w:rPr>
      <w:b/>
      <w:bCs/>
    </w:rPr>
  </w:style>
  <w:style w:type="character" w:styleId="28">
    <w:name w:val="page number"/>
    <w:basedOn w:val="26"/>
    <w:qFormat/>
    <w:uiPriority w:val="0"/>
  </w:style>
  <w:style w:type="character" w:styleId="29">
    <w:name w:val="Hyperlink"/>
    <w:basedOn w:val="26"/>
    <w:uiPriority w:val="0"/>
    <w:rPr>
      <w:color w:val="0000FF"/>
      <w:u w:val="single"/>
    </w:rPr>
  </w:style>
  <w:style w:type="character" w:styleId="30">
    <w:name w:val="annotation reference"/>
    <w:basedOn w:val="26"/>
    <w:qFormat/>
    <w:uiPriority w:val="0"/>
    <w:rPr>
      <w:sz w:val="21"/>
      <w:szCs w:val="21"/>
    </w:rPr>
  </w:style>
  <w:style w:type="character" w:customStyle="1" w:styleId="31">
    <w:name w:val="页眉 字符"/>
    <w:basedOn w:val="26"/>
    <w:link w:val="19"/>
    <w:semiHidden/>
    <w:uiPriority w:val="99"/>
    <w:rPr>
      <w:sz w:val="18"/>
      <w:szCs w:val="18"/>
    </w:rPr>
  </w:style>
  <w:style w:type="character" w:customStyle="1" w:styleId="32">
    <w:name w:val="页脚 字符"/>
    <w:basedOn w:val="26"/>
    <w:link w:val="18"/>
    <w:uiPriority w:val="0"/>
    <w:rPr>
      <w:sz w:val="18"/>
      <w:szCs w:val="18"/>
    </w:rPr>
  </w:style>
  <w:style w:type="paragraph" w:styleId="33">
    <w:name w:val="List Paragraph"/>
    <w:basedOn w:val="1"/>
    <w:qFormat/>
    <w:uiPriority w:val="34"/>
    <w:pPr>
      <w:ind w:firstLine="420" w:firstLineChars="200"/>
    </w:pPr>
  </w:style>
  <w:style w:type="character" w:customStyle="1" w:styleId="34">
    <w:name w:val="批注文字 字符"/>
    <w:basedOn w:val="26"/>
    <w:link w:val="12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35">
    <w:name w:val="批注框文本 字符"/>
    <w:basedOn w:val="26"/>
    <w:link w:val="17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6">
    <w:name w:val="纯文本 字符"/>
    <w:basedOn w:val="26"/>
    <w:link w:val="15"/>
    <w:uiPriority w:val="0"/>
    <w:rPr>
      <w:rFonts w:ascii="宋体" w:hAnsi="Courier New" w:eastAsia="宋体" w:cs="Times New Roman"/>
      <w:szCs w:val="20"/>
    </w:rPr>
  </w:style>
  <w:style w:type="character" w:customStyle="1" w:styleId="37">
    <w:name w:val="标题 1 字符"/>
    <w:basedOn w:val="26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38">
    <w:name w:val="标题 2 字符"/>
    <w:basedOn w:val="26"/>
    <w:link w:val="3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39">
    <w:name w:val="标题 3 字符"/>
    <w:basedOn w:val="26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40">
    <w:name w:val="标题 4 字符"/>
    <w:basedOn w:val="26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41">
    <w:name w:val="标题 5 字符"/>
    <w:basedOn w:val="26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42">
    <w:name w:val="标题 6 字符"/>
    <w:basedOn w:val="26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43">
    <w:name w:val="标题 7 字符"/>
    <w:basedOn w:val="26"/>
    <w:link w:val="8"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44">
    <w:name w:val="标题 8 字符"/>
    <w:basedOn w:val="26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45">
    <w:name w:val="标题 9 字符"/>
    <w:basedOn w:val="26"/>
    <w:link w:val="10"/>
    <w:uiPriority w:val="0"/>
    <w:rPr>
      <w:rFonts w:ascii="Arial" w:hAnsi="Arial" w:eastAsia="黑体" w:cs="Times New Roman"/>
      <w:szCs w:val="21"/>
    </w:rPr>
  </w:style>
  <w:style w:type="character" w:customStyle="1" w:styleId="46">
    <w:name w:val="日期 字符"/>
    <w:basedOn w:val="26"/>
    <w:link w:val="16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47">
    <w:name w:val="正文文本 字符"/>
    <w:basedOn w:val="26"/>
    <w:link w:val="13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48">
    <w:name w:val="wbtr_snp1"/>
    <w:basedOn w:val="26"/>
    <w:uiPriority w:val="0"/>
    <w:rPr>
      <w:rFonts w:hint="default" w:ascii="Arial" w:hAnsi="Arial" w:cs="Arial"/>
      <w:color w:val="676767"/>
      <w:sz w:val="22"/>
      <w:szCs w:val="22"/>
    </w:rPr>
  </w:style>
  <w:style w:type="character" w:customStyle="1" w:styleId="49">
    <w:name w:val="mn"/>
    <w:basedOn w:val="26"/>
    <w:uiPriority w:val="0"/>
    <w:rPr>
      <w:rFonts w:hint="default" w:ascii="Arial" w:hAnsi="Arial" w:cs="Arial"/>
    </w:rPr>
  </w:style>
  <w:style w:type="paragraph" w:customStyle="1" w:styleId="50">
    <w:name w:val="样式1"/>
    <w:basedOn w:val="20"/>
    <w:uiPriority w:val="0"/>
    <w:pPr>
      <w:outlineLvl w:val="0"/>
    </w:pPr>
    <w:rPr>
      <w:b/>
      <w:bCs/>
      <w:kern w:val="0"/>
      <w:sz w:val="28"/>
      <w:szCs w:val="28"/>
    </w:rPr>
  </w:style>
  <w:style w:type="paragraph" w:customStyle="1" w:styleId="51">
    <w:name w:val="默认段落字体 Para Char Char Char1 Char"/>
    <w:basedOn w:val="1"/>
    <w:uiPriority w:val="0"/>
    <w:rPr>
      <w:szCs w:val="21"/>
    </w:rPr>
  </w:style>
  <w:style w:type="character" w:customStyle="1" w:styleId="52">
    <w:name w:val="批注主题 字符"/>
    <w:basedOn w:val="34"/>
    <w:link w:val="23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paragraph" w:styleId="53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3.xml"/><Relationship Id="rId8" Type="http://schemas.openxmlformats.org/officeDocument/2006/relationships/chart" Target="charts/chart2.xml"/><Relationship Id="rId7" Type="http://schemas.openxmlformats.org/officeDocument/2006/relationships/chart" Target="charts/chart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chart" Target="charts/chart5.xml"/><Relationship Id="rId10" Type="http://schemas.openxmlformats.org/officeDocument/2006/relationships/chart" Target="charts/chart4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D:\backup\zengxiaoqin\&#26700;&#38754;\&#20559;&#24046;&#12289;&#26816;&#39564;&#24322;&#24120;&#22788;&#29702;&#26102;&#38480;&#32479;&#35745;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oleObject" Target="file:///D:\backup\zengxiaoqin\&#26700;&#38754;\&#20559;&#24046;&#12289;&#26816;&#39564;&#24322;&#24120;&#22788;&#29702;&#26102;&#38480;&#32479;&#35745;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file:///D:\backup\zengxiaoqin\&#26700;&#38754;\&#20559;&#24046;&#12289;&#26816;&#39564;&#24322;&#24120;&#22788;&#29702;&#26102;&#38480;&#32479;&#35745;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ColorStyle" Target="colors5.xml"/><Relationship Id="rId2" Type="http://schemas.microsoft.com/office/2011/relationships/chartStyle" Target="style5.xml"/><Relationship Id="rId1" Type="http://schemas.openxmlformats.org/officeDocument/2006/relationships/oleObject" Target="file:///D:\backup\zengxiaoqin\&#26700;&#38754;\&#20559;&#24046;&#12289;&#26816;&#39564;&#24322;&#24120;&#22788;&#29702;&#26102;&#38480;&#32479;&#35745;.xlsx" TargetMode="External"/></Relationships>
</file>

<file path=word/charts/_rels/chart5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D:\backup\zengxiaoqin\&#26700;&#38754;\&#20559;&#24046;&#12289;&#26816;&#39564;&#24322;&#24120;&#22788;&#29702;&#26102;&#38480;&#32479;&#35745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800" b="0" i="0" baseline="0">
                <a:effectLst/>
              </a:rPr>
              <a:t>2024-2025</a:t>
            </a:r>
            <a:r>
              <a:rPr lang="zh-CN" altLang="zh-CN" sz="1800" b="0" i="0" baseline="0">
                <a:effectLst/>
              </a:rPr>
              <a:t>年检验异常数量对比</a:t>
            </a:r>
            <a:endParaRPr lang="en-US" altLang="zh-CN" sz="1800" b="0" i="0" baseline="0">
              <a:effectLst/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检验异常!$J$3</c:f>
              <c:strCache>
                <c:ptCount val="1"/>
                <c:pt idx="0">
                  <c:v>2025年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检验异常!$I$4:$I$6</c:f>
              <c:strCache>
                <c:ptCount val="3"/>
                <c:pt idx="0">
                  <c:v>OOS</c:v>
                </c:pt>
                <c:pt idx="1">
                  <c:v>OOT</c:v>
                </c:pt>
                <c:pt idx="2">
                  <c:v>OOE</c:v>
                </c:pt>
              </c:strCache>
            </c:strRef>
          </c:cat>
          <c:val>
            <c:numRef>
              <c:f>检验异常!$J$4:$J$6</c:f>
              <c:numCache>
                <c:formatCode>General</c:formatCode>
                <c:ptCount val="3"/>
                <c:pt idx="0">
                  <c:v>27</c:v>
                </c:pt>
                <c:pt idx="1">
                  <c:v>11</c:v>
                </c:pt>
                <c:pt idx="2">
                  <c:v>9</c:v>
                </c:pt>
              </c:numCache>
            </c:numRef>
          </c:val>
        </c:ser>
        <c:ser>
          <c:idx val="1"/>
          <c:order val="1"/>
          <c:tx>
            <c:strRef>
              <c:f>检验异常!$K$3</c:f>
              <c:strCache>
                <c:ptCount val="1"/>
                <c:pt idx="0">
                  <c:v>2024年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检验异常!$I$4:$I$6</c:f>
              <c:strCache>
                <c:ptCount val="3"/>
                <c:pt idx="0">
                  <c:v>OOS</c:v>
                </c:pt>
                <c:pt idx="1">
                  <c:v>OOT</c:v>
                </c:pt>
                <c:pt idx="2">
                  <c:v>OOE</c:v>
                </c:pt>
              </c:strCache>
            </c:strRef>
          </c:cat>
          <c:val>
            <c:numRef>
              <c:f>检验异常!$K$4:$K$6</c:f>
              <c:numCache>
                <c:formatCode>General</c:formatCode>
                <c:ptCount val="3"/>
                <c:pt idx="0">
                  <c:v>26</c:v>
                </c:pt>
                <c:pt idx="1">
                  <c:v>6</c:v>
                </c:pt>
                <c:pt idx="2">
                  <c:v>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11487375"/>
        <c:axId val="811483631"/>
      </c:barChart>
      <c:catAx>
        <c:axId val="8114873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11483631"/>
        <c:crosses val="autoZero"/>
        <c:auto val="1"/>
        <c:lblAlgn val="ctr"/>
        <c:lblOffset val="100"/>
        <c:noMultiLvlLbl val="0"/>
      </c:catAx>
      <c:valAx>
        <c:axId val="8114836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114873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2bf76460-fa50-4189-bf87-d2d85261f006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根本原因类型占比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'2025年度回顾'!$AF$3</c:f>
              <c:strCache>
                <c:ptCount val="1"/>
                <c:pt idx="0">
                  <c:v>数量</c:v>
                </c:pt>
              </c:strCache>
            </c:strRef>
          </c:tx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'2025年度回顾'!$AE$4:$AE$8</c:f>
              <c:strCache>
                <c:ptCount val="5"/>
                <c:pt idx="0">
                  <c:v>实验室原因，OOS/OOT无效</c:v>
                </c:pt>
                <c:pt idx="1">
                  <c:v>生产偏差，OOS/OOT有效</c:v>
                </c:pt>
                <c:pt idx="2">
                  <c:v>其他：物料吸潮</c:v>
                </c:pt>
                <c:pt idx="3">
                  <c:v>供应商产品质量问题 </c:v>
                </c:pt>
                <c:pt idx="4">
                  <c:v>实验室和生产均未发现可归属原因</c:v>
                </c:pt>
              </c:strCache>
            </c:strRef>
          </c:cat>
          <c:val>
            <c:numRef>
              <c:f>'2025年度回顾'!$AF$4:$AF$8</c:f>
              <c:numCache>
                <c:formatCode>General</c:formatCode>
                <c:ptCount val="5"/>
                <c:pt idx="0">
                  <c:v>24</c:v>
                </c:pt>
                <c:pt idx="1">
                  <c:v>10</c:v>
                </c:pt>
                <c:pt idx="2">
                  <c:v>2</c:v>
                </c:pt>
                <c:pt idx="3">
                  <c:v>4</c:v>
                </c:pt>
                <c:pt idx="4">
                  <c:v>7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408a63df-4dac-42e0-b5bf-bf2954b7bc67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检验异常原因分类占比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'2025年度回顾'!$AI$4</c:f>
              <c:strCache>
                <c:ptCount val="1"/>
                <c:pt idx="0">
                  <c:v>数量</c:v>
                </c:pt>
              </c:strCache>
            </c:strRef>
          </c:tx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'2025年度回顾'!$AJ$3:$AP$3</c:f>
              <c:strCache>
                <c:ptCount val="7"/>
                <c:pt idx="0">
                  <c:v>人</c:v>
                </c:pt>
                <c:pt idx="1">
                  <c:v>机</c:v>
                </c:pt>
                <c:pt idx="2">
                  <c:v>料</c:v>
                </c:pt>
                <c:pt idx="3">
                  <c:v>法</c:v>
                </c:pt>
                <c:pt idx="4">
                  <c:v>环</c:v>
                </c:pt>
                <c:pt idx="5">
                  <c:v>测</c:v>
                </c:pt>
                <c:pt idx="6">
                  <c:v>其他</c:v>
                </c:pt>
              </c:strCache>
            </c:strRef>
          </c:cat>
          <c:val>
            <c:numRef>
              <c:f>'2025年度回顾'!$AJ$4:$AP$4</c:f>
              <c:numCache>
                <c:formatCode>General</c:formatCode>
                <c:ptCount val="7"/>
                <c:pt idx="0">
                  <c:v>15</c:v>
                </c:pt>
                <c:pt idx="1">
                  <c:v>5</c:v>
                </c:pt>
                <c:pt idx="2">
                  <c:v>4</c:v>
                </c:pt>
                <c:pt idx="3">
                  <c:v>14</c:v>
                </c:pt>
                <c:pt idx="4">
                  <c:v>1</c:v>
                </c:pt>
                <c:pt idx="5">
                  <c:v>1</c:v>
                </c:pt>
                <c:pt idx="6">
                  <c:v>7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d5bb6130-75dc-46b4-9c1e-24b5db434ae5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样品类型分布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OOS</c:f>
              <c:strCache>
                <c:ptCount val="1"/>
                <c:pt idx="0">
                  <c:v>OOS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'2025年度回顾'!$AT$5:$AT$14</c:f>
              <c:strCache>
                <c:ptCount val="10"/>
                <c:pt idx="0">
                  <c:v>利拉鲁肽</c:v>
                </c:pt>
                <c:pt idx="1">
                  <c:v>德谷胰岛素活化物</c:v>
                </c:pt>
                <c:pt idx="2">
                  <c:v>利拉鲁肽活化物</c:v>
                </c:pt>
                <c:pt idx="3">
                  <c:v>司美格鲁肽</c:v>
                </c:pt>
                <c:pt idx="4">
                  <c:v>重组赖氨酰肽链内切酶</c:v>
                </c:pt>
                <c:pt idx="5">
                  <c:v>稳定性样品</c:v>
                </c:pt>
                <c:pt idx="6">
                  <c:v>物料</c:v>
                </c:pt>
                <c:pt idx="7">
                  <c:v>制药用水</c:v>
                </c:pt>
                <c:pt idx="8">
                  <c:v>清洁验证</c:v>
                </c:pt>
                <c:pt idx="9">
                  <c:v>环境监测</c:v>
                </c:pt>
              </c:strCache>
            </c:strRef>
          </c:cat>
          <c:val>
            <c:numRef>
              <c:f>'2025年度回顾'!$AU$5:$AU$14</c:f>
              <c:numCache>
                <c:formatCode>General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2</c:v>
                </c:pt>
                <c:pt idx="3">
                  <c:v>0</c:v>
                </c:pt>
                <c:pt idx="4">
                  <c:v>1</c:v>
                </c:pt>
                <c:pt idx="5">
                  <c:v>0</c:v>
                </c:pt>
                <c:pt idx="6">
                  <c:v>10</c:v>
                </c:pt>
                <c:pt idx="7">
                  <c:v>3</c:v>
                </c:pt>
                <c:pt idx="8">
                  <c:v>8</c:v>
                </c:pt>
                <c:pt idx="9">
                  <c:v>2</c:v>
                </c:pt>
              </c:numCache>
            </c:numRef>
          </c:val>
        </c:ser>
        <c:ser>
          <c:idx val="1"/>
          <c:order val="1"/>
          <c:tx>
            <c:strRef>
              <c:f>OOT</c:f>
              <c:strCache>
                <c:ptCount val="1"/>
                <c:pt idx="0">
                  <c:v>OOT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'2025年度回顾'!$AT$5:$AT$14</c:f>
              <c:strCache>
                <c:ptCount val="10"/>
                <c:pt idx="0">
                  <c:v>利拉鲁肽</c:v>
                </c:pt>
                <c:pt idx="1">
                  <c:v>德谷胰岛素活化物</c:v>
                </c:pt>
                <c:pt idx="2">
                  <c:v>利拉鲁肽活化物</c:v>
                </c:pt>
                <c:pt idx="3">
                  <c:v>司美格鲁肽</c:v>
                </c:pt>
                <c:pt idx="4">
                  <c:v>重组赖氨酰肽链内切酶</c:v>
                </c:pt>
                <c:pt idx="5">
                  <c:v>稳定性样品</c:v>
                </c:pt>
                <c:pt idx="6">
                  <c:v>物料</c:v>
                </c:pt>
                <c:pt idx="7">
                  <c:v>制药用水</c:v>
                </c:pt>
                <c:pt idx="8">
                  <c:v>清洁验证</c:v>
                </c:pt>
                <c:pt idx="9">
                  <c:v>环境监测</c:v>
                </c:pt>
              </c:strCache>
            </c:strRef>
          </c:cat>
          <c:val>
            <c:numRef>
              <c:f>'2025年度回顾'!$AV$5:$AV$14</c:f>
              <c:numCache>
                <c:formatCode>General</c:formatCode>
                <c:ptCount val="10"/>
                <c:pt idx="0">
                  <c:v>1</c:v>
                </c:pt>
                <c:pt idx="1">
                  <c:v>0</c:v>
                </c:pt>
                <c:pt idx="2">
                  <c:v>0</c:v>
                </c:pt>
                <c:pt idx="3">
                  <c:v>1</c:v>
                </c:pt>
                <c:pt idx="4">
                  <c:v>0</c:v>
                </c:pt>
                <c:pt idx="5">
                  <c:v>2</c:v>
                </c:pt>
                <c:pt idx="6">
                  <c:v>0</c:v>
                </c:pt>
                <c:pt idx="7">
                  <c:v>2</c:v>
                </c:pt>
                <c:pt idx="8">
                  <c:v>0</c:v>
                </c:pt>
                <c:pt idx="9">
                  <c:v>4</c:v>
                </c:pt>
              </c:numCache>
            </c:numRef>
          </c:val>
        </c:ser>
        <c:ser>
          <c:idx val="2"/>
          <c:order val="2"/>
          <c:tx>
            <c:strRef>
              <c:f>OOE</c:f>
              <c:strCache>
                <c:ptCount val="1"/>
                <c:pt idx="0">
                  <c:v>OOE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'2025年度回顾'!$AT$5:$AT$14</c:f>
              <c:strCache>
                <c:ptCount val="10"/>
                <c:pt idx="0">
                  <c:v>利拉鲁肽</c:v>
                </c:pt>
                <c:pt idx="1">
                  <c:v>德谷胰岛素活化物</c:v>
                </c:pt>
                <c:pt idx="2">
                  <c:v>利拉鲁肽活化物</c:v>
                </c:pt>
                <c:pt idx="3">
                  <c:v>司美格鲁肽</c:v>
                </c:pt>
                <c:pt idx="4">
                  <c:v>重组赖氨酰肽链内切酶</c:v>
                </c:pt>
                <c:pt idx="5">
                  <c:v>稳定性样品</c:v>
                </c:pt>
                <c:pt idx="6">
                  <c:v>物料</c:v>
                </c:pt>
                <c:pt idx="7">
                  <c:v>制药用水</c:v>
                </c:pt>
                <c:pt idx="8">
                  <c:v>清洁验证</c:v>
                </c:pt>
                <c:pt idx="9">
                  <c:v>环境监测</c:v>
                </c:pt>
              </c:strCache>
            </c:strRef>
          </c:cat>
          <c:val>
            <c:numRef>
              <c:f>'2025年度回顾'!$AW$5:$AW$14</c:f>
              <c:numCache>
                <c:formatCode>General</c:formatCode>
                <c:ptCount val="10"/>
                <c:pt idx="0">
                  <c:v>3</c:v>
                </c:pt>
                <c:pt idx="1">
                  <c:v>3</c:v>
                </c:pt>
                <c:pt idx="2">
                  <c:v>1</c:v>
                </c:pt>
                <c:pt idx="3">
                  <c:v>2</c:v>
                </c:pt>
                <c:pt idx="4">
                  <c:v>1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42985728"/>
        <c:axId val="1642999872"/>
      </c:barChart>
      <c:catAx>
        <c:axId val="164298572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642999872"/>
        <c:crosses val="autoZero"/>
        <c:auto val="1"/>
        <c:lblAlgn val="ctr"/>
        <c:lblOffset val="100"/>
        <c:noMultiLvlLbl val="0"/>
      </c:catAx>
      <c:valAx>
        <c:axId val="1642999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6429857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4f37b5f8-c198-4807-b22b-80d7cf95eb32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defRPr lang="zh-CN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zh-CN" sz="1800" b="0" i="0" baseline="0">
                <a:effectLst/>
              </a:rPr>
              <a:t>检验项目次数统计表</a:t>
            </a:r>
            <a:endParaRPr lang="zh-CN" altLang="zh-CN" sz="1800" b="0" i="0" baseline="0">
              <a:effectLst/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'2025年度回顾'!$BC$4</c:f>
              <c:strCache>
                <c:ptCount val="1"/>
                <c:pt idx="0">
                  <c:v>数量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'2025年度回顾'!$BB$5:$BB$24</c:f>
              <c:strCache>
                <c:ptCount val="20"/>
                <c:pt idx="0">
                  <c:v>TOC</c:v>
                </c:pt>
                <c:pt idx="1">
                  <c:v>有关物质</c:v>
                </c:pt>
                <c:pt idx="2">
                  <c:v>悬浮粒子</c:v>
                </c:pt>
                <c:pt idx="3">
                  <c:v>含量</c:v>
                </c:pt>
                <c:pt idx="4">
                  <c:v>纯度</c:v>
                </c:pt>
                <c:pt idx="5">
                  <c:v>残留量</c:v>
                </c:pt>
                <c:pt idx="6">
                  <c:v>蛋白含量</c:v>
                </c:pt>
                <c:pt idx="7">
                  <c:v>不挥发物</c:v>
                </c:pt>
                <c:pt idx="8">
                  <c:v>红外鉴别</c:v>
                </c:pt>
                <c:pt idx="9">
                  <c:v>水分</c:v>
                </c:pt>
                <c:pt idx="10">
                  <c:v>20L发酵表达量</c:v>
                </c:pt>
                <c:pt idx="11">
                  <c:v>固含量</c:v>
                </c:pt>
                <c:pt idx="12">
                  <c:v>电导率</c:v>
                </c:pt>
                <c:pt idx="13">
                  <c:v>残留溶剂</c:v>
                </c:pt>
                <c:pt idx="14">
                  <c:v>吸光度</c:v>
                </c:pt>
                <c:pt idx="15">
                  <c:v>苯</c:v>
                </c:pt>
                <c:pt idx="16">
                  <c:v>高分子蛋白</c:v>
                </c:pt>
                <c:pt idx="17">
                  <c:v>活性分子数</c:v>
                </c:pt>
                <c:pt idx="18">
                  <c:v>锌</c:v>
                </c:pt>
                <c:pt idx="19">
                  <c:v>DGHHW-B</c:v>
                </c:pt>
              </c:strCache>
            </c:strRef>
          </c:cat>
          <c:val>
            <c:numRef>
              <c:f>'2025年度回顾'!$BC$5:$BC$24</c:f>
              <c:numCache>
                <c:formatCode>General</c:formatCode>
                <c:ptCount val="20"/>
                <c:pt idx="0">
                  <c:v>7</c:v>
                </c:pt>
                <c:pt idx="1">
                  <c:v>6</c:v>
                </c:pt>
                <c:pt idx="2">
                  <c:v>5</c:v>
                </c:pt>
                <c:pt idx="3">
                  <c:v>3</c:v>
                </c:pt>
                <c:pt idx="4">
                  <c:v>3</c:v>
                </c:pt>
                <c:pt idx="5">
                  <c:v>3</c:v>
                </c:pt>
                <c:pt idx="6">
                  <c:v>2</c:v>
                </c:pt>
                <c:pt idx="7">
                  <c:v>3</c:v>
                </c:pt>
                <c:pt idx="8">
                  <c:v>3</c:v>
                </c:pt>
                <c:pt idx="9">
                  <c:v>2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1</c:v>
                </c:pt>
                <c:pt idx="16">
                  <c:v>1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98188015"/>
        <c:axId val="2098169711"/>
      </c:barChart>
      <c:catAx>
        <c:axId val="209818801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098169711"/>
        <c:crosses val="autoZero"/>
        <c:auto val="1"/>
        <c:lblAlgn val="ctr"/>
        <c:lblOffset val="100"/>
        <c:noMultiLvlLbl val="0"/>
      </c:catAx>
      <c:valAx>
        <c:axId val="20981697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09818801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c9b76611-f69d-4de2-8b36-9bac49742682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25EAE5-AB20-40C5-8C78-C0082869B92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323</Words>
  <Characters>359</Characters>
  <Lines>35</Lines>
  <Paragraphs>9</Paragraphs>
  <TotalTime>23</TotalTime>
  <ScaleCrop>false</ScaleCrop>
  <LinksUpToDate>false</LinksUpToDate>
  <CharactersWithSpaces>395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2023-10-20T03:29:00Z</dcterms:created>
  <dc:creator>bo_liang</dc:creator>
  <cp:lastModifiedBy>YU</cp:lastModifiedBy>
  <cp:lastPrinted>2023-10-23T01:06:00Z</cp:lastPrinted>
  <dcterms:modified xsi:type="dcterms:W3CDTF">2026-05-08T01:49:03Z</dcterms:modified>
  <cp:revision>376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eyJoZGlkIjoiYjBkNzAxYzA3ODU3NzUzYThjYmIyMDMyNzA1MmYwODYiLCJ1c2VySWQiOiI4NzM2ODM2MDIifQ==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D189C007922445B5ADDD28DFD62AB115_12</vt:lpwstr>
  </property>
</Properties>
</file>