
<file path=[Content_Types].xml><?xml version="1.0" encoding="utf-8"?>
<Types xmlns="http://schemas.openxmlformats.org/package/2006/content-types">
  <Default Extension="xml" ContentType="application/xml"/>
  <Default Extension="xlsx" ContentType="application/vnd.openxmlformats-officedocument.spreadsheetml.sheet"/>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9C78F7">
      <w:pPr>
        <w:spacing w:line="440" w:lineRule="exact"/>
        <w:jc w:val="center"/>
        <w:rPr>
          <w:rFonts w:ascii="Arial" w:cs="Arial"/>
          <w:sz w:val="24"/>
          <w:u w:val="single"/>
        </w:rPr>
      </w:pPr>
    </w:p>
    <w:p w14:paraId="7F052138">
      <w:pPr>
        <w:spacing w:line="440" w:lineRule="exact"/>
        <w:jc w:val="center"/>
        <w:rPr>
          <w:rFonts w:ascii="Arial" w:cs="Arial"/>
          <w:sz w:val="24"/>
        </w:rPr>
      </w:pPr>
    </w:p>
    <w:p w14:paraId="2A36BD6A">
      <w:pPr>
        <w:spacing w:line="440" w:lineRule="exact"/>
        <w:jc w:val="center"/>
        <w:rPr>
          <w:rFonts w:ascii="Arial" w:cs="Arial"/>
          <w:sz w:val="24"/>
        </w:rPr>
      </w:pPr>
    </w:p>
    <w:p w14:paraId="7D31CE98">
      <w:pPr>
        <w:spacing w:line="440" w:lineRule="exact"/>
        <w:rPr>
          <w:rFonts w:ascii="Arial" w:cs="Arial"/>
          <w:sz w:val="24"/>
        </w:rPr>
      </w:pPr>
    </w:p>
    <w:p w14:paraId="25CE0C68">
      <w:pPr>
        <w:spacing w:line="440" w:lineRule="exact"/>
        <w:rPr>
          <w:rFonts w:ascii="Arial" w:cs="Arial"/>
          <w:sz w:val="24"/>
        </w:rPr>
      </w:pPr>
    </w:p>
    <w:p w14:paraId="1061AE61">
      <w:pPr>
        <w:spacing w:line="440" w:lineRule="exact"/>
        <w:rPr>
          <w:rFonts w:ascii="Arial" w:cs="Arial"/>
          <w:sz w:val="24"/>
        </w:rPr>
      </w:pPr>
    </w:p>
    <w:p w14:paraId="6AF881A8">
      <w:pPr>
        <w:spacing w:line="440" w:lineRule="exact"/>
        <w:rPr>
          <w:rFonts w:ascii="Arial" w:cs="Arial"/>
          <w:sz w:val="24"/>
        </w:rPr>
      </w:pPr>
    </w:p>
    <w:p w14:paraId="144FE956">
      <w:pPr>
        <w:spacing w:line="440" w:lineRule="exact"/>
        <w:rPr>
          <w:rFonts w:ascii="Arial" w:cs="Arial"/>
          <w:sz w:val="24"/>
        </w:rPr>
      </w:pPr>
    </w:p>
    <w:tbl>
      <w:tblPr>
        <w:tblStyle w:val="24"/>
        <w:tblW w:w="96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9"/>
        <w:gridCol w:w="3453"/>
        <w:gridCol w:w="3067"/>
      </w:tblGrid>
      <w:tr w14:paraId="7CBAF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18" w:type="pct"/>
            <w:shd w:val="clear" w:color="auto" w:fill="auto"/>
          </w:tcPr>
          <w:p w14:paraId="7F63154B">
            <w:pPr>
              <w:spacing w:line="440" w:lineRule="exact"/>
              <w:jc w:val="center"/>
              <w:rPr>
                <w:rFonts w:ascii="Arial" w:hAnsi="Arial"/>
                <w:sz w:val="24"/>
              </w:rPr>
            </w:pPr>
            <w:r>
              <w:rPr>
                <w:rFonts w:hint="eastAsia" w:ascii="Arial" w:hAnsi="Arial"/>
                <w:sz w:val="24"/>
              </w:rPr>
              <w:t>起草人/日期</w:t>
            </w:r>
          </w:p>
        </w:tc>
        <w:tc>
          <w:tcPr>
            <w:tcW w:w="1791" w:type="pct"/>
            <w:shd w:val="clear" w:color="auto" w:fill="auto"/>
          </w:tcPr>
          <w:p w14:paraId="1734DB01">
            <w:pPr>
              <w:spacing w:line="440" w:lineRule="exact"/>
              <w:jc w:val="center"/>
              <w:rPr>
                <w:rFonts w:ascii="Arial" w:hAnsi="Arial"/>
                <w:sz w:val="24"/>
              </w:rPr>
            </w:pPr>
            <w:r>
              <w:rPr>
                <w:rFonts w:hint="eastAsia" w:ascii="Arial" w:hAnsi="Arial"/>
                <w:sz w:val="24"/>
              </w:rPr>
              <w:t>审核人/日期</w:t>
            </w:r>
          </w:p>
        </w:tc>
        <w:tc>
          <w:tcPr>
            <w:tcW w:w="1591" w:type="pct"/>
            <w:shd w:val="clear" w:color="auto" w:fill="auto"/>
          </w:tcPr>
          <w:p w14:paraId="61C27979">
            <w:pPr>
              <w:spacing w:line="440" w:lineRule="exact"/>
              <w:jc w:val="center"/>
              <w:rPr>
                <w:rFonts w:ascii="Arial" w:hAnsi="Arial"/>
                <w:sz w:val="24"/>
              </w:rPr>
            </w:pPr>
            <w:r>
              <w:rPr>
                <w:rFonts w:hint="eastAsia" w:ascii="Arial" w:hAnsi="Arial"/>
                <w:sz w:val="24"/>
              </w:rPr>
              <w:t>批准人/日期</w:t>
            </w:r>
          </w:p>
        </w:tc>
      </w:tr>
      <w:tr w14:paraId="336B5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18" w:type="pct"/>
            <w:vMerge w:val="restart"/>
            <w:shd w:val="clear" w:color="auto" w:fill="auto"/>
          </w:tcPr>
          <w:p w14:paraId="2B586C69">
            <w:pPr>
              <w:spacing w:line="440" w:lineRule="exact"/>
              <w:rPr>
                <w:rFonts w:ascii="Arial" w:hAnsi="Arial"/>
                <w:sz w:val="24"/>
              </w:rPr>
            </w:pPr>
          </w:p>
        </w:tc>
        <w:tc>
          <w:tcPr>
            <w:tcW w:w="1791" w:type="pct"/>
            <w:shd w:val="clear" w:color="auto" w:fill="auto"/>
          </w:tcPr>
          <w:p w14:paraId="7A43CCE3">
            <w:pPr>
              <w:spacing w:line="440" w:lineRule="exact"/>
              <w:rPr>
                <w:rFonts w:ascii="Arial" w:hAnsi="Arial"/>
                <w:sz w:val="24"/>
              </w:rPr>
            </w:pPr>
          </w:p>
        </w:tc>
        <w:tc>
          <w:tcPr>
            <w:tcW w:w="1591" w:type="pct"/>
            <w:vMerge w:val="restart"/>
            <w:shd w:val="clear" w:color="auto" w:fill="auto"/>
          </w:tcPr>
          <w:p w14:paraId="16180B04">
            <w:pPr>
              <w:spacing w:line="440" w:lineRule="exact"/>
              <w:rPr>
                <w:rFonts w:ascii="Arial" w:hAnsi="Arial"/>
                <w:sz w:val="24"/>
              </w:rPr>
            </w:pPr>
          </w:p>
        </w:tc>
      </w:tr>
      <w:tr w14:paraId="7AB9E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18" w:type="pct"/>
            <w:vMerge w:val="continue"/>
            <w:shd w:val="clear" w:color="auto" w:fill="auto"/>
          </w:tcPr>
          <w:p w14:paraId="3801A77A">
            <w:pPr>
              <w:spacing w:line="440" w:lineRule="exact"/>
              <w:rPr>
                <w:rFonts w:ascii="Arial" w:hAnsi="Arial"/>
                <w:sz w:val="24"/>
              </w:rPr>
            </w:pPr>
          </w:p>
        </w:tc>
        <w:tc>
          <w:tcPr>
            <w:tcW w:w="1791" w:type="pct"/>
            <w:shd w:val="clear" w:color="auto" w:fill="auto"/>
          </w:tcPr>
          <w:p w14:paraId="3282C01F">
            <w:pPr>
              <w:spacing w:line="440" w:lineRule="exact"/>
              <w:rPr>
                <w:rFonts w:ascii="Arial" w:hAnsi="Arial"/>
                <w:sz w:val="24"/>
              </w:rPr>
            </w:pPr>
          </w:p>
        </w:tc>
        <w:tc>
          <w:tcPr>
            <w:tcW w:w="1591" w:type="pct"/>
            <w:vMerge w:val="continue"/>
            <w:shd w:val="clear" w:color="auto" w:fill="auto"/>
          </w:tcPr>
          <w:p w14:paraId="5D114611">
            <w:pPr>
              <w:spacing w:line="440" w:lineRule="exact"/>
              <w:rPr>
                <w:rFonts w:ascii="Arial" w:hAnsi="Arial"/>
                <w:sz w:val="24"/>
              </w:rPr>
            </w:pPr>
          </w:p>
        </w:tc>
      </w:tr>
      <w:tr w14:paraId="58099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18" w:type="pct"/>
            <w:vMerge w:val="continue"/>
            <w:shd w:val="clear" w:color="auto" w:fill="auto"/>
          </w:tcPr>
          <w:p w14:paraId="49EFC21F">
            <w:pPr>
              <w:spacing w:line="440" w:lineRule="exact"/>
              <w:rPr>
                <w:rFonts w:ascii="Arial" w:hAnsi="Arial"/>
                <w:sz w:val="24"/>
              </w:rPr>
            </w:pPr>
          </w:p>
        </w:tc>
        <w:tc>
          <w:tcPr>
            <w:tcW w:w="1791" w:type="pct"/>
            <w:shd w:val="clear" w:color="auto" w:fill="auto"/>
          </w:tcPr>
          <w:p w14:paraId="0DF6EA1E">
            <w:pPr>
              <w:spacing w:line="440" w:lineRule="exact"/>
              <w:rPr>
                <w:rFonts w:ascii="Arial" w:hAnsi="Arial"/>
                <w:sz w:val="24"/>
              </w:rPr>
            </w:pPr>
          </w:p>
        </w:tc>
        <w:tc>
          <w:tcPr>
            <w:tcW w:w="1591" w:type="pct"/>
            <w:vMerge w:val="continue"/>
            <w:shd w:val="clear" w:color="auto" w:fill="auto"/>
          </w:tcPr>
          <w:p w14:paraId="548045FB">
            <w:pPr>
              <w:spacing w:line="440" w:lineRule="exact"/>
              <w:rPr>
                <w:rFonts w:ascii="Arial" w:hAnsi="Arial"/>
                <w:sz w:val="24"/>
              </w:rPr>
            </w:pPr>
          </w:p>
        </w:tc>
      </w:tr>
      <w:tr w14:paraId="2DA25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18" w:type="pct"/>
            <w:vMerge w:val="continue"/>
            <w:shd w:val="clear" w:color="auto" w:fill="auto"/>
          </w:tcPr>
          <w:p w14:paraId="036BC08F">
            <w:pPr>
              <w:spacing w:line="440" w:lineRule="exact"/>
              <w:rPr>
                <w:rFonts w:ascii="Arial" w:hAnsi="Arial"/>
                <w:sz w:val="24"/>
              </w:rPr>
            </w:pPr>
          </w:p>
        </w:tc>
        <w:tc>
          <w:tcPr>
            <w:tcW w:w="1791" w:type="pct"/>
            <w:shd w:val="clear" w:color="auto" w:fill="auto"/>
          </w:tcPr>
          <w:p w14:paraId="57C6E120">
            <w:pPr>
              <w:spacing w:line="440" w:lineRule="exact"/>
              <w:rPr>
                <w:rFonts w:ascii="Arial" w:hAnsi="Arial"/>
                <w:sz w:val="24"/>
              </w:rPr>
            </w:pPr>
          </w:p>
        </w:tc>
        <w:tc>
          <w:tcPr>
            <w:tcW w:w="1591" w:type="pct"/>
            <w:vMerge w:val="continue"/>
            <w:shd w:val="clear" w:color="auto" w:fill="auto"/>
          </w:tcPr>
          <w:p w14:paraId="03B764CA">
            <w:pPr>
              <w:spacing w:line="440" w:lineRule="exact"/>
              <w:rPr>
                <w:rFonts w:ascii="Arial" w:hAnsi="Arial"/>
                <w:sz w:val="24"/>
              </w:rPr>
            </w:pPr>
          </w:p>
        </w:tc>
      </w:tr>
      <w:tr w14:paraId="62B59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18" w:type="pct"/>
            <w:vMerge w:val="continue"/>
            <w:shd w:val="clear" w:color="auto" w:fill="auto"/>
          </w:tcPr>
          <w:p w14:paraId="48D289EB">
            <w:pPr>
              <w:spacing w:line="440" w:lineRule="exact"/>
              <w:rPr>
                <w:rFonts w:ascii="Arial" w:hAnsi="Arial"/>
                <w:sz w:val="24"/>
              </w:rPr>
            </w:pPr>
          </w:p>
        </w:tc>
        <w:tc>
          <w:tcPr>
            <w:tcW w:w="1791" w:type="pct"/>
            <w:shd w:val="clear" w:color="auto" w:fill="auto"/>
          </w:tcPr>
          <w:p w14:paraId="5001D636">
            <w:pPr>
              <w:spacing w:line="440" w:lineRule="exact"/>
              <w:rPr>
                <w:rFonts w:ascii="Arial" w:hAnsi="Arial"/>
                <w:sz w:val="24"/>
              </w:rPr>
            </w:pPr>
          </w:p>
        </w:tc>
        <w:tc>
          <w:tcPr>
            <w:tcW w:w="1591" w:type="pct"/>
            <w:vMerge w:val="continue"/>
            <w:shd w:val="clear" w:color="auto" w:fill="auto"/>
          </w:tcPr>
          <w:p w14:paraId="7183A749">
            <w:pPr>
              <w:spacing w:line="440" w:lineRule="exact"/>
              <w:rPr>
                <w:rFonts w:ascii="Arial" w:hAnsi="Arial"/>
                <w:sz w:val="24"/>
              </w:rPr>
            </w:pPr>
          </w:p>
        </w:tc>
      </w:tr>
      <w:tr w14:paraId="50727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18" w:type="pct"/>
            <w:vMerge w:val="continue"/>
            <w:shd w:val="clear" w:color="auto" w:fill="auto"/>
          </w:tcPr>
          <w:p w14:paraId="1B224828">
            <w:pPr>
              <w:spacing w:line="440" w:lineRule="exact"/>
              <w:rPr>
                <w:rFonts w:ascii="Arial" w:hAnsi="Arial"/>
                <w:sz w:val="24"/>
              </w:rPr>
            </w:pPr>
          </w:p>
        </w:tc>
        <w:tc>
          <w:tcPr>
            <w:tcW w:w="1791" w:type="pct"/>
            <w:shd w:val="clear" w:color="auto" w:fill="auto"/>
          </w:tcPr>
          <w:p w14:paraId="0D36E34D">
            <w:pPr>
              <w:spacing w:line="440" w:lineRule="exact"/>
              <w:rPr>
                <w:rFonts w:ascii="Arial" w:hAnsi="Arial"/>
                <w:sz w:val="24"/>
              </w:rPr>
            </w:pPr>
          </w:p>
        </w:tc>
        <w:tc>
          <w:tcPr>
            <w:tcW w:w="1591" w:type="pct"/>
            <w:vMerge w:val="continue"/>
            <w:shd w:val="clear" w:color="auto" w:fill="auto"/>
          </w:tcPr>
          <w:p w14:paraId="0DBAC05E">
            <w:pPr>
              <w:spacing w:line="440" w:lineRule="exact"/>
              <w:rPr>
                <w:rFonts w:ascii="Arial" w:hAnsi="Arial"/>
                <w:sz w:val="24"/>
              </w:rPr>
            </w:pPr>
          </w:p>
        </w:tc>
      </w:tr>
      <w:tr w14:paraId="091E3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18" w:type="pct"/>
            <w:vMerge w:val="continue"/>
            <w:shd w:val="clear" w:color="auto" w:fill="auto"/>
          </w:tcPr>
          <w:p w14:paraId="2150C3FB">
            <w:pPr>
              <w:spacing w:line="440" w:lineRule="exact"/>
              <w:rPr>
                <w:rFonts w:ascii="Arial" w:hAnsi="Arial"/>
                <w:sz w:val="24"/>
              </w:rPr>
            </w:pPr>
          </w:p>
        </w:tc>
        <w:tc>
          <w:tcPr>
            <w:tcW w:w="1791" w:type="pct"/>
            <w:shd w:val="clear" w:color="auto" w:fill="auto"/>
          </w:tcPr>
          <w:p w14:paraId="327B463B">
            <w:pPr>
              <w:spacing w:line="440" w:lineRule="exact"/>
              <w:rPr>
                <w:rFonts w:ascii="Arial" w:hAnsi="Arial"/>
                <w:sz w:val="24"/>
              </w:rPr>
            </w:pPr>
          </w:p>
        </w:tc>
        <w:tc>
          <w:tcPr>
            <w:tcW w:w="1591" w:type="pct"/>
            <w:vMerge w:val="continue"/>
            <w:shd w:val="clear" w:color="auto" w:fill="auto"/>
          </w:tcPr>
          <w:p w14:paraId="3E421B4D">
            <w:pPr>
              <w:spacing w:line="440" w:lineRule="exact"/>
              <w:rPr>
                <w:rFonts w:ascii="Arial" w:hAnsi="Arial"/>
                <w:sz w:val="24"/>
              </w:rPr>
            </w:pPr>
          </w:p>
        </w:tc>
      </w:tr>
      <w:tr w14:paraId="0F352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18" w:type="pct"/>
            <w:vMerge w:val="continue"/>
            <w:shd w:val="clear" w:color="auto" w:fill="auto"/>
          </w:tcPr>
          <w:p w14:paraId="12058764">
            <w:pPr>
              <w:spacing w:line="440" w:lineRule="exact"/>
              <w:rPr>
                <w:rFonts w:ascii="Arial" w:hAnsi="Arial"/>
                <w:sz w:val="24"/>
              </w:rPr>
            </w:pPr>
          </w:p>
        </w:tc>
        <w:tc>
          <w:tcPr>
            <w:tcW w:w="1791" w:type="pct"/>
            <w:shd w:val="clear" w:color="auto" w:fill="auto"/>
          </w:tcPr>
          <w:p w14:paraId="7927B8C7">
            <w:pPr>
              <w:spacing w:line="440" w:lineRule="exact"/>
              <w:rPr>
                <w:rFonts w:ascii="Arial" w:hAnsi="Arial"/>
                <w:sz w:val="24"/>
              </w:rPr>
            </w:pPr>
          </w:p>
        </w:tc>
        <w:tc>
          <w:tcPr>
            <w:tcW w:w="1591" w:type="pct"/>
            <w:vMerge w:val="continue"/>
            <w:shd w:val="clear" w:color="auto" w:fill="auto"/>
          </w:tcPr>
          <w:p w14:paraId="03E8A601">
            <w:pPr>
              <w:spacing w:line="440" w:lineRule="exact"/>
              <w:rPr>
                <w:rFonts w:ascii="Arial" w:hAnsi="Arial"/>
                <w:sz w:val="24"/>
              </w:rPr>
            </w:pPr>
          </w:p>
        </w:tc>
      </w:tr>
      <w:tr w14:paraId="367CD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18" w:type="pct"/>
            <w:vMerge w:val="continue"/>
            <w:shd w:val="clear" w:color="auto" w:fill="auto"/>
          </w:tcPr>
          <w:p w14:paraId="6CCD755F">
            <w:pPr>
              <w:spacing w:line="440" w:lineRule="exact"/>
              <w:rPr>
                <w:rFonts w:ascii="Arial" w:hAnsi="Arial"/>
                <w:sz w:val="24"/>
              </w:rPr>
            </w:pPr>
          </w:p>
        </w:tc>
        <w:tc>
          <w:tcPr>
            <w:tcW w:w="1791" w:type="pct"/>
            <w:shd w:val="clear" w:color="auto" w:fill="auto"/>
          </w:tcPr>
          <w:p w14:paraId="211CA43E">
            <w:pPr>
              <w:spacing w:line="440" w:lineRule="exact"/>
              <w:rPr>
                <w:rFonts w:ascii="Arial" w:hAnsi="Arial"/>
                <w:sz w:val="24"/>
              </w:rPr>
            </w:pPr>
          </w:p>
        </w:tc>
        <w:tc>
          <w:tcPr>
            <w:tcW w:w="1591" w:type="pct"/>
            <w:vMerge w:val="continue"/>
            <w:shd w:val="clear" w:color="auto" w:fill="auto"/>
          </w:tcPr>
          <w:p w14:paraId="62D59332">
            <w:pPr>
              <w:spacing w:line="440" w:lineRule="exact"/>
              <w:rPr>
                <w:rFonts w:ascii="Arial" w:hAnsi="Arial"/>
                <w:sz w:val="24"/>
              </w:rPr>
            </w:pPr>
          </w:p>
        </w:tc>
      </w:tr>
      <w:tr w14:paraId="707AB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18" w:type="pct"/>
            <w:vMerge w:val="continue"/>
            <w:shd w:val="clear" w:color="auto" w:fill="auto"/>
          </w:tcPr>
          <w:p w14:paraId="2A3B7E16">
            <w:pPr>
              <w:spacing w:line="440" w:lineRule="exact"/>
              <w:rPr>
                <w:rFonts w:ascii="Arial" w:hAnsi="Arial"/>
                <w:sz w:val="24"/>
              </w:rPr>
            </w:pPr>
          </w:p>
        </w:tc>
        <w:tc>
          <w:tcPr>
            <w:tcW w:w="1791" w:type="pct"/>
            <w:shd w:val="clear" w:color="auto" w:fill="auto"/>
          </w:tcPr>
          <w:p w14:paraId="4760E829">
            <w:pPr>
              <w:spacing w:line="440" w:lineRule="exact"/>
              <w:rPr>
                <w:rFonts w:ascii="Arial" w:hAnsi="Arial"/>
                <w:sz w:val="24"/>
              </w:rPr>
            </w:pPr>
          </w:p>
        </w:tc>
        <w:tc>
          <w:tcPr>
            <w:tcW w:w="1591" w:type="pct"/>
            <w:vMerge w:val="continue"/>
            <w:shd w:val="clear" w:color="auto" w:fill="auto"/>
          </w:tcPr>
          <w:p w14:paraId="6BB74263">
            <w:pPr>
              <w:spacing w:line="440" w:lineRule="exact"/>
              <w:rPr>
                <w:rFonts w:ascii="Arial" w:hAnsi="Arial"/>
                <w:sz w:val="24"/>
              </w:rPr>
            </w:pPr>
          </w:p>
        </w:tc>
      </w:tr>
      <w:tr w14:paraId="3800E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18" w:type="pct"/>
            <w:vMerge w:val="continue"/>
            <w:shd w:val="clear" w:color="auto" w:fill="auto"/>
          </w:tcPr>
          <w:p w14:paraId="5E814D5E">
            <w:pPr>
              <w:spacing w:line="440" w:lineRule="exact"/>
              <w:rPr>
                <w:rFonts w:ascii="Arial" w:hAnsi="Arial"/>
                <w:sz w:val="24"/>
              </w:rPr>
            </w:pPr>
          </w:p>
        </w:tc>
        <w:tc>
          <w:tcPr>
            <w:tcW w:w="1791" w:type="pct"/>
            <w:shd w:val="clear" w:color="auto" w:fill="auto"/>
          </w:tcPr>
          <w:p w14:paraId="2181EA30">
            <w:pPr>
              <w:spacing w:line="440" w:lineRule="exact"/>
              <w:rPr>
                <w:rFonts w:ascii="Arial" w:hAnsi="Arial"/>
                <w:sz w:val="24"/>
              </w:rPr>
            </w:pPr>
          </w:p>
        </w:tc>
        <w:tc>
          <w:tcPr>
            <w:tcW w:w="1591" w:type="pct"/>
            <w:vMerge w:val="continue"/>
            <w:shd w:val="clear" w:color="auto" w:fill="auto"/>
          </w:tcPr>
          <w:p w14:paraId="10020184">
            <w:pPr>
              <w:spacing w:line="440" w:lineRule="exact"/>
              <w:rPr>
                <w:rFonts w:ascii="Arial" w:hAnsi="Arial"/>
                <w:sz w:val="24"/>
              </w:rPr>
            </w:pPr>
          </w:p>
        </w:tc>
      </w:tr>
    </w:tbl>
    <w:p w14:paraId="2391F922">
      <w:pPr>
        <w:spacing w:line="360" w:lineRule="exact"/>
        <w:rPr>
          <w:sz w:val="18"/>
          <w:szCs w:val="18"/>
        </w:rPr>
      </w:pPr>
    </w:p>
    <w:p w14:paraId="2E567AFB">
      <w:pPr>
        <w:rPr>
          <w:sz w:val="18"/>
          <w:szCs w:val="18"/>
        </w:rPr>
      </w:pPr>
    </w:p>
    <w:p w14:paraId="3894CD68">
      <w:pPr>
        <w:rPr>
          <w:sz w:val="18"/>
          <w:szCs w:val="18"/>
        </w:rPr>
      </w:pPr>
    </w:p>
    <w:p w14:paraId="669FBEC3">
      <w:pPr>
        <w:rPr>
          <w:sz w:val="18"/>
          <w:szCs w:val="18"/>
        </w:rPr>
      </w:pPr>
    </w:p>
    <w:p w14:paraId="7AFA7E22">
      <w:pPr>
        <w:rPr>
          <w:sz w:val="18"/>
          <w:szCs w:val="18"/>
        </w:rPr>
      </w:pPr>
    </w:p>
    <w:p w14:paraId="7F010388">
      <w:pPr>
        <w:rPr>
          <w:sz w:val="18"/>
          <w:szCs w:val="18"/>
        </w:rPr>
      </w:pPr>
    </w:p>
    <w:p w14:paraId="1868B548">
      <w:pPr>
        <w:rPr>
          <w:sz w:val="18"/>
          <w:szCs w:val="18"/>
        </w:rPr>
      </w:pPr>
    </w:p>
    <w:p w14:paraId="1E4B0ED1">
      <w:pPr>
        <w:rPr>
          <w:sz w:val="18"/>
          <w:szCs w:val="18"/>
        </w:rPr>
      </w:pPr>
    </w:p>
    <w:p w14:paraId="2BD639A5">
      <w:pPr>
        <w:rPr>
          <w:sz w:val="18"/>
          <w:szCs w:val="18"/>
        </w:rPr>
      </w:pPr>
    </w:p>
    <w:p w14:paraId="6EDAA2E7">
      <w:pPr>
        <w:spacing w:line="440" w:lineRule="exact"/>
        <w:rPr>
          <w:rFonts w:ascii="Arial" w:hAnsi="Arial" w:eastAsia="黑体" w:cs="Arial"/>
          <w:bCs/>
          <w:sz w:val="24"/>
        </w:rPr>
      </w:pPr>
    </w:p>
    <w:p w14:paraId="14BED23E">
      <w:pPr>
        <w:spacing w:line="440" w:lineRule="exact"/>
        <w:jc w:val="center"/>
        <w:rPr>
          <w:rFonts w:ascii="Arial" w:hAnsi="Arial" w:eastAsia="黑体" w:cs="Arial"/>
          <w:bCs/>
          <w:sz w:val="24"/>
        </w:rPr>
      </w:pPr>
      <w:r>
        <w:rPr>
          <w:rFonts w:hint="eastAsia" w:ascii="Arial" w:hAnsi="Arial" w:eastAsia="黑体" w:cs="Arial"/>
          <w:bCs/>
          <w:sz w:val="24"/>
          <w:lang w:val="en-US" w:eastAsia="zh-CN"/>
        </w:rPr>
        <w:t>Xxx</w:t>
      </w:r>
      <w:r>
        <w:rPr>
          <w:rFonts w:hint="eastAsia" w:ascii="Arial" w:hAnsi="Arial" w:eastAsia="黑体" w:cs="Arial"/>
          <w:bCs/>
          <w:sz w:val="24"/>
        </w:rPr>
        <w:t>有限公司</w:t>
      </w:r>
      <w:r>
        <w:rPr>
          <w:sz w:val="18"/>
          <w:szCs w:val="18"/>
        </w:rPr>
        <w:tab/>
      </w:r>
    </w:p>
    <w:p w14:paraId="5B285A3B">
      <w:pPr>
        <w:rPr>
          <w:sz w:val="18"/>
          <w:szCs w:val="18"/>
        </w:rPr>
        <w:sectPr>
          <w:headerReference r:id="rId5" w:type="first"/>
          <w:footerReference r:id="rId8" w:type="first"/>
          <w:headerReference r:id="rId3" w:type="default"/>
          <w:footerReference r:id="rId6" w:type="default"/>
          <w:headerReference r:id="rId4" w:type="even"/>
          <w:footerReference r:id="rId7" w:type="even"/>
          <w:pgSz w:w="11906" w:h="16838"/>
          <w:pgMar w:top="1701" w:right="851" w:bottom="709" w:left="1418" w:header="1871" w:footer="567" w:gutter="0"/>
          <w:cols w:space="425" w:num="1"/>
          <w:docGrid w:type="linesAndChars" w:linePitch="312" w:charSpace="0"/>
        </w:sectPr>
      </w:pPr>
    </w:p>
    <w:p w14:paraId="511957ED">
      <w:pPr>
        <w:tabs>
          <w:tab w:val="left" w:pos="6022"/>
        </w:tabs>
        <w:spacing w:before="156" w:beforeLines="50" w:line="400" w:lineRule="exact"/>
        <w:rPr>
          <w:rFonts w:ascii="Arial" w:hAnsi="Arial" w:eastAsia="黑体" w:cs="Arial"/>
          <w:kern w:val="0"/>
          <w:sz w:val="28"/>
          <w:szCs w:val="28"/>
        </w:rPr>
      </w:pPr>
      <w:bookmarkStart w:id="0" w:name="_Toc238895497"/>
      <w:r>
        <w:rPr>
          <w:rFonts w:ascii="Arial" w:hAnsi="Arial" w:eastAsia="黑体" w:cs="Arial"/>
          <w:kern w:val="0"/>
          <w:sz w:val="28"/>
          <w:szCs w:val="28"/>
        </w:rPr>
        <w:t>1  概述</w:t>
      </w:r>
    </w:p>
    <w:p w14:paraId="544EFF28">
      <w:pPr>
        <w:tabs>
          <w:tab w:val="left" w:pos="6022"/>
        </w:tabs>
        <w:spacing w:line="400" w:lineRule="exact"/>
        <w:ind w:left="420" w:leftChars="200"/>
        <w:rPr>
          <w:rFonts w:ascii="Arial" w:hAnsi="Arial" w:cs="Arial"/>
          <w:kern w:val="0"/>
          <w:sz w:val="24"/>
        </w:rPr>
      </w:pPr>
      <w:r>
        <w:rPr>
          <w:rFonts w:hint="eastAsia" w:ascii="Arial" w:hAnsi="Arial" w:cs="Arial"/>
          <w:spacing w:val="-4"/>
          <w:sz w:val="24"/>
        </w:rPr>
        <w:t xml:space="preserve">在2025年1月1日至2025年12月31日期间，公司各部门持续协同推进变更管理工作，全年累计发起变更720次。本年度回顾报告旨在全面分析变更执行情况，从发起部门、变更类别与级别、完成状态等多维度展开评估，并与2024年变更数据及管理成效进行系统对比。 </w:t>
      </w:r>
      <w:r>
        <w:rPr>
          <w:rFonts w:ascii="Arial" w:hAnsi="Arial" w:cs="Arial"/>
          <w:spacing w:val="-4"/>
          <w:sz w:val="24"/>
        </w:rPr>
        <w:t xml:space="preserve"> </w:t>
      </w:r>
      <w:r>
        <w:rPr>
          <w:rFonts w:hint="eastAsia" w:ascii="Arial" w:hAnsi="Arial" w:cs="Arial"/>
          <w:spacing w:val="-4"/>
          <w:sz w:val="24"/>
        </w:rPr>
        <w:t>一方面，重点审视已完成的变更对产品质量、运营效率及业务目标的实际影响，确保变更实施效果的稳定与可靠；另一方面，对处于“审批中”“执行中”“待关闭”等状态的变更进行专项分析，识别阻滞原因并推动闭环管理。基于本年度发现的问题与经验，报告进一步提出针对性优化措施，并围绕流程精细化、风险预控及跨部门协同等方面，制定2026年变更管理提升规划，以持续完善管理体系，保障公司业务在稳健中实现高质量发展。</w:t>
      </w:r>
    </w:p>
    <w:p w14:paraId="3E1C1B82">
      <w:pPr>
        <w:tabs>
          <w:tab w:val="left" w:pos="6022"/>
        </w:tabs>
        <w:spacing w:before="156" w:beforeLines="50" w:line="400" w:lineRule="exact"/>
        <w:rPr>
          <w:rFonts w:ascii="Arial" w:hAnsi="Arial" w:eastAsia="黑体" w:cs="Arial"/>
          <w:sz w:val="28"/>
          <w:szCs w:val="30"/>
        </w:rPr>
      </w:pPr>
      <w:r>
        <w:rPr>
          <w:rFonts w:ascii="Arial" w:hAnsi="Arial" w:eastAsia="黑体" w:cs="Arial"/>
          <w:kern w:val="0"/>
          <w:sz w:val="28"/>
          <w:szCs w:val="28"/>
        </w:rPr>
        <w:t>2 变更情况</w:t>
      </w:r>
      <w:r>
        <w:rPr>
          <w:rFonts w:ascii="Arial" w:hAnsi="Arial" w:eastAsia="黑体" w:cs="Arial"/>
          <w:sz w:val="28"/>
          <w:szCs w:val="30"/>
        </w:rPr>
        <w:t>汇总</w:t>
      </w:r>
      <w:r>
        <w:rPr>
          <w:rFonts w:hint="eastAsia" w:ascii="Arial" w:hAnsi="Arial" w:eastAsia="黑体" w:cs="Arial"/>
          <w:sz w:val="28"/>
          <w:szCs w:val="30"/>
        </w:rPr>
        <w:t>分析</w:t>
      </w:r>
    </w:p>
    <w:tbl>
      <w:tblPr>
        <w:tblStyle w:val="25"/>
        <w:tblW w:w="9592"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48"/>
        <w:gridCol w:w="682"/>
        <w:gridCol w:w="687"/>
        <w:gridCol w:w="664"/>
        <w:gridCol w:w="654"/>
        <w:gridCol w:w="968"/>
        <w:gridCol w:w="850"/>
        <w:gridCol w:w="851"/>
        <w:gridCol w:w="997"/>
        <w:gridCol w:w="1091"/>
      </w:tblGrid>
      <w:tr w14:paraId="670651B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33" w:hRule="atLeast"/>
          <w:jc w:val="center"/>
        </w:trPr>
        <w:tc>
          <w:tcPr>
            <w:tcW w:w="2148" w:type="dxa"/>
            <w:vMerge w:val="restart"/>
            <w:tcBorders>
              <w:top w:val="single" w:color="auto" w:sz="4" w:space="0"/>
              <w:left w:val="single" w:color="auto" w:sz="4" w:space="0"/>
              <w:bottom w:val="single" w:color="auto" w:sz="4" w:space="0"/>
              <w:right w:val="single" w:color="auto" w:sz="4" w:space="0"/>
              <w:tl2br w:val="single" w:color="auto" w:sz="4" w:space="0"/>
            </w:tcBorders>
            <w:vAlign w:val="center"/>
          </w:tcPr>
          <w:p w14:paraId="5D718978">
            <w:pPr>
              <w:jc w:val="center"/>
              <w:rPr>
                <w:rFonts w:ascii="Arial" w:hAnsi="Arial" w:cs="Arial"/>
                <w:szCs w:val="21"/>
              </w:rPr>
            </w:pPr>
            <w:r>
              <w:rPr>
                <w:rFonts w:ascii="Arial" w:hAnsi="Arial" w:cs="Arial"/>
                <w:szCs w:val="21"/>
              </w:rPr>
              <w:t>变更</w:t>
            </w:r>
          </w:p>
          <w:p w14:paraId="67B39E8D">
            <w:pPr>
              <w:jc w:val="center"/>
              <w:rPr>
                <w:rFonts w:ascii="Arial" w:hAnsi="Arial" w:cs="Arial"/>
                <w:szCs w:val="21"/>
              </w:rPr>
            </w:pPr>
          </w:p>
          <w:p w14:paraId="70D67EE1">
            <w:pPr>
              <w:rPr>
                <w:rFonts w:ascii="Arial" w:hAnsi="Arial" w:cs="Arial"/>
                <w:szCs w:val="21"/>
              </w:rPr>
            </w:pPr>
            <w:r>
              <w:rPr>
                <w:rFonts w:ascii="Arial" w:hAnsi="Arial" w:cs="Arial"/>
                <w:szCs w:val="21"/>
              </w:rPr>
              <w:t>部门</w:t>
            </w:r>
          </w:p>
        </w:tc>
        <w:tc>
          <w:tcPr>
            <w:tcW w:w="682" w:type="dxa"/>
            <w:vMerge w:val="restart"/>
            <w:tcBorders>
              <w:top w:val="single" w:color="auto" w:sz="4" w:space="0"/>
              <w:left w:val="single" w:color="auto" w:sz="4" w:space="0"/>
              <w:bottom w:val="single" w:color="auto" w:sz="4" w:space="0"/>
              <w:right w:val="single" w:color="auto" w:sz="4" w:space="0"/>
            </w:tcBorders>
            <w:vAlign w:val="center"/>
          </w:tcPr>
          <w:p w14:paraId="6FCE8103">
            <w:pPr>
              <w:jc w:val="center"/>
              <w:rPr>
                <w:rFonts w:ascii="Arial" w:hAnsi="Arial" w:cs="Arial"/>
                <w:szCs w:val="21"/>
              </w:rPr>
            </w:pPr>
            <w:r>
              <w:rPr>
                <w:rFonts w:ascii="Arial" w:hAnsi="Arial" w:cs="Arial"/>
                <w:szCs w:val="21"/>
              </w:rPr>
              <w:t>数量</w:t>
            </w:r>
          </w:p>
        </w:tc>
        <w:tc>
          <w:tcPr>
            <w:tcW w:w="6762" w:type="dxa"/>
            <w:gridSpan w:val="8"/>
            <w:tcBorders>
              <w:top w:val="single" w:color="auto" w:sz="4" w:space="0"/>
              <w:left w:val="single" w:color="auto" w:sz="4" w:space="0"/>
              <w:bottom w:val="single" w:color="auto" w:sz="4" w:space="0"/>
              <w:right w:val="single" w:color="auto" w:sz="4" w:space="0"/>
            </w:tcBorders>
            <w:vAlign w:val="center"/>
          </w:tcPr>
          <w:p w14:paraId="603832EB">
            <w:pPr>
              <w:jc w:val="center"/>
              <w:rPr>
                <w:rFonts w:ascii="Arial" w:hAnsi="Arial" w:cs="Arial"/>
                <w:szCs w:val="21"/>
              </w:rPr>
            </w:pPr>
            <w:r>
              <w:rPr>
                <w:rFonts w:ascii="Arial" w:hAnsi="Arial" w:cs="Arial"/>
                <w:szCs w:val="21"/>
              </w:rPr>
              <w:t>本年度申请的变更</w:t>
            </w:r>
          </w:p>
        </w:tc>
      </w:tr>
      <w:tr w14:paraId="11A5150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866" w:hRule="atLeast"/>
          <w:jc w:val="center"/>
        </w:trPr>
        <w:tc>
          <w:tcPr>
            <w:tcW w:w="2148" w:type="dxa"/>
            <w:vMerge w:val="continue"/>
            <w:tcBorders>
              <w:top w:val="single" w:color="auto" w:sz="4" w:space="0"/>
              <w:left w:val="single" w:color="auto" w:sz="4" w:space="0"/>
              <w:bottom w:val="single" w:color="auto" w:sz="4" w:space="0"/>
              <w:right w:val="single" w:color="auto" w:sz="4" w:space="0"/>
              <w:tl2br w:val="single" w:color="auto" w:sz="4" w:space="0"/>
            </w:tcBorders>
            <w:vAlign w:val="center"/>
          </w:tcPr>
          <w:p w14:paraId="7878B17D">
            <w:pPr>
              <w:jc w:val="center"/>
              <w:rPr>
                <w:rFonts w:ascii="Arial" w:hAnsi="Arial" w:cs="Arial"/>
                <w:szCs w:val="21"/>
              </w:rPr>
            </w:pPr>
          </w:p>
        </w:tc>
        <w:tc>
          <w:tcPr>
            <w:tcW w:w="682" w:type="dxa"/>
            <w:vMerge w:val="continue"/>
            <w:tcBorders>
              <w:top w:val="single" w:color="auto" w:sz="4" w:space="0"/>
              <w:left w:val="single" w:color="auto" w:sz="4" w:space="0"/>
              <w:bottom w:val="single" w:color="auto" w:sz="4" w:space="0"/>
              <w:right w:val="single" w:color="auto" w:sz="4" w:space="0"/>
            </w:tcBorders>
            <w:vAlign w:val="center"/>
          </w:tcPr>
          <w:p w14:paraId="493DFF79">
            <w:pPr>
              <w:jc w:val="center"/>
              <w:rPr>
                <w:rFonts w:ascii="Arial" w:hAnsi="Arial" w:cs="Arial"/>
                <w:szCs w:val="21"/>
              </w:rPr>
            </w:pPr>
          </w:p>
        </w:tc>
        <w:tc>
          <w:tcPr>
            <w:tcW w:w="687" w:type="dxa"/>
            <w:tcBorders>
              <w:top w:val="single" w:color="auto" w:sz="4" w:space="0"/>
              <w:left w:val="single" w:color="auto" w:sz="4" w:space="0"/>
              <w:bottom w:val="single" w:color="auto" w:sz="4" w:space="0"/>
              <w:right w:val="single" w:color="auto" w:sz="4" w:space="0"/>
            </w:tcBorders>
            <w:vAlign w:val="center"/>
          </w:tcPr>
          <w:p w14:paraId="6A7E908F">
            <w:pPr>
              <w:jc w:val="center"/>
              <w:rPr>
                <w:rFonts w:ascii="Arial" w:hAnsi="Arial" w:cs="Arial"/>
                <w:szCs w:val="21"/>
              </w:rPr>
            </w:pPr>
            <w:r>
              <w:rPr>
                <w:rFonts w:ascii="Arial" w:hAnsi="Arial" w:cs="Arial"/>
                <w:szCs w:val="21"/>
              </w:rPr>
              <w:t>微小</w:t>
            </w:r>
          </w:p>
        </w:tc>
        <w:tc>
          <w:tcPr>
            <w:tcW w:w="664" w:type="dxa"/>
            <w:tcBorders>
              <w:top w:val="single" w:color="auto" w:sz="4" w:space="0"/>
              <w:left w:val="single" w:color="auto" w:sz="4" w:space="0"/>
              <w:bottom w:val="single" w:color="auto" w:sz="4" w:space="0"/>
              <w:right w:val="single" w:color="auto" w:sz="4" w:space="0"/>
            </w:tcBorders>
            <w:vAlign w:val="center"/>
          </w:tcPr>
          <w:p w14:paraId="147CA25B">
            <w:pPr>
              <w:jc w:val="center"/>
              <w:rPr>
                <w:rFonts w:ascii="Arial" w:hAnsi="Arial" w:cs="Arial"/>
                <w:szCs w:val="21"/>
              </w:rPr>
            </w:pPr>
            <w:r>
              <w:rPr>
                <w:rFonts w:ascii="Arial" w:hAnsi="Arial" w:cs="Arial"/>
                <w:szCs w:val="21"/>
              </w:rPr>
              <w:t>中等</w:t>
            </w:r>
          </w:p>
        </w:tc>
        <w:tc>
          <w:tcPr>
            <w:tcW w:w="654" w:type="dxa"/>
            <w:tcBorders>
              <w:top w:val="single" w:color="auto" w:sz="4" w:space="0"/>
              <w:left w:val="single" w:color="auto" w:sz="4" w:space="0"/>
              <w:bottom w:val="single" w:color="auto" w:sz="4" w:space="0"/>
              <w:right w:val="single" w:color="auto" w:sz="4" w:space="0"/>
            </w:tcBorders>
            <w:vAlign w:val="center"/>
          </w:tcPr>
          <w:p w14:paraId="0C6D3FD3">
            <w:pPr>
              <w:jc w:val="center"/>
              <w:rPr>
                <w:rFonts w:ascii="Arial" w:hAnsi="Arial" w:cs="Arial"/>
                <w:szCs w:val="21"/>
              </w:rPr>
            </w:pPr>
            <w:r>
              <w:rPr>
                <w:rFonts w:ascii="Arial" w:hAnsi="Arial" w:cs="Arial"/>
                <w:szCs w:val="21"/>
              </w:rPr>
              <w:t>重大</w:t>
            </w:r>
          </w:p>
        </w:tc>
        <w:tc>
          <w:tcPr>
            <w:tcW w:w="968" w:type="dxa"/>
            <w:tcBorders>
              <w:top w:val="single" w:color="auto" w:sz="4" w:space="0"/>
              <w:left w:val="single" w:color="auto" w:sz="4" w:space="0"/>
              <w:bottom w:val="single" w:color="auto" w:sz="4" w:space="0"/>
              <w:right w:val="single" w:color="auto" w:sz="4" w:space="0"/>
            </w:tcBorders>
            <w:vAlign w:val="center"/>
          </w:tcPr>
          <w:p w14:paraId="56362F0F">
            <w:pPr>
              <w:jc w:val="center"/>
              <w:rPr>
                <w:rFonts w:ascii="Arial" w:hAnsi="Arial" w:cs="Arial"/>
                <w:szCs w:val="21"/>
              </w:rPr>
            </w:pPr>
            <w:r>
              <w:rPr>
                <w:rFonts w:hint="eastAsia" w:ascii="Arial" w:hAnsi="Arial" w:cs="Arial"/>
                <w:szCs w:val="21"/>
              </w:rPr>
              <w:t>审批中</w:t>
            </w:r>
          </w:p>
        </w:tc>
        <w:tc>
          <w:tcPr>
            <w:tcW w:w="850" w:type="dxa"/>
            <w:tcBorders>
              <w:top w:val="single" w:color="auto" w:sz="4" w:space="0"/>
              <w:left w:val="single" w:color="auto" w:sz="4" w:space="0"/>
              <w:bottom w:val="single" w:color="auto" w:sz="4" w:space="0"/>
              <w:right w:val="single" w:color="auto" w:sz="4" w:space="0"/>
            </w:tcBorders>
            <w:vAlign w:val="center"/>
          </w:tcPr>
          <w:p w14:paraId="77B82F22">
            <w:pPr>
              <w:jc w:val="center"/>
              <w:rPr>
                <w:rFonts w:ascii="Arial" w:hAnsi="Arial" w:cs="Arial"/>
                <w:szCs w:val="21"/>
              </w:rPr>
            </w:pPr>
            <w:r>
              <w:rPr>
                <w:rFonts w:hint="eastAsia" w:ascii="Arial" w:hAnsi="Arial" w:cs="Arial"/>
                <w:szCs w:val="21"/>
              </w:rPr>
              <w:t>执行中</w:t>
            </w:r>
          </w:p>
        </w:tc>
        <w:tc>
          <w:tcPr>
            <w:tcW w:w="851" w:type="dxa"/>
            <w:tcBorders>
              <w:top w:val="single" w:color="auto" w:sz="4" w:space="0"/>
              <w:left w:val="single" w:color="auto" w:sz="4" w:space="0"/>
              <w:bottom w:val="single" w:color="auto" w:sz="4" w:space="0"/>
              <w:right w:val="single" w:color="auto" w:sz="4" w:space="0"/>
            </w:tcBorders>
            <w:vAlign w:val="center"/>
          </w:tcPr>
          <w:p w14:paraId="6FF51FA3">
            <w:pPr>
              <w:jc w:val="center"/>
              <w:rPr>
                <w:rFonts w:ascii="Arial" w:hAnsi="Arial" w:cs="Arial"/>
                <w:szCs w:val="21"/>
              </w:rPr>
            </w:pPr>
            <w:r>
              <w:rPr>
                <w:rFonts w:hint="eastAsia" w:ascii="Arial" w:hAnsi="Arial" w:cs="Arial"/>
                <w:szCs w:val="21"/>
              </w:rPr>
              <w:t>待关闭</w:t>
            </w:r>
          </w:p>
        </w:tc>
        <w:tc>
          <w:tcPr>
            <w:tcW w:w="997" w:type="dxa"/>
            <w:tcBorders>
              <w:top w:val="single" w:color="auto" w:sz="4" w:space="0"/>
              <w:left w:val="single" w:color="auto" w:sz="4" w:space="0"/>
              <w:bottom w:val="single" w:color="auto" w:sz="4" w:space="0"/>
              <w:right w:val="single" w:color="auto" w:sz="4" w:space="0"/>
            </w:tcBorders>
            <w:vAlign w:val="center"/>
          </w:tcPr>
          <w:p w14:paraId="29CBACD3">
            <w:pPr>
              <w:jc w:val="center"/>
              <w:rPr>
                <w:rFonts w:ascii="Arial" w:hAnsi="Arial" w:cs="Arial"/>
                <w:szCs w:val="21"/>
              </w:rPr>
            </w:pPr>
            <w:r>
              <w:rPr>
                <w:rFonts w:hint="eastAsia" w:ascii="Arial" w:hAnsi="Arial" w:cs="Arial"/>
                <w:szCs w:val="21"/>
              </w:rPr>
              <w:t>已关闭</w:t>
            </w:r>
          </w:p>
        </w:tc>
        <w:tc>
          <w:tcPr>
            <w:tcW w:w="1091" w:type="dxa"/>
            <w:tcBorders>
              <w:top w:val="single" w:color="auto" w:sz="4" w:space="0"/>
              <w:left w:val="single" w:color="auto" w:sz="4" w:space="0"/>
              <w:bottom w:val="single" w:color="auto" w:sz="4" w:space="0"/>
              <w:right w:val="single" w:color="auto" w:sz="4" w:space="0"/>
            </w:tcBorders>
            <w:vAlign w:val="center"/>
          </w:tcPr>
          <w:p w14:paraId="05B1D0D4">
            <w:pPr>
              <w:jc w:val="center"/>
              <w:rPr>
                <w:rFonts w:ascii="Arial" w:hAnsi="Arial" w:cs="Arial"/>
                <w:szCs w:val="21"/>
              </w:rPr>
            </w:pPr>
            <w:r>
              <w:rPr>
                <w:rFonts w:hint="eastAsia" w:ascii="Arial" w:hAnsi="Arial" w:cs="Arial"/>
                <w:szCs w:val="21"/>
              </w:rPr>
              <w:t>已终止</w:t>
            </w:r>
          </w:p>
        </w:tc>
      </w:tr>
      <w:tr w14:paraId="2B9453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50" w:hRule="atLeast"/>
          <w:jc w:val="center"/>
        </w:trPr>
        <w:tc>
          <w:tcPr>
            <w:tcW w:w="2148" w:type="dxa"/>
            <w:tcBorders>
              <w:top w:val="single" w:color="auto" w:sz="4" w:space="0"/>
              <w:left w:val="single" w:color="auto" w:sz="4" w:space="0"/>
              <w:bottom w:val="single" w:color="auto" w:sz="4" w:space="0"/>
              <w:right w:val="single" w:color="auto" w:sz="4" w:space="0"/>
            </w:tcBorders>
            <w:vAlign w:val="center"/>
          </w:tcPr>
          <w:p w14:paraId="0523A5DA">
            <w:pPr>
              <w:jc w:val="center"/>
              <w:rPr>
                <w:rFonts w:ascii="Arial" w:hAnsi="Arial" w:cs="Arial"/>
                <w:szCs w:val="21"/>
              </w:rPr>
            </w:pPr>
            <w:r>
              <w:rPr>
                <w:rFonts w:hint="eastAsia"/>
              </w:rPr>
              <w:t>采供部</w:t>
            </w:r>
          </w:p>
        </w:tc>
        <w:tc>
          <w:tcPr>
            <w:tcW w:w="682" w:type="dxa"/>
            <w:tcBorders>
              <w:top w:val="single" w:color="auto" w:sz="4" w:space="0"/>
              <w:left w:val="single" w:color="auto" w:sz="4" w:space="0"/>
              <w:bottom w:val="single" w:color="auto" w:sz="4" w:space="0"/>
              <w:right w:val="single" w:color="auto" w:sz="4" w:space="0"/>
            </w:tcBorders>
          </w:tcPr>
          <w:p w14:paraId="439E518B">
            <w:pPr>
              <w:jc w:val="center"/>
              <w:rPr>
                <w:rFonts w:ascii="Arial" w:hAnsi="Arial" w:cs="Arial"/>
                <w:szCs w:val="21"/>
              </w:rPr>
            </w:pPr>
          </w:p>
        </w:tc>
        <w:tc>
          <w:tcPr>
            <w:tcW w:w="687" w:type="dxa"/>
            <w:tcBorders>
              <w:top w:val="single" w:color="auto" w:sz="4" w:space="0"/>
              <w:left w:val="single" w:color="auto" w:sz="4" w:space="0"/>
              <w:bottom w:val="single" w:color="auto" w:sz="4" w:space="0"/>
              <w:right w:val="single" w:color="auto" w:sz="4" w:space="0"/>
            </w:tcBorders>
            <w:vAlign w:val="center"/>
          </w:tcPr>
          <w:p w14:paraId="2BAB27ED">
            <w:pPr>
              <w:jc w:val="center"/>
              <w:rPr>
                <w:rFonts w:ascii="Arial" w:hAnsi="Arial" w:cs="Arial"/>
                <w:szCs w:val="21"/>
              </w:rPr>
            </w:pPr>
          </w:p>
        </w:tc>
        <w:tc>
          <w:tcPr>
            <w:tcW w:w="664" w:type="dxa"/>
            <w:tcBorders>
              <w:top w:val="single" w:color="auto" w:sz="4" w:space="0"/>
              <w:left w:val="single" w:color="auto" w:sz="4" w:space="0"/>
              <w:bottom w:val="single" w:color="auto" w:sz="4" w:space="0"/>
              <w:right w:val="single" w:color="auto" w:sz="4" w:space="0"/>
            </w:tcBorders>
          </w:tcPr>
          <w:p w14:paraId="60276E30">
            <w:pPr>
              <w:jc w:val="center"/>
              <w:rPr>
                <w:rFonts w:ascii="Arial" w:hAnsi="Arial" w:cs="Arial"/>
                <w:szCs w:val="21"/>
              </w:rPr>
            </w:pPr>
          </w:p>
        </w:tc>
        <w:tc>
          <w:tcPr>
            <w:tcW w:w="654" w:type="dxa"/>
            <w:tcBorders>
              <w:top w:val="single" w:color="auto" w:sz="4" w:space="0"/>
              <w:left w:val="single" w:color="auto" w:sz="4" w:space="0"/>
              <w:bottom w:val="single" w:color="auto" w:sz="4" w:space="0"/>
              <w:right w:val="single" w:color="auto" w:sz="4" w:space="0"/>
            </w:tcBorders>
          </w:tcPr>
          <w:p w14:paraId="63BAFF07">
            <w:pPr>
              <w:jc w:val="center"/>
              <w:rPr>
                <w:rFonts w:ascii="Arial" w:hAnsi="Arial" w:cs="Arial"/>
                <w:szCs w:val="21"/>
              </w:rPr>
            </w:pPr>
          </w:p>
        </w:tc>
        <w:tc>
          <w:tcPr>
            <w:tcW w:w="968" w:type="dxa"/>
            <w:tcBorders>
              <w:top w:val="single" w:color="auto" w:sz="4" w:space="0"/>
              <w:left w:val="single" w:color="auto" w:sz="4" w:space="0"/>
              <w:bottom w:val="single" w:color="auto" w:sz="4" w:space="0"/>
              <w:right w:val="single" w:color="auto" w:sz="4" w:space="0"/>
            </w:tcBorders>
          </w:tcPr>
          <w:p w14:paraId="17D69659">
            <w:pPr>
              <w:jc w:val="center"/>
              <w:rPr>
                <w:rFonts w:ascii="Arial" w:hAnsi="Arial" w:cs="Arial"/>
                <w:szCs w:val="21"/>
              </w:rPr>
            </w:pPr>
          </w:p>
        </w:tc>
        <w:tc>
          <w:tcPr>
            <w:tcW w:w="850" w:type="dxa"/>
            <w:tcBorders>
              <w:top w:val="single" w:color="auto" w:sz="4" w:space="0"/>
              <w:left w:val="single" w:color="auto" w:sz="4" w:space="0"/>
              <w:bottom w:val="single" w:color="auto" w:sz="4" w:space="0"/>
              <w:right w:val="single" w:color="auto" w:sz="4" w:space="0"/>
            </w:tcBorders>
          </w:tcPr>
          <w:p w14:paraId="1E528FE7">
            <w:pPr>
              <w:jc w:val="center"/>
              <w:rPr>
                <w:rFonts w:ascii="Arial" w:hAnsi="Arial" w:cs="Arial"/>
                <w:szCs w:val="21"/>
              </w:rPr>
            </w:pPr>
          </w:p>
        </w:tc>
        <w:tc>
          <w:tcPr>
            <w:tcW w:w="851" w:type="dxa"/>
            <w:tcBorders>
              <w:top w:val="single" w:color="auto" w:sz="4" w:space="0"/>
              <w:left w:val="single" w:color="auto" w:sz="4" w:space="0"/>
              <w:bottom w:val="single" w:color="auto" w:sz="4" w:space="0"/>
              <w:right w:val="single" w:color="auto" w:sz="4" w:space="0"/>
            </w:tcBorders>
          </w:tcPr>
          <w:p w14:paraId="606753E7">
            <w:pPr>
              <w:jc w:val="center"/>
              <w:rPr>
                <w:rFonts w:ascii="Arial" w:hAnsi="Arial" w:cs="Arial"/>
                <w:szCs w:val="21"/>
              </w:rPr>
            </w:pPr>
          </w:p>
        </w:tc>
        <w:tc>
          <w:tcPr>
            <w:tcW w:w="997" w:type="dxa"/>
            <w:tcBorders>
              <w:top w:val="single" w:color="auto" w:sz="4" w:space="0"/>
              <w:left w:val="single" w:color="auto" w:sz="4" w:space="0"/>
              <w:bottom w:val="single" w:color="auto" w:sz="4" w:space="0"/>
              <w:right w:val="single" w:color="auto" w:sz="4" w:space="0"/>
            </w:tcBorders>
          </w:tcPr>
          <w:p w14:paraId="770AAD97">
            <w:pPr>
              <w:jc w:val="center"/>
              <w:rPr>
                <w:rFonts w:ascii="Arial" w:hAnsi="Arial" w:cs="Arial"/>
                <w:szCs w:val="21"/>
              </w:rPr>
            </w:pPr>
          </w:p>
        </w:tc>
        <w:tc>
          <w:tcPr>
            <w:tcW w:w="1091" w:type="dxa"/>
            <w:tcBorders>
              <w:top w:val="single" w:color="auto" w:sz="4" w:space="0"/>
              <w:left w:val="single" w:color="auto" w:sz="4" w:space="0"/>
              <w:bottom w:val="single" w:color="auto" w:sz="4" w:space="0"/>
              <w:right w:val="single" w:color="auto" w:sz="4" w:space="0"/>
            </w:tcBorders>
          </w:tcPr>
          <w:p w14:paraId="6FB2708A">
            <w:pPr>
              <w:jc w:val="center"/>
              <w:rPr>
                <w:rFonts w:ascii="Arial" w:hAnsi="Arial" w:cs="Arial"/>
                <w:szCs w:val="21"/>
              </w:rPr>
            </w:pPr>
          </w:p>
        </w:tc>
      </w:tr>
      <w:tr w14:paraId="76485F2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80" w:hRule="atLeast"/>
          <w:jc w:val="center"/>
        </w:trPr>
        <w:tc>
          <w:tcPr>
            <w:tcW w:w="2148" w:type="dxa"/>
            <w:tcBorders>
              <w:top w:val="single" w:color="auto" w:sz="4" w:space="0"/>
              <w:left w:val="single" w:color="auto" w:sz="4" w:space="0"/>
              <w:bottom w:val="single" w:color="auto" w:sz="4" w:space="0"/>
              <w:right w:val="single" w:color="auto" w:sz="4" w:space="0"/>
            </w:tcBorders>
            <w:vAlign w:val="center"/>
          </w:tcPr>
          <w:p w14:paraId="7455ED9C">
            <w:pPr>
              <w:jc w:val="center"/>
              <w:rPr>
                <w:rFonts w:ascii="Arial" w:hAnsi="Arial" w:cs="Arial"/>
                <w:szCs w:val="21"/>
              </w:rPr>
            </w:pPr>
            <w:r>
              <w:rPr>
                <w:rFonts w:hint="eastAsia"/>
              </w:rPr>
              <w:t>一车间</w:t>
            </w:r>
          </w:p>
        </w:tc>
        <w:tc>
          <w:tcPr>
            <w:tcW w:w="682" w:type="dxa"/>
            <w:tcBorders>
              <w:top w:val="single" w:color="auto" w:sz="4" w:space="0"/>
              <w:left w:val="single" w:color="auto" w:sz="4" w:space="0"/>
              <w:bottom w:val="single" w:color="auto" w:sz="4" w:space="0"/>
              <w:right w:val="single" w:color="auto" w:sz="4" w:space="0"/>
            </w:tcBorders>
          </w:tcPr>
          <w:p w14:paraId="1F896C04">
            <w:pPr>
              <w:jc w:val="center"/>
              <w:rPr>
                <w:rFonts w:ascii="Arial" w:hAnsi="Arial" w:cs="Arial"/>
                <w:szCs w:val="21"/>
              </w:rPr>
            </w:pPr>
          </w:p>
        </w:tc>
        <w:tc>
          <w:tcPr>
            <w:tcW w:w="687" w:type="dxa"/>
            <w:tcBorders>
              <w:top w:val="single" w:color="auto" w:sz="4" w:space="0"/>
              <w:left w:val="single" w:color="auto" w:sz="4" w:space="0"/>
              <w:bottom w:val="single" w:color="auto" w:sz="4" w:space="0"/>
              <w:right w:val="single" w:color="auto" w:sz="4" w:space="0"/>
            </w:tcBorders>
            <w:vAlign w:val="center"/>
          </w:tcPr>
          <w:p w14:paraId="7601901E">
            <w:pPr>
              <w:jc w:val="center"/>
              <w:rPr>
                <w:rFonts w:ascii="Arial" w:hAnsi="Arial" w:cs="Arial"/>
                <w:szCs w:val="21"/>
              </w:rPr>
            </w:pPr>
          </w:p>
        </w:tc>
        <w:tc>
          <w:tcPr>
            <w:tcW w:w="664" w:type="dxa"/>
            <w:tcBorders>
              <w:top w:val="single" w:color="auto" w:sz="4" w:space="0"/>
              <w:left w:val="single" w:color="auto" w:sz="4" w:space="0"/>
              <w:bottom w:val="single" w:color="auto" w:sz="4" w:space="0"/>
              <w:right w:val="single" w:color="auto" w:sz="4" w:space="0"/>
            </w:tcBorders>
          </w:tcPr>
          <w:p w14:paraId="3502D7B8">
            <w:pPr>
              <w:jc w:val="center"/>
              <w:rPr>
                <w:rFonts w:ascii="Arial" w:hAnsi="Arial" w:cs="Arial"/>
                <w:szCs w:val="21"/>
              </w:rPr>
            </w:pPr>
          </w:p>
        </w:tc>
        <w:tc>
          <w:tcPr>
            <w:tcW w:w="654" w:type="dxa"/>
            <w:tcBorders>
              <w:top w:val="single" w:color="auto" w:sz="4" w:space="0"/>
              <w:left w:val="single" w:color="auto" w:sz="4" w:space="0"/>
              <w:bottom w:val="single" w:color="auto" w:sz="4" w:space="0"/>
              <w:right w:val="single" w:color="auto" w:sz="4" w:space="0"/>
            </w:tcBorders>
          </w:tcPr>
          <w:p w14:paraId="491A7B65">
            <w:pPr>
              <w:jc w:val="center"/>
              <w:rPr>
                <w:rFonts w:ascii="Arial" w:hAnsi="Arial" w:cs="Arial"/>
                <w:szCs w:val="21"/>
              </w:rPr>
            </w:pPr>
          </w:p>
        </w:tc>
        <w:tc>
          <w:tcPr>
            <w:tcW w:w="968" w:type="dxa"/>
            <w:tcBorders>
              <w:top w:val="single" w:color="auto" w:sz="4" w:space="0"/>
              <w:left w:val="single" w:color="auto" w:sz="4" w:space="0"/>
              <w:bottom w:val="single" w:color="auto" w:sz="4" w:space="0"/>
              <w:right w:val="single" w:color="auto" w:sz="4" w:space="0"/>
            </w:tcBorders>
          </w:tcPr>
          <w:p w14:paraId="17FCAB75">
            <w:pPr>
              <w:jc w:val="center"/>
              <w:rPr>
                <w:rFonts w:ascii="Arial" w:hAnsi="Arial" w:cs="Arial"/>
                <w:szCs w:val="21"/>
              </w:rPr>
            </w:pPr>
          </w:p>
        </w:tc>
        <w:tc>
          <w:tcPr>
            <w:tcW w:w="850" w:type="dxa"/>
            <w:tcBorders>
              <w:top w:val="single" w:color="auto" w:sz="4" w:space="0"/>
              <w:left w:val="single" w:color="auto" w:sz="4" w:space="0"/>
              <w:bottom w:val="single" w:color="auto" w:sz="4" w:space="0"/>
              <w:right w:val="single" w:color="auto" w:sz="4" w:space="0"/>
            </w:tcBorders>
          </w:tcPr>
          <w:p w14:paraId="534A7235">
            <w:pPr>
              <w:jc w:val="center"/>
              <w:rPr>
                <w:rFonts w:ascii="Arial" w:hAnsi="Arial" w:cs="Arial"/>
                <w:szCs w:val="21"/>
              </w:rPr>
            </w:pPr>
          </w:p>
        </w:tc>
        <w:tc>
          <w:tcPr>
            <w:tcW w:w="851" w:type="dxa"/>
            <w:tcBorders>
              <w:top w:val="single" w:color="auto" w:sz="4" w:space="0"/>
              <w:left w:val="single" w:color="auto" w:sz="4" w:space="0"/>
              <w:bottom w:val="single" w:color="auto" w:sz="4" w:space="0"/>
              <w:right w:val="single" w:color="auto" w:sz="4" w:space="0"/>
            </w:tcBorders>
          </w:tcPr>
          <w:p w14:paraId="6A0C38C3">
            <w:pPr>
              <w:jc w:val="center"/>
              <w:rPr>
                <w:rFonts w:ascii="Arial" w:hAnsi="Arial" w:cs="Arial"/>
                <w:szCs w:val="21"/>
              </w:rPr>
            </w:pPr>
          </w:p>
        </w:tc>
        <w:tc>
          <w:tcPr>
            <w:tcW w:w="997" w:type="dxa"/>
            <w:tcBorders>
              <w:top w:val="single" w:color="auto" w:sz="4" w:space="0"/>
              <w:left w:val="single" w:color="auto" w:sz="4" w:space="0"/>
              <w:bottom w:val="single" w:color="auto" w:sz="4" w:space="0"/>
              <w:right w:val="single" w:color="auto" w:sz="4" w:space="0"/>
            </w:tcBorders>
          </w:tcPr>
          <w:p w14:paraId="71EA850D">
            <w:pPr>
              <w:jc w:val="center"/>
              <w:rPr>
                <w:rFonts w:ascii="Arial" w:hAnsi="Arial" w:cs="Arial"/>
                <w:szCs w:val="21"/>
              </w:rPr>
            </w:pPr>
          </w:p>
        </w:tc>
        <w:tc>
          <w:tcPr>
            <w:tcW w:w="1091" w:type="dxa"/>
            <w:tcBorders>
              <w:top w:val="single" w:color="auto" w:sz="4" w:space="0"/>
              <w:left w:val="single" w:color="auto" w:sz="4" w:space="0"/>
              <w:bottom w:val="single" w:color="auto" w:sz="4" w:space="0"/>
              <w:right w:val="single" w:color="auto" w:sz="4" w:space="0"/>
            </w:tcBorders>
          </w:tcPr>
          <w:p w14:paraId="4CFF395C">
            <w:pPr>
              <w:jc w:val="center"/>
              <w:rPr>
                <w:rFonts w:ascii="Arial" w:hAnsi="Arial" w:cs="Arial"/>
                <w:szCs w:val="21"/>
              </w:rPr>
            </w:pPr>
          </w:p>
        </w:tc>
      </w:tr>
      <w:tr w14:paraId="28E6302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47" w:hRule="atLeast"/>
          <w:jc w:val="center"/>
        </w:trPr>
        <w:tc>
          <w:tcPr>
            <w:tcW w:w="2148" w:type="dxa"/>
            <w:tcBorders>
              <w:top w:val="single" w:color="auto" w:sz="4" w:space="0"/>
              <w:left w:val="single" w:color="auto" w:sz="4" w:space="0"/>
              <w:bottom w:val="single" w:color="auto" w:sz="4" w:space="0"/>
              <w:right w:val="single" w:color="auto" w:sz="4" w:space="0"/>
            </w:tcBorders>
            <w:vAlign w:val="center"/>
          </w:tcPr>
          <w:p w14:paraId="5177481D">
            <w:pPr>
              <w:jc w:val="center"/>
              <w:rPr>
                <w:rFonts w:ascii="Arial" w:hAnsi="Arial" w:cs="Arial"/>
                <w:szCs w:val="21"/>
              </w:rPr>
            </w:pPr>
            <w:r>
              <w:rPr>
                <w:rFonts w:hint="eastAsia"/>
              </w:rPr>
              <w:t>物控部</w:t>
            </w:r>
          </w:p>
        </w:tc>
        <w:tc>
          <w:tcPr>
            <w:tcW w:w="682" w:type="dxa"/>
            <w:tcBorders>
              <w:top w:val="single" w:color="auto" w:sz="4" w:space="0"/>
              <w:left w:val="single" w:color="auto" w:sz="4" w:space="0"/>
              <w:bottom w:val="single" w:color="auto" w:sz="4" w:space="0"/>
              <w:right w:val="single" w:color="auto" w:sz="4" w:space="0"/>
            </w:tcBorders>
          </w:tcPr>
          <w:p w14:paraId="68165E91">
            <w:pPr>
              <w:jc w:val="center"/>
              <w:rPr>
                <w:rFonts w:ascii="Arial" w:hAnsi="Arial" w:cs="Arial"/>
                <w:szCs w:val="21"/>
              </w:rPr>
            </w:pPr>
          </w:p>
        </w:tc>
        <w:tc>
          <w:tcPr>
            <w:tcW w:w="687" w:type="dxa"/>
            <w:tcBorders>
              <w:top w:val="single" w:color="auto" w:sz="4" w:space="0"/>
              <w:left w:val="single" w:color="auto" w:sz="4" w:space="0"/>
              <w:bottom w:val="single" w:color="auto" w:sz="4" w:space="0"/>
              <w:right w:val="single" w:color="auto" w:sz="4" w:space="0"/>
            </w:tcBorders>
            <w:vAlign w:val="center"/>
          </w:tcPr>
          <w:p w14:paraId="3D36DF4E">
            <w:pPr>
              <w:jc w:val="center"/>
              <w:rPr>
                <w:rFonts w:ascii="Arial" w:hAnsi="Arial" w:cs="Arial"/>
                <w:szCs w:val="21"/>
              </w:rPr>
            </w:pPr>
          </w:p>
        </w:tc>
        <w:tc>
          <w:tcPr>
            <w:tcW w:w="664" w:type="dxa"/>
            <w:tcBorders>
              <w:top w:val="single" w:color="auto" w:sz="4" w:space="0"/>
              <w:left w:val="single" w:color="auto" w:sz="4" w:space="0"/>
              <w:bottom w:val="single" w:color="auto" w:sz="4" w:space="0"/>
              <w:right w:val="single" w:color="auto" w:sz="4" w:space="0"/>
            </w:tcBorders>
          </w:tcPr>
          <w:p w14:paraId="7D218C1F">
            <w:pPr>
              <w:jc w:val="center"/>
              <w:rPr>
                <w:rFonts w:ascii="Arial" w:hAnsi="Arial" w:cs="Arial"/>
                <w:szCs w:val="21"/>
              </w:rPr>
            </w:pPr>
          </w:p>
        </w:tc>
        <w:tc>
          <w:tcPr>
            <w:tcW w:w="654" w:type="dxa"/>
            <w:tcBorders>
              <w:top w:val="single" w:color="auto" w:sz="4" w:space="0"/>
              <w:left w:val="single" w:color="auto" w:sz="4" w:space="0"/>
              <w:bottom w:val="single" w:color="auto" w:sz="4" w:space="0"/>
              <w:right w:val="single" w:color="auto" w:sz="4" w:space="0"/>
            </w:tcBorders>
          </w:tcPr>
          <w:p w14:paraId="0B098AD5">
            <w:pPr>
              <w:jc w:val="center"/>
              <w:rPr>
                <w:rFonts w:ascii="Arial" w:hAnsi="Arial" w:cs="Arial"/>
                <w:szCs w:val="21"/>
              </w:rPr>
            </w:pPr>
          </w:p>
        </w:tc>
        <w:tc>
          <w:tcPr>
            <w:tcW w:w="968" w:type="dxa"/>
            <w:tcBorders>
              <w:top w:val="single" w:color="auto" w:sz="4" w:space="0"/>
              <w:left w:val="single" w:color="auto" w:sz="4" w:space="0"/>
              <w:bottom w:val="single" w:color="auto" w:sz="4" w:space="0"/>
              <w:right w:val="single" w:color="auto" w:sz="4" w:space="0"/>
            </w:tcBorders>
          </w:tcPr>
          <w:p w14:paraId="081FD3BE">
            <w:pPr>
              <w:jc w:val="center"/>
              <w:rPr>
                <w:rFonts w:ascii="Arial" w:hAnsi="Arial" w:cs="Arial"/>
                <w:szCs w:val="21"/>
              </w:rPr>
            </w:pPr>
          </w:p>
        </w:tc>
        <w:tc>
          <w:tcPr>
            <w:tcW w:w="850" w:type="dxa"/>
            <w:tcBorders>
              <w:top w:val="single" w:color="auto" w:sz="4" w:space="0"/>
              <w:left w:val="single" w:color="auto" w:sz="4" w:space="0"/>
              <w:bottom w:val="single" w:color="auto" w:sz="4" w:space="0"/>
              <w:right w:val="single" w:color="auto" w:sz="4" w:space="0"/>
            </w:tcBorders>
          </w:tcPr>
          <w:p w14:paraId="480AC2A4">
            <w:pPr>
              <w:jc w:val="center"/>
              <w:rPr>
                <w:rFonts w:ascii="Arial" w:hAnsi="Arial" w:cs="Arial"/>
                <w:szCs w:val="21"/>
              </w:rPr>
            </w:pPr>
          </w:p>
        </w:tc>
        <w:tc>
          <w:tcPr>
            <w:tcW w:w="851" w:type="dxa"/>
            <w:tcBorders>
              <w:top w:val="single" w:color="auto" w:sz="4" w:space="0"/>
              <w:left w:val="single" w:color="auto" w:sz="4" w:space="0"/>
              <w:bottom w:val="single" w:color="auto" w:sz="4" w:space="0"/>
              <w:right w:val="single" w:color="auto" w:sz="4" w:space="0"/>
            </w:tcBorders>
          </w:tcPr>
          <w:p w14:paraId="5FD9E445">
            <w:pPr>
              <w:jc w:val="center"/>
              <w:rPr>
                <w:rFonts w:ascii="Arial" w:hAnsi="Arial" w:cs="Arial"/>
                <w:szCs w:val="21"/>
              </w:rPr>
            </w:pPr>
          </w:p>
        </w:tc>
        <w:tc>
          <w:tcPr>
            <w:tcW w:w="997" w:type="dxa"/>
            <w:tcBorders>
              <w:top w:val="single" w:color="auto" w:sz="4" w:space="0"/>
              <w:left w:val="single" w:color="auto" w:sz="4" w:space="0"/>
              <w:bottom w:val="single" w:color="auto" w:sz="4" w:space="0"/>
              <w:right w:val="single" w:color="auto" w:sz="4" w:space="0"/>
            </w:tcBorders>
          </w:tcPr>
          <w:p w14:paraId="45170AFA">
            <w:pPr>
              <w:jc w:val="center"/>
              <w:rPr>
                <w:rFonts w:ascii="Arial" w:hAnsi="Arial" w:cs="Arial"/>
                <w:szCs w:val="21"/>
              </w:rPr>
            </w:pPr>
          </w:p>
        </w:tc>
        <w:tc>
          <w:tcPr>
            <w:tcW w:w="1091" w:type="dxa"/>
            <w:tcBorders>
              <w:top w:val="single" w:color="auto" w:sz="4" w:space="0"/>
              <w:left w:val="single" w:color="auto" w:sz="4" w:space="0"/>
              <w:bottom w:val="single" w:color="auto" w:sz="4" w:space="0"/>
              <w:right w:val="single" w:color="auto" w:sz="4" w:space="0"/>
            </w:tcBorders>
          </w:tcPr>
          <w:p w14:paraId="200CDF7B">
            <w:pPr>
              <w:jc w:val="center"/>
              <w:rPr>
                <w:rFonts w:ascii="Arial" w:hAnsi="Arial" w:cs="Arial"/>
                <w:szCs w:val="21"/>
              </w:rPr>
            </w:pPr>
          </w:p>
        </w:tc>
      </w:tr>
      <w:tr w14:paraId="69F1395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47" w:hRule="atLeast"/>
          <w:jc w:val="center"/>
        </w:trPr>
        <w:tc>
          <w:tcPr>
            <w:tcW w:w="2148" w:type="dxa"/>
            <w:tcBorders>
              <w:top w:val="single" w:color="auto" w:sz="4" w:space="0"/>
              <w:left w:val="single" w:color="auto" w:sz="4" w:space="0"/>
              <w:bottom w:val="single" w:color="auto" w:sz="4" w:space="0"/>
              <w:right w:val="single" w:color="auto" w:sz="4" w:space="0"/>
            </w:tcBorders>
            <w:vAlign w:val="center"/>
          </w:tcPr>
          <w:p w14:paraId="21D2F48F">
            <w:pPr>
              <w:jc w:val="center"/>
              <w:rPr>
                <w:rFonts w:ascii="Arial" w:hAnsi="Arial" w:cs="Arial"/>
                <w:szCs w:val="21"/>
              </w:rPr>
            </w:pPr>
            <w:r>
              <w:rPr>
                <w:rFonts w:hint="eastAsia"/>
              </w:rPr>
              <w:t>质检部</w:t>
            </w:r>
          </w:p>
        </w:tc>
        <w:tc>
          <w:tcPr>
            <w:tcW w:w="682" w:type="dxa"/>
            <w:tcBorders>
              <w:top w:val="single" w:color="auto" w:sz="4" w:space="0"/>
              <w:left w:val="single" w:color="auto" w:sz="4" w:space="0"/>
              <w:bottom w:val="single" w:color="auto" w:sz="4" w:space="0"/>
              <w:right w:val="single" w:color="auto" w:sz="4" w:space="0"/>
            </w:tcBorders>
          </w:tcPr>
          <w:p w14:paraId="34FCCCFE">
            <w:pPr>
              <w:jc w:val="center"/>
              <w:rPr>
                <w:rFonts w:ascii="Arial" w:hAnsi="Arial" w:cs="Arial"/>
                <w:szCs w:val="21"/>
              </w:rPr>
            </w:pPr>
          </w:p>
        </w:tc>
        <w:tc>
          <w:tcPr>
            <w:tcW w:w="687" w:type="dxa"/>
            <w:tcBorders>
              <w:top w:val="single" w:color="auto" w:sz="4" w:space="0"/>
              <w:left w:val="single" w:color="auto" w:sz="4" w:space="0"/>
              <w:bottom w:val="single" w:color="auto" w:sz="4" w:space="0"/>
              <w:right w:val="single" w:color="auto" w:sz="4" w:space="0"/>
            </w:tcBorders>
            <w:vAlign w:val="center"/>
          </w:tcPr>
          <w:p w14:paraId="61510B35">
            <w:pPr>
              <w:jc w:val="center"/>
              <w:rPr>
                <w:rFonts w:ascii="Arial" w:hAnsi="Arial" w:cs="Arial"/>
                <w:szCs w:val="21"/>
              </w:rPr>
            </w:pPr>
          </w:p>
        </w:tc>
        <w:tc>
          <w:tcPr>
            <w:tcW w:w="664" w:type="dxa"/>
            <w:tcBorders>
              <w:top w:val="single" w:color="auto" w:sz="4" w:space="0"/>
              <w:left w:val="single" w:color="auto" w:sz="4" w:space="0"/>
              <w:bottom w:val="single" w:color="auto" w:sz="4" w:space="0"/>
              <w:right w:val="single" w:color="auto" w:sz="4" w:space="0"/>
            </w:tcBorders>
          </w:tcPr>
          <w:p w14:paraId="7D27CF69">
            <w:pPr>
              <w:jc w:val="center"/>
              <w:rPr>
                <w:rFonts w:ascii="Arial" w:hAnsi="Arial" w:cs="Arial"/>
                <w:szCs w:val="21"/>
              </w:rPr>
            </w:pPr>
          </w:p>
        </w:tc>
        <w:tc>
          <w:tcPr>
            <w:tcW w:w="654" w:type="dxa"/>
            <w:tcBorders>
              <w:top w:val="single" w:color="auto" w:sz="4" w:space="0"/>
              <w:left w:val="single" w:color="auto" w:sz="4" w:space="0"/>
              <w:bottom w:val="single" w:color="auto" w:sz="4" w:space="0"/>
              <w:right w:val="single" w:color="auto" w:sz="4" w:space="0"/>
            </w:tcBorders>
          </w:tcPr>
          <w:p w14:paraId="7B4CE335">
            <w:pPr>
              <w:jc w:val="center"/>
              <w:rPr>
                <w:rFonts w:ascii="Arial" w:hAnsi="Arial" w:cs="Arial"/>
                <w:szCs w:val="21"/>
              </w:rPr>
            </w:pPr>
          </w:p>
        </w:tc>
        <w:tc>
          <w:tcPr>
            <w:tcW w:w="968" w:type="dxa"/>
            <w:tcBorders>
              <w:top w:val="single" w:color="auto" w:sz="4" w:space="0"/>
              <w:left w:val="single" w:color="auto" w:sz="4" w:space="0"/>
              <w:bottom w:val="single" w:color="auto" w:sz="4" w:space="0"/>
              <w:right w:val="single" w:color="auto" w:sz="4" w:space="0"/>
            </w:tcBorders>
          </w:tcPr>
          <w:p w14:paraId="4FB55007">
            <w:pPr>
              <w:jc w:val="center"/>
              <w:rPr>
                <w:rFonts w:ascii="Arial" w:hAnsi="Arial" w:cs="Arial"/>
                <w:szCs w:val="21"/>
              </w:rPr>
            </w:pPr>
          </w:p>
        </w:tc>
        <w:tc>
          <w:tcPr>
            <w:tcW w:w="850" w:type="dxa"/>
            <w:tcBorders>
              <w:top w:val="single" w:color="auto" w:sz="4" w:space="0"/>
              <w:left w:val="single" w:color="auto" w:sz="4" w:space="0"/>
              <w:bottom w:val="single" w:color="auto" w:sz="4" w:space="0"/>
              <w:right w:val="single" w:color="auto" w:sz="4" w:space="0"/>
            </w:tcBorders>
          </w:tcPr>
          <w:p w14:paraId="79CC0C68">
            <w:pPr>
              <w:jc w:val="center"/>
              <w:rPr>
                <w:rFonts w:ascii="Arial" w:hAnsi="Arial" w:cs="Arial"/>
                <w:szCs w:val="21"/>
              </w:rPr>
            </w:pPr>
          </w:p>
        </w:tc>
        <w:tc>
          <w:tcPr>
            <w:tcW w:w="851" w:type="dxa"/>
            <w:tcBorders>
              <w:top w:val="single" w:color="auto" w:sz="4" w:space="0"/>
              <w:left w:val="single" w:color="auto" w:sz="4" w:space="0"/>
              <w:bottom w:val="single" w:color="auto" w:sz="4" w:space="0"/>
              <w:right w:val="single" w:color="auto" w:sz="4" w:space="0"/>
            </w:tcBorders>
          </w:tcPr>
          <w:p w14:paraId="2404F941">
            <w:pPr>
              <w:jc w:val="center"/>
              <w:rPr>
                <w:rFonts w:ascii="Arial" w:hAnsi="Arial" w:cs="Arial"/>
                <w:szCs w:val="21"/>
              </w:rPr>
            </w:pPr>
          </w:p>
        </w:tc>
        <w:tc>
          <w:tcPr>
            <w:tcW w:w="997" w:type="dxa"/>
            <w:tcBorders>
              <w:top w:val="single" w:color="auto" w:sz="4" w:space="0"/>
              <w:left w:val="single" w:color="auto" w:sz="4" w:space="0"/>
              <w:bottom w:val="single" w:color="auto" w:sz="4" w:space="0"/>
              <w:right w:val="single" w:color="auto" w:sz="4" w:space="0"/>
            </w:tcBorders>
          </w:tcPr>
          <w:p w14:paraId="6DDAF5AC">
            <w:pPr>
              <w:jc w:val="center"/>
              <w:rPr>
                <w:rFonts w:ascii="Arial" w:hAnsi="Arial" w:cs="Arial"/>
                <w:szCs w:val="21"/>
              </w:rPr>
            </w:pPr>
          </w:p>
        </w:tc>
        <w:tc>
          <w:tcPr>
            <w:tcW w:w="1091" w:type="dxa"/>
            <w:tcBorders>
              <w:top w:val="single" w:color="auto" w:sz="4" w:space="0"/>
              <w:left w:val="single" w:color="auto" w:sz="4" w:space="0"/>
              <w:bottom w:val="single" w:color="auto" w:sz="4" w:space="0"/>
              <w:right w:val="single" w:color="auto" w:sz="4" w:space="0"/>
            </w:tcBorders>
          </w:tcPr>
          <w:p w14:paraId="040FB722">
            <w:pPr>
              <w:jc w:val="center"/>
              <w:rPr>
                <w:rFonts w:ascii="Arial" w:hAnsi="Arial" w:cs="Arial"/>
                <w:szCs w:val="21"/>
              </w:rPr>
            </w:pPr>
          </w:p>
        </w:tc>
      </w:tr>
      <w:tr w14:paraId="0ECC5EE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47" w:hRule="atLeast"/>
          <w:jc w:val="center"/>
        </w:trPr>
        <w:tc>
          <w:tcPr>
            <w:tcW w:w="2148" w:type="dxa"/>
            <w:tcBorders>
              <w:top w:val="single" w:color="auto" w:sz="4" w:space="0"/>
              <w:left w:val="single" w:color="auto" w:sz="4" w:space="0"/>
              <w:bottom w:val="single" w:color="auto" w:sz="4" w:space="0"/>
              <w:right w:val="single" w:color="auto" w:sz="4" w:space="0"/>
            </w:tcBorders>
            <w:vAlign w:val="center"/>
          </w:tcPr>
          <w:p w14:paraId="66319BF7">
            <w:pPr>
              <w:jc w:val="center"/>
              <w:rPr>
                <w:rFonts w:ascii="Arial" w:hAnsi="Arial" w:cs="Arial"/>
                <w:szCs w:val="21"/>
              </w:rPr>
            </w:pPr>
            <w:r>
              <w:rPr>
                <w:rFonts w:hint="eastAsia"/>
              </w:rPr>
              <w:t>质量保证部</w:t>
            </w:r>
          </w:p>
        </w:tc>
        <w:tc>
          <w:tcPr>
            <w:tcW w:w="682" w:type="dxa"/>
            <w:tcBorders>
              <w:top w:val="single" w:color="auto" w:sz="4" w:space="0"/>
              <w:left w:val="single" w:color="auto" w:sz="4" w:space="0"/>
              <w:bottom w:val="single" w:color="auto" w:sz="4" w:space="0"/>
              <w:right w:val="single" w:color="auto" w:sz="4" w:space="0"/>
            </w:tcBorders>
          </w:tcPr>
          <w:p w14:paraId="18393903">
            <w:pPr>
              <w:jc w:val="center"/>
              <w:rPr>
                <w:rFonts w:ascii="Arial" w:hAnsi="Arial" w:cs="Arial"/>
                <w:szCs w:val="21"/>
              </w:rPr>
            </w:pPr>
          </w:p>
        </w:tc>
        <w:tc>
          <w:tcPr>
            <w:tcW w:w="687" w:type="dxa"/>
            <w:tcBorders>
              <w:top w:val="single" w:color="auto" w:sz="4" w:space="0"/>
              <w:left w:val="single" w:color="auto" w:sz="4" w:space="0"/>
              <w:bottom w:val="single" w:color="auto" w:sz="4" w:space="0"/>
              <w:right w:val="single" w:color="auto" w:sz="4" w:space="0"/>
            </w:tcBorders>
            <w:vAlign w:val="center"/>
          </w:tcPr>
          <w:p w14:paraId="664CD93E">
            <w:pPr>
              <w:jc w:val="center"/>
              <w:rPr>
                <w:rFonts w:ascii="Arial" w:hAnsi="Arial" w:cs="Arial"/>
                <w:szCs w:val="21"/>
              </w:rPr>
            </w:pPr>
          </w:p>
        </w:tc>
        <w:tc>
          <w:tcPr>
            <w:tcW w:w="664" w:type="dxa"/>
            <w:tcBorders>
              <w:top w:val="single" w:color="auto" w:sz="4" w:space="0"/>
              <w:left w:val="single" w:color="auto" w:sz="4" w:space="0"/>
              <w:bottom w:val="single" w:color="auto" w:sz="4" w:space="0"/>
              <w:right w:val="single" w:color="auto" w:sz="4" w:space="0"/>
            </w:tcBorders>
          </w:tcPr>
          <w:p w14:paraId="2D36FF5C">
            <w:pPr>
              <w:jc w:val="center"/>
              <w:rPr>
                <w:rFonts w:ascii="Arial" w:hAnsi="Arial" w:cs="Arial"/>
                <w:szCs w:val="21"/>
              </w:rPr>
            </w:pPr>
          </w:p>
        </w:tc>
        <w:tc>
          <w:tcPr>
            <w:tcW w:w="654" w:type="dxa"/>
            <w:tcBorders>
              <w:top w:val="single" w:color="auto" w:sz="4" w:space="0"/>
              <w:left w:val="single" w:color="auto" w:sz="4" w:space="0"/>
              <w:bottom w:val="single" w:color="auto" w:sz="4" w:space="0"/>
              <w:right w:val="single" w:color="auto" w:sz="4" w:space="0"/>
            </w:tcBorders>
          </w:tcPr>
          <w:p w14:paraId="31EF2C1D">
            <w:pPr>
              <w:jc w:val="center"/>
              <w:rPr>
                <w:rFonts w:ascii="Arial" w:hAnsi="Arial" w:cs="Arial"/>
                <w:szCs w:val="21"/>
              </w:rPr>
            </w:pPr>
          </w:p>
        </w:tc>
        <w:tc>
          <w:tcPr>
            <w:tcW w:w="968" w:type="dxa"/>
            <w:tcBorders>
              <w:top w:val="single" w:color="auto" w:sz="4" w:space="0"/>
              <w:left w:val="single" w:color="auto" w:sz="4" w:space="0"/>
              <w:bottom w:val="single" w:color="auto" w:sz="4" w:space="0"/>
              <w:right w:val="single" w:color="auto" w:sz="4" w:space="0"/>
            </w:tcBorders>
          </w:tcPr>
          <w:p w14:paraId="3F7C1726">
            <w:pPr>
              <w:jc w:val="center"/>
              <w:rPr>
                <w:rFonts w:ascii="Arial" w:hAnsi="Arial" w:cs="Arial"/>
                <w:szCs w:val="21"/>
              </w:rPr>
            </w:pPr>
          </w:p>
        </w:tc>
        <w:tc>
          <w:tcPr>
            <w:tcW w:w="850" w:type="dxa"/>
            <w:tcBorders>
              <w:top w:val="single" w:color="auto" w:sz="4" w:space="0"/>
              <w:left w:val="single" w:color="auto" w:sz="4" w:space="0"/>
              <w:bottom w:val="single" w:color="auto" w:sz="4" w:space="0"/>
              <w:right w:val="single" w:color="auto" w:sz="4" w:space="0"/>
            </w:tcBorders>
          </w:tcPr>
          <w:p w14:paraId="1690D2A4">
            <w:pPr>
              <w:jc w:val="center"/>
              <w:rPr>
                <w:rFonts w:ascii="Arial" w:hAnsi="Arial" w:cs="Arial"/>
                <w:szCs w:val="21"/>
              </w:rPr>
            </w:pPr>
          </w:p>
        </w:tc>
        <w:tc>
          <w:tcPr>
            <w:tcW w:w="851" w:type="dxa"/>
            <w:tcBorders>
              <w:top w:val="single" w:color="auto" w:sz="4" w:space="0"/>
              <w:left w:val="single" w:color="auto" w:sz="4" w:space="0"/>
              <w:bottom w:val="single" w:color="auto" w:sz="4" w:space="0"/>
              <w:right w:val="single" w:color="auto" w:sz="4" w:space="0"/>
            </w:tcBorders>
          </w:tcPr>
          <w:p w14:paraId="4CED9C25">
            <w:pPr>
              <w:jc w:val="center"/>
              <w:rPr>
                <w:rFonts w:ascii="Arial" w:hAnsi="Arial" w:cs="Arial"/>
                <w:szCs w:val="21"/>
              </w:rPr>
            </w:pPr>
          </w:p>
        </w:tc>
        <w:tc>
          <w:tcPr>
            <w:tcW w:w="997" w:type="dxa"/>
            <w:tcBorders>
              <w:top w:val="single" w:color="auto" w:sz="4" w:space="0"/>
              <w:left w:val="single" w:color="auto" w:sz="4" w:space="0"/>
              <w:bottom w:val="single" w:color="auto" w:sz="4" w:space="0"/>
              <w:right w:val="single" w:color="auto" w:sz="4" w:space="0"/>
            </w:tcBorders>
          </w:tcPr>
          <w:p w14:paraId="528C049E">
            <w:pPr>
              <w:jc w:val="center"/>
              <w:rPr>
                <w:rFonts w:ascii="Arial" w:hAnsi="Arial" w:cs="Arial"/>
                <w:szCs w:val="21"/>
              </w:rPr>
            </w:pPr>
          </w:p>
        </w:tc>
        <w:tc>
          <w:tcPr>
            <w:tcW w:w="1091" w:type="dxa"/>
            <w:tcBorders>
              <w:top w:val="single" w:color="auto" w:sz="4" w:space="0"/>
              <w:left w:val="single" w:color="auto" w:sz="4" w:space="0"/>
              <w:bottom w:val="single" w:color="auto" w:sz="4" w:space="0"/>
              <w:right w:val="single" w:color="auto" w:sz="4" w:space="0"/>
            </w:tcBorders>
          </w:tcPr>
          <w:p w14:paraId="6099FEAF">
            <w:pPr>
              <w:jc w:val="center"/>
              <w:rPr>
                <w:rFonts w:ascii="Arial" w:hAnsi="Arial" w:cs="Arial"/>
                <w:szCs w:val="21"/>
              </w:rPr>
            </w:pPr>
          </w:p>
        </w:tc>
      </w:tr>
      <w:tr w14:paraId="78341C9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65" w:hRule="atLeast"/>
          <w:jc w:val="center"/>
        </w:trPr>
        <w:tc>
          <w:tcPr>
            <w:tcW w:w="2148" w:type="dxa"/>
            <w:tcBorders>
              <w:top w:val="single" w:color="auto" w:sz="4" w:space="0"/>
              <w:left w:val="single" w:color="auto" w:sz="4" w:space="0"/>
              <w:bottom w:val="single" w:color="auto" w:sz="4" w:space="0"/>
              <w:right w:val="single" w:color="auto" w:sz="4" w:space="0"/>
            </w:tcBorders>
            <w:vAlign w:val="center"/>
          </w:tcPr>
          <w:p w14:paraId="5160DFBD">
            <w:pPr>
              <w:jc w:val="center"/>
              <w:rPr>
                <w:rFonts w:ascii="Arial" w:hAnsi="Arial" w:cs="Arial"/>
                <w:szCs w:val="21"/>
              </w:rPr>
            </w:pPr>
            <w:r>
              <w:rPr>
                <w:rFonts w:hint="eastAsia"/>
              </w:rPr>
              <w:t>数字化管理部</w:t>
            </w:r>
          </w:p>
        </w:tc>
        <w:tc>
          <w:tcPr>
            <w:tcW w:w="682" w:type="dxa"/>
            <w:tcBorders>
              <w:top w:val="single" w:color="auto" w:sz="4" w:space="0"/>
              <w:left w:val="single" w:color="auto" w:sz="4" w:space="0"/>
              <w:bottom w:val="single" w:color="auto" w:sz="4" w:space="0"/>
              <w:right w:val="single" w:color="auto" w:sz="4" w:space="0"/>
            </w:tcBorders>
          </w:tcPr>
          <w:p w14:paraId="0C74351F">
            <w:pPr>
              <w:jc w:val="center"/>
              <w:rPr>
                <w:rFonts w:ascii="Arial" w:hAnsi="Arial" w:cs="Arial"/>
                <w:szCs w:val="21"/>
              </w:rPr>
            </w:pPr>
          </w:p>
        </w:tc>
        <w:tc>
          <w:tcPr>
            <w:tcW w:w="687" w:type="dxa"/>
            <w:tcBorders>
              <w:top w:val="single" w:color="auto" w:sz="4" w:space="0"/>
              <w:left w:val="single" w:color="auto" w:sz="4" w:space="0"/>
              <w:bottom w:val="single" w:color="auto" w:sz="4" w:space="0"/>
              <w:right w:val="single" w:color="auto" w:sz="4" w:space="0"/>
            </w:tcBorders>
            <w:vAlign w:val="center"/>
          </w:tcPr>
          <w:p w14:paraId="6126A978">
            <w:pPr>
              <w:jc w:val="center"/>
              <w:rPr>
                <w:rFonts w:ascii="Arial" w:hAnsi="Arial" w:cs="Arial"/>
                <w:szCs w:val="21"/>
              </w:rPr>
            </w:pPr>
          </w:p>
        </w:tc>
        <w:tc>
          <w:tcPr>
            <w:tcW w:w="664" w:type="dxa"/>
            <w:tcBorders>
              <w:top w:val="single" w:color="auto" w:sz="4" w:space="0"/>
              <w:left w:val="single" w:color="auto" w:sz="4" w:space="0"/>
              <w:bottom w:val="single" w:color="auto" w:sz="4" w:space="0"/>
              <w:right w:val="single" w:color="auto" w:sz="4" w:space="0"/>
            </w:tcBorders>
          </w:tcPr>
          <w:p w14:paraId="23405E2D">
            <w:pPr>
              <w:jc w:val="center"/>
              <w:rPr>
                <w:rFonts w:ascii="Arial" w:hAnsi="Arial" w:cs="Arial"/>
                <w:szCs w:val="21"/>
              </w:rPr>
            </w:pPr>
          </w:p>
        </w:tc>
        <w:tc>
          <w:tcPr>
            <w:tcW w:w="654" w:type="dxa"/>
            <w:tcBorders>
              <w:top w:val="single" w:color="auto" w:sz="4" w:space="0"/>
              <w:left w:val="single" w:color="auto" w:sz="4" w:space="0"/>
              <w:bottom w:val="single" w:color="auto" w:sz="4" w:space="0"/>
              <w:right w:val="single" w:color="auto" w:sz="4" w:space="0"/>
            </w:tcBorders>
          </w:tcPr>
          <w:p w14:paraId="7769A84E">
            <w:pPr>
              <w:jc w:val="center"/>
              <w:rPr>
                <w:rFonts w:ascii="Arial" w:hAnsi="Arial" w:cs="Arial"/>
                <w:szCs w:val="21"/>
              </w:rPr>
            </w:pPr>
          </w:p>
        </w:tc>
        <w:tc>
          <w:tcPr>
            <w:tcW w:w="968" w:type="dxa"/>
            <w:tcBorders>
              <w:top w:val="single" w:color="auto" w:sz="4" w:space="0"/>
              <w:left w:val="single" w:color="auto" w:sz="4" w:space="0"/>
              <w:bottom w:val="single" w:color="auto" w:sz="4" w:space="0"/>
              <w:right w:val="single" w:color="auto" w:sz="4" w:space="0"/>
            </w:tcBorders>
          </w:tcPr>
          <w:p w14:paraId="2B6AAEE0">
            <w:pPr>
              <w:jc w:val="center"/>
              <w:rPr>
                <w:rFonts w:ascii="Arial" w:hAnsi="Arial" w:cs="Arial"/>
                <w:szCs w:val="21"/>
              </w:rPr>
            </w:pPr>
          </w:p>
        </w:tc>
        <w:tc>
          <w:tcPr>
            <w:tcW w:w="850" w:type="dxa"/>
            <w:tcBorders>
              <w:top w:val="single" w:color="auto" w:sz="4" w:space="0"/>
              <w:left w:val="single" w:color="auto" w:sz="4" w:space="0"/>
              <w:bottom w:val="single" w:color="auto" w:sz="4" w:space="0"/>
              <w:right w:val="single" w:color="auto" w:sz="4" w:space="0"/>
            </w:tcBorders>
          </w:tcPr>
          <w:p w14:paraId="36C388A3">
            <w:pPr>
              <w:jc w:val="center"/>
              <w:rPr>
                <w:rFonts w:ascii="Arial" w:hAnsi="Arial" w:cs="Arial"/>
                <w:szCs w:val="21"/>
              </w:rPr>
            </w:pPr>
          </w:p>
        </w:tc>
        <w:tc>
          <w:tcPr>
            <w:tcW w:w="851" w:type="dxa"/>
            <w:tcBorders>
              <w:top w:val="single" w:color="auto" w:sz="4" w:space="0"/>
              <w:left w:val="single" w:color="auto" w:sz="4" w:space="0"/>
              <w:bottom w:val="single" w:color="auto" w:sz="4" w:space="0"/>
              <w:right w:val="single" w:color="auto" w:sz="4" w:space="0"/>
            </w:tcBorders>
          </w:tcPr>
          <w:p w14:paraId="065DB713">
            <w:pPr>
              <w:jc w:val="center"/>
              <w:rPr>
                <w:rFonts w:ascii="Arial" w:hAnsi="Arial" w:cs="Arial"/>
                <w:szCs w:val="21"/>
              </w:rPr>
            </w:pPr>
          </w:p>
        </w:tc>
        <w:tc>
          <w:tcPr>
            <w:tcW w:w="997" w:type="dxa"/>
            <w:tcBorders>
              <w:top w:val="single" w:color="auto" w:sz="4" w:space="0"/>
              <w:left w:val="single" w:color="auto" w:sz="4" w:space="0"/>
              <w:bottom w:val="single" w:color="auto" w:sz="4" w:space="0"/>
              <w:right w:val="single" w:color="auto" w:sz="4" w:space="0"/>
            </w:tcBorders>
          </w:tcPr>
          <w:p w14:paraId="54450FEB">
            <w:pPr>
              <w:jc w:val="center"/>
              <w:rPr>
                <w:rFonts w:ascii="Arial" w:hAnsi="Arial" w:cs="Arial"/>
                <w:szCs w:val="21"/>
              </w:rPr>
            </w:pPr>
          </w:p>
        </w:tc>
        <w:tc>
          <w:tcPr>
            <w:tcW w:w="1091" w:type="dxa"/>
            <w:tcBorders>
              <w:top w:val="single" w:color="auto" w:sz="4" w:space="0"/>
              <w:left w:val="single" w:color="auto" w:sz="4" w:space="0"/>
              <w:bottom w:val="single" w:color="auto" w:sz="4" w:space="0"/>
              <w:right w:val="single" w:color="auto" w:sz="4" w:space="0"/>
            </w:tcBorders>
          </w:tcPr>
          <w:p w14:paraId="7880972A">
            <w:pPr>
              <w:jc w:val="center"/>
              <w:rPr>
                <w:rFonts w:ascii="Arial" w:hAnsi="Arial" w:cs="Arial"/>
                <w:szCs w:val="21"/>
              </w:rPr>
            </w:pPr>
          </w:p>
        </w:tc>
      </w:tr>
      <w:tr w14:paraId="2A205B6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95" w:hRule="atLeast"/>
          <w:jc w:val="center"/>
        </w:trPr>
        <w:tc>
          <w:tcPr>
            <w:tcW w:w="2148" w:type="dxa"/>
            <w:tcBorders>
              <w:top w:val="single" w:color="auto" w:sz="4" w:space="0"/>
              <w:left w:val="single" w:color="auto" w:sz="4" w:space="0"/>
              <w:bottom w:val="single" w:color="auto" w:sz="4" w:space="0"/>
              <w:right w:val="single" w:color="auto" w:sz="4" w:space="0"/>
            </w:tcBorders>
            <w:vAlign w:val="center"/>
          </w:tcPr>
          <w:p w14:paraId="0238DFB0">
            <w:pPr>
              <w:jc w:val="center"/>
              <w:rPr>
                <w:rFonts w:ascii="Arial" w:hAnsi="Arial" w:cs="Arial"/>
                <w:szCs w:val="21"/>
              </w:rPr>
            </w:pPr>
            <w:r>
              <w:rPr>
                <w:rFonts w:hint="eastAsia"/>
              </w:rPr>
              <w:t>人力行政管理部</w:t>
            </w:r>
          </w:p>
        </w:tc>
        <w:tc>
          <w:tcPr>
            <w:tcW w:w="682" w:type="dxa"/>
            <w:tcBorders>
              <w:top w:val="single" w:color="auto" w:sz="4" w:space="0"/>
              <w:left w:val="single" w:color="auto" w:sz="4" w:space="0"/>
              <w:bottom w:val="single" w:color="auto" w:sz="4" w:space="0"/>
              <w:right w:val="single" w:color="auto" w:sz="4" w:space="0"/>
            </w:tcBorders>
          </w:tcPr>
          <w:p w14:paraId="5AEA23E6">
            <w:pPr>
              <w:jc w:val="center"/>
              <w:rPr>
                <w:rFonts w:ascii="Arial" w:hAnsi="Arial" w:cs="Arial"/>
                <w:szCs w:val="21"/>
              </w:rPr>
            </w:pPr>
          </w:p>
        </w:tc>
        <w:tc>
          <w:tcPr>
            <w:tcW w:w="687" w:type="dxa"/>
            <w:tcBorders>
              <w:top w:val="single" w:color="auto" w:sz="4" w:space="0"/>
              <w:left w:val="single" w:color="auto" w:sz="4" w:space="0"/>
              <w:bottom w:val="single" w:color="auto" w:sz="4" w:space="0"/>
              <w:right w:val="single" w:color="auto" w:sz="4" w:space="0"/>
            </w:tcBorders>
            <w:vAlign w:val="center"/>
          </w:tcPr>
          <w:p w14:paraId="63701AE7">
            <w:pPr>
              <w:jc w:val="center"/>
              <w:rPr>
                <w:rFonts w:ascii="Arial" w:hAnsi="Arial" w:cs="Arial"/>
                <w:szCs w:val="21"/>
              </w:rPr>
            </w:pPr>
          </w:p>
        </w:tc>
        <w:tc>
          <w:tcPr>
            <w:tcW w:w="664" w:type="dxa"/>
            <w:tcBorders>
              <w:top w:val="single" w:color="auto" w:sz="4" w:space="0"/>
              <w:left w:val="single" w:color="auto" w:sz="4" w:space="0"/>
              <w:bottom w:val="single" w:color="auto" w:sz="4" w:space="0"/>
              <w:right w:val="single" w:color="auto" w:sz="4" w:space="0"/>
            </w:tcBorders>
          </w:tcPr>
          <w:p w14:paraId="5EC4F36C">
            <w:pPr>
              <w:jc w:val="center"/>
              <w:rPr>
                <w:rFonts w:ascii="Arial" w:hAnsi="Arial" w:cs="Arial"/>
                <w:szCs w:val="21"/>
              </w:rPr>
            </w:pPr>
          </w:p>
        </w:tc>
        <w:tc>
          <w:tcPr>
            <w:tcW w:w="654" w:type="dxa"/>
            <w:tcBorders>
              <w:top w:val="single" w:color="auto" w:sz="4" w:space="0"/>
              <w:left w:val="single" w:color="auto" w:sz="4" w:space="0"/>
              <w:bottom w:val="single" w:color="auto" w:sz="4" w:space="0"/>
              <w:right w:val="single" w:color="auto" w:sz="4" w:space="0"/>
            </w:tcBorders>
          </w:tcPr>
          <w:p w14:paraId="44BB5877">
            <w:pPr>
              <w:jc w:val="center"/>
              <w:rPr>
                <w:rFonts w:ascii="Arial" w:hAnsi="Arial" w:cs="Arial"/>
                <w:szCs w:val="21"/>
              </w:rPr>
            </w:pPr>
          </w:p>
        </w:tc>
        <w:tc>
          <w:tcPr>
            <w:tcW w:w="968" w:type="dxa"/>
            <w:tcBorders>
              <w:top w:val="single" w:color="auto" w:sz="4" w:space="0"/>
              <w:left w:val="single" w:color="auto" w:sz="4" w:space="0"/>
              <w:bottom w:val="single" w:color="auto" w:sz="4" w:space="0"/>
              <w:right w:val="single" w:color="auto" w:sz="4" w:space="0"/>
            </w:tcBorders>
          </w:tcPr>
          <w:p w14:paraId="623DAC17">
            <w:pPr>
              <w:jc w:val="center"/>
              <w:rPr>
                <w:rFonts w:ascii="Arial" w:hAnsi="Arial" w:cs="Arial"/>
                <w:szCs w:val="21"/>
              </w:rPr>
            </w:pPr>
          </w:p>
        </w:tc>
        <w:tc>
          <w:tcPr>
            <w:tcW w:w="850" w:type="dxa"/>
            <w:tcBorders>
              <w:top w:val="single" w:color="auto" w:sz="4" w:space="0"/>
              <w:left w:val="single" w:color="auto" w:sz="4" w:space="0"/>
              <w:bottom w:val="single" w:color="auto" w:sz="4" w:space="0"/>
              <w:right w:val="single" w:color="auto" w:sz="4" w:space="0"/>
            </w:tcBorders>
          </w:tcPr>
          <w:p w14:paraId="72FFC68B">
            <w:pPr>
              <w:jc w:val="center"/>
              <w:rPr>
                <w:rFonts w:ascii="Arial" w:hAnsi="Arial" w:cs="Arial"/>
                <w:szCs w:val="21"/>
              </w:rPr>
            </w:pPr>
          </w:p>
        </w:tc>
        <w:tc>
          <w:tcPr>
            <w:tcW w:w="851" w:type="dxa"/>
            <w:tcBorders>
              <w:top w:val="single" w:color="auto" w:sz="4" w:space="0"/>
              <w:left w:val="single" w:color="auto" w:sz="4" w:space="0"/>
              <w:bottom w:val="single" w:color="auto" w:sz="4" w:space="0"/>
              <w:right w:val="single" w:color="auto" w:sz="4" w:space="0"/>
            </w:tcBorders>
          </w:tcPr>
          <w:p w14:paraId="5970BAAE">
            <w:pPr>
              <w:jc w:val="center"/>
              <w:rPr>
                <w:rFonts w:ascii="Arial" w:hAnsi="Arial" w:cs="Arial"/>
                <w:szCs w:val="21"/>
              </w:rPr>
            </w:pPr>
          </w:p>
        </w:tc>
        <w:tc>
          <w:tcPr>
            <w:tcW w:w="997" w:type="dxa"/>
            <w:tcBorders>
              <w:top w:val="single" w:color="auto" w:sz="4" w:space="0"/>
              <w:left w:val="single" w:color="auto" w:sz="4" w:space="0"/>
              <w:bottom w:val="single" w:color="auto" w:sz="4" w:space="0"/>
              <w:right w:val="single" w:color="auto" w:sz="4" w:space="0"/>
            </w:tcBorders>
          </w:tcPr>
          <w:p w14:paraId="54B68C89">
            <w:pPr>
              <w:jc w:val="center"/>
              <w:rPr>
                <w:rFonts w:ascii="Arial" w:hAnsi="Arial" w:cs="Arial"/>
                <w:szCs w:val="21"/>
              </w:rPr>
            </w:pPr>
          </w:p>
        </w:tc>
        <w:tc>
          <w:tcPr>
            <w:tcW w:w="1091" w:type="dxa"/>
            <w:tcBorders>
              <w:top w:val="single" w:color="auto" w:sz="4" w:space="0"/>
              <w:left w:val="single" w:color="auto" w:sz="4" w:space="0"/>
              <w:bottom w:val="single" w:color="auto" w:sz="4" w:space="0"/>
              <w:right w:val="single" w:color="auto" w:sz="4" w:space="0"/>
            </w:tcBorders>
          </w:tcPr>
          <w:p w14:paraId="7A3A501D">
            <w:pPr>
              <w:jc w:val="center"/>
              <w:rPr>
                <w:rFonts w:ascii="Arial" w:hAnsi="Arial" w:cs="Arial"/>
                <w:szCs w:val="21"/>
              </w:rPr>
            </w:pPr>
          </w:p>
        </w:tc>
      </w:tr>
      <w:tr w14:paraId="7907E8D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95" w:hRule="atLeast"/>
          <w:jc w:val="center"/>
        </w:trPr>
        <w:tc>
          <w:tcPr>
            <w:tcW w:w="2148" w:type="dxa"/>
            <w:tcBorders>
              <w:top w:val="single" w:color="auto" w:sz="4" w:space="0"/>
              <w:left w:val="single" w:color="auto" w:sz="4" w:space="0"/>
              <w:bottom w:val="single" w:color="auto" w:sz="4" w:space="0"/>
              <w:right w:val="single" w:color="auto" w:sz="4" w:space="0"/>
            </w:tcBorders>
            <w:vAlign w:val="center"/>
          </w:tcPr>
          <w:p w14:paraId="365F436E">
            <w:pPr>
              <w:jc w:val="center"/>
              <w:rPr>
                <w:rFonts w:ascii="Arial" w:hAnsi="Arial" w:cs="Arial"/>
                <w:szCs w:val="21"/>
              </w:rPr>
            </w:pPr>
            <w:r>
              <w:rPr>
                <w:rFonts w:hint="eastAsia"/>
              </w:rPr>
              <w:t>药物警戒部</w:t>
            </w:r>
          </w:p>
        </w:tc>
        <w:tc>
          <w:tcPr>
            <w:tcW w:w="682" w:type="dxa"/>
            <w:tcBorders>
              <w:top w:val="single" w:color="auto" w:sz="4" w:space="0"/>
              <w:left w:val="single" w:color="auto" w:sz="4" w:space="0"/>
              <w:bottom w:val="single" w:color="auto" w:sz="4" w:space="0"/>
              <w:right w:val="single" w:color="auto" w:sz="4" w:space="0"/>
            </w:tcBorders>
          </w:tcPr>
          <w:p w14:paraId="7FAA9199">
            <w:pPr>
              <w:jc w:val="center"/>
              <w:rPr>
                <w:rFonts w:ascii="Arial" w:hAnsi="Arial" w:cs="Arial"/>
                <w:szCs w:val="21"/>
              </w:rPr>
            </w:pPr>
          </w:p>
        </w:tc>
        <w:tc>
          <w:tcPr>
            <w:tcW w:w="687" w:type="dxa"/>
            <w:tcBorders>
              <w:top w:val="single" w:color="auto" w:sz="4" w:space="0"/>
              <w:left w:val="single" w:color="auto" w:sz="4" w:space="0"/>
              <w:bottom w:val="single" w:color="auto" w:sz="4" w:space="0"/>
              <w:right w:val="single" w:color="auto" w:sz="4" w:space="0"/>
            </w:tcBorders>
            <w:vAlign w:val="center"/>
          </w:tcPr>
          <w:p w14:paraId="4DA09517">
            <w:pPr>
              <w:jc w:val="center"/>
              <w:rPr>
                <w:rFonts w:ascii="Arial" w:hAnsi="Arial" w:cs="Arial"/>
                <w:szCs w:val="21"/>
              </w:rPr>
            </w:pPr>
          </w:p>
        </w:tc>
        <w:tc>
          <w:tcPr>
            <w:tcW w:w="664" w:type="dxa"/>
            <w:tcBorders>
              <w:top w:val="single" w:color="auto" w:sz="4" w:space="0"/>
              <w:left w:val="single" w:color="auto" w:sz="4" w:space="0"/>
              <w:bottom w:val="single" w:color="auto" w:sz="4" w:space="0"/>
              <w:right w:val="single" w:color="auto" w:sz="4" w:space="0"/>
            </w:tcBorders>
          </w:tcPr>
          <w:p w14:paraId="24846C99">
            <w:pPr>
              <w:jc w:val="center"/>
              <w:rPr>
                <w:rFonts w:ascii="Arial" w:hAnsi="Arial" w:cs="Arial"/>
                <w:szCs w:val="21"/>
              </w:rPr>
            </w:pPr>
          </w:p>
        </w:tc>
        <w:tc>
          <w:tcPr>
            <w:tcW w:w="654" w:type="dxa"/>
            <w:tcBorders>
              <w:top w:val="single" w:color="auto" w:sz="4" w:space="0"/>
              <w:left w:val="single" w:color="auto" w:sz="4" w:space="0"/>
              <w:bottom w:val="single" w:color="auto" w:sz="4" w:space="0"/>
              <w:right w:val="single" w:color="auto" w:sz="4" w:space="0"/>
            </w:tcBorders>
          </w:tcPr>
          <w:p w14:paraId="0746E9E0">
            <w:pPr>
              <w:jc w:val="center"/>
              <w:rPr>
                <w:rFonts w:ascii="Arial" w:hAnsi="Arial" w:cs="Arial"/>
                <w:szCs w:val="21"/>
              </w:rPr>
            </w:pPr>
          </w:p>
        </w:tc>
        <w:tc>
          <w:tcPr>
            <w:tcW w:w="968" w:type="dxa"/>
            <w:tcBorders>
              <w:top w:val="single" w:color="auto" w:sz="4" w:space="0"/>
              <w:left w:val="single" w:color="auto" w:sz="4" w:space="0"/>
              <w:bottom w:val="single" w:color="auto" w:sz="4" w:space="0"/>
              <w:right w:val="single" w:color="auto" w:sz="4" w:space="0"/>
            </w:tcBorders>
          </w:tcPr>
          <w:p w14:paraId="4686E402">
            <w:pPr>
              <w:jc w:val="center"/>
              <w:rPr>
                <w:rFonts w:ascii="Arial" w:hAnsi="Arial" w:cs="Arial"/>
                <w:szCs w:val="21"/>
              </w:rPr>
            </w:pPr>
          </w:p>
        </w:tc>
        <w:tc>
          <w:tcPr>
            <w:tcW w:w="850" w:type="dxa"/>
            <w:tcBorders>
              <w:top w:val="single" w:color="auto" w:sz="4" w:space="0"/>
              <w:left w:val="single" w:color="auto" w:sz="4" w:space="0"/>
              <w:bottom w:val="single" w:color="auto" w:sz="4" w:space="0"/>
              <w:right w:val="single" w:color="auto" w:sz="4" w:space="0"/>
            </w:tcBorders>
          </w:tcPr>
          <w:p w14:paraId="3FE5EBF4">
            <w:pPr>
              <w:jc w:val="center"/>
              <w:rPr>
                <w:rFonts w:ascii="Arial" w:hAnsi="Arial" w:cs="Arial"/>
                <w:szCs w:val="21"/>
              </w:rPr>
            </w:pPr>
          </w:p>
        </w:tc>
        <w:tc>
          <w:tcPr>
            <w:tcW w:w="851" w:type="dxa"/>
            <w:tcBorders>
              <w:top w:val="single" w:color="auto" w:sz="4" w:space="0"/>
              <w:left w:val="single" w:color="auto" w:sz="4" w:space="0"/>
              <w:bottom w:val="single" w:color="auto" w:sz="4" w:space="0"/>
              <w:right w:val="single" w:color="auto" w:sz="4" w:space="0"/>
            </w:tcBorders>
          </w:tcPr>
          <w:p w14:paraId="7299D790">
            <w:pPr>
              <w:jc w:val="center"/>
              <w:rPr>
                <w:rFonts w:ascii="Arial" w:hAnsi="Arial" w:cs="Arial"/>
                <w:szCs w:val="21"/>
              </w:rPr>
            </w:pPr>
          </w:p>
        </w:tc>
        <w:tc>
          <w:tcPr>
            <w:tcW w:w="997" w:type="dxa"/>
            <w:tcBorders>
              <w:top w:val="single" w:color="auto" w:sz="4" w:space="0"/>
              <w:left w:val="single" w:color="auto" w:sz="4" w:space="0"/>
              <w:bottom w:val="single" w:color="auto" w:sz="4" w:space="0"/>
              <w:right w:val="single" w:color="auto" w:sz="4" w:space="0"/>
            </w:tcBorders>
          </w:tcPr>
          <w:p w14:paraId="12EFAD0C">
            <w:pPr>
              <w:jc w:val="center"/>
              <w:rPr>
                <w:rFonts w:ascii="Arial" w:hAnsi="Arial" w:cs="Arial"/>
                <w:color w:val="000000"/>
                <w:szCs w:val="21"/>
              </w:rPr>
            </w:pPr>
          </w:p>
        </w:tc>
        <w:tc>
          <w:tcPr>
            <w:tcW w:w="1091" w:type="dxa"/>
            <w:tcBorders>
              <w:top w:val="single" w:color="auto" w:sz="4" w:space="0"/>
              <w:left w:val="single" w:color="auto" w:sz="4" w:space="0"/>
              <w:bottom w:val="single" w:color="auto" w:sz="4" w:space="0"/>
              <w:right w:val="single" w:color="auto" w:sz="4" w:space="0"/>
            </w:tcBorders>
          </w:tcPr>
          <w:p w14:paraId="0FCE510C">
            <w:pPr>
              <w:jc w:val="center"/>
              <w:rPr>
                <w:rFonts w:ascii="Arial" w:hAnsi="Arial" w:cs="Arial"/>
                <w:szCs w:val="21"/>
              </w:rPr>
            </w:pPr>
          </w:p>
        </w:tc>
      </w:tr>
      <w:tr w14:paraId="1179642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95" w:hRule="atLeast"/>
          <w:jc w:val="center"/>
        </w:trPr>
        <w:tc>
          <w:tcPr>
            <w:tcW w:w="2148" w:type="dxa"/>
            <w:tcBorders>
              <w:top w:val="single" w:color="auto" w:sz="4" w:space="0"/>
              <w:left w:val="single" w:color="auto" w:sz="4" w:space="0"/>
              <w:bottom w:val="single" w:color="auto" w:sz="4" w:space="0"/>
              <w:right w:val="single" w:color="auto" w:sz="4" w:space="0"/>
            </w:tcBorders>
            <w:vAlign w:val="center"/>
          </w:tcPr>
          <w:p w14:paraId="07383F8B">
            <w:pPr>
              <w:jc w:val="center"/>
              <w:rPr>
                <w:rFonts w:ascii="Arial" w:hAnsi="Arial" w:cs="Arial"/>
                <w:color w:val="000000"/>
                <w:kern w:val="0"/>
                <w:szCs w:val="21"/>
              </w:rPr>
            </w:pPr>
            <w:r>
              <w:rPr>
                <w:rFonts w:hint="eastAsia"/>
              </w:rPr>
              <w:t>3</w:t>
            </w:r>
            <w:r>
              <w:t>01</w:t>
            </w:r>
            <w:r>
              <w:rPr>
                <w:rFonts w:hint="eastAsia"/>
              </w:rPr>
              <w:t>车间</w:t>
            </w:r>
          </w:p>
        </w:tc>
        <w:tc>
          <w:tcPr>
            <w:tcW w:w="682" w:type="dxa"/>
            <w:tcBorders>
              <w:top w:val="single" w:color="auto" w:sz="4" w:space="0"/>
              <w:left w:val="single" w:color="auto" w:sz="4" w:space="0"/>
              <w:bottom w:val="single" w:color="auto" w:sz="4" w:space="0"/>
              <w:right w:val="single" w:color="auto" w:sz="4" w:space="0"/>
            </w:tcBorders>
          </w:tcPr>
          <w:p w14:paraId="13EA5B8A">
            <w:pPr>
              <w:jc w:val="center"/>
              <w:rPr>
                <w:rFonts w:ascii="Arial" w:hAnsi="Arial" w:cs="Arial"/>
                <w:szCs w:val="21"/>
              </w:rPr>
            </w:pPr>
          </w:p>
        </w:tc>
        <w:tc>
          <w:tcPr>
            <w:tcW w:w="687" w:type="dxa"/>
            <w:tcBorders>
              <w:top w:val="single" w:color="auto" w:sz="4" w:space="0"/>
              <w:left w:val="single" w:color="auto" w:sz="4" w:space="0"/>
              <w:bottom w:val="single" w:color="auto" w:sz="4" w:space="0"/>
              <w:right w:val="single" w:color="auto" w:sz="4" w:space="0"/>
            </w:tcBorders>
            <w:vAlign w:val="center"/>
          </w:tcPr>
          <w:p w14:paraId="20C67EC6">
            <w:pPr>
              <w:jc w:val="center"/>
              <w:rPr>
                <w:rFonts w:ascii="Arial" w:hAnsi="Arial" w:cs="Arial"/>
                <w:szCs w:val="21"/>
              </w:rPr>
            </w:pPr>
          </w:p>
        </w:tc>
        <w:tc>
          <w:tcPr>
            <w:tcW w:w="664" w:type="dxa"/>
            <w:tcBorders>
              <w:top w:val="single" w:color="auto" w:sz="4" w:space="0"/>
              <w:left w:val="single" w:color="auto" w:sz="4" w:space="0"/>
              <w:bottom w:val="single" w:color="auto" w:sz="4" w:space="0"/>
              <w:right w:val="single" w:color="auto" w:sz="4" w:space="0"/>
            </w:tcBorders>
          </w:tcPr>
          <w:p w14:paraId="79FA29E6">
            <w:pPr>
              <w:jc w:val="center"/>
              <w:rPr>
                <w:rFonts w:ascii="Arial" w:hAnsi="Arial" w:cs="Arial"/>
                <w:szCs w:val="21"/>
              </w:rPr>
            </w:pPr>
          </w:p>
        </w:tc>
        <w:tc>
          <w:tcPr>
            <w:tcW w:w="654" w:type="dxa"/>
            <w:tcBorders>
              <w:top w:val="single" w:color="auto" w:sz="4" w:space="0"/>
              <w:left w:val="single" w:color="auto" w:sz="4" w:space="0"/>
              <w:bottom w:val="single" w:color="auto" w:sz="4" w:space="0"/>
              <w:right w:val="single" w:color="auto" w:sz="4" w:space="0"/>
            </w:tcBorders>
          </w:tcPr>
          <w:p w14:paraId="0D2650B2">
            <w:pPr>
              <w:jc w:val="center"/>
              <w:rPr>
                <w:rFonts w:ascii="Arial" w:hAnsi="Arial" w:cs="Arial"/>
                <w:szCs w:val="21"/>
              </w:rPr>
            </w:pPr>
          </w:p>
        </w:tc>
        <w:tc>
          <w:tcPr>
            <w:tcW w:w="968" w:type="dxa"/>
            <w:tcBorders>
              <w:top w:val="single" w:color="auto" w:sz="4" w:space="0"/>
              <w:left w:val="single" w:color="auto" w:sz="4" w:space="0"/>
              <w:bottom w:val="single" w:color="auto" w:sz="4" w:space="0"/>
              <w:right w:val="single" w:color="auto" w:sz="4" w:space="0"/>
            </w:tcBorders>
          </w:tcPr>
          <w:p w14:paraId="11F2851F">
            <w:pPr>
              <w:jc w:val="center"/>
              <w:rPr>
                <w:rFonts w:ascii="Arial" w:hAnsi="Arial" w:cs="Arial"/>
                <w:szCs w:val="21"/>
              </w:rPr>
            </w:pPr>
          </w:p>
        </w:tc>
        <w:tc>
          <w:tcPr>
            <w:tcW w:w="850" w:type="dxa"/>
            <w:tcBorders>
              <w:top w:val="single" w:color="auto" w:sz="4" w:space="0"/>
              <w:left w:val="single" w:color="auto" w:sz="4" w:space="0"/>
              <w:bottom w:val="single" w:color="auto" w:sz="4" w:space="0"/>
              <w:right w:val="single" w:color="auto" w:sz="4" w:space="0"/>
            </w:tcBorders>
          </w:tcPr>
          <w:p w14:paraId="1FE9C28A">
            <w:pPr>
              <w:jc w:val="center"/>
              <w:rPr>
                <w:rFonts w:ascii="Arial" w:hAnsi="Arial" w:cs="Arial"/>
                <w:szCs w:val="21"/>
              </w:rPr>
            </w:pPr>
          </w:p>
        </w:tc>
        <w:tc>
          <w:tcPr>
            <w:tcW w:w="851" w:type="dxa"/>
            <w:tcBorders>
              <w:top w:val="single" w:color="auto" w:sz="4" w:space="0"/>
              <w:left w:val="single" w:color="auto" w:sz="4" w:space="0"/>
              <w:bottom w:val="single" w:color="auto" w:sz="4" w:space="0"/>
              <w:right w:val="single" w:color="auto" w:sz="4" w:space="0"/>
            </w:tcBorders>
          </w:tcPr>
          <w:p w14:paraId="65D8FE86">
            <w:pPr>
              <w:jc w:val="center"/>
              <w:rPr>
                <w:rFonts w:ascii="Arial" w:hAnsi="Arial" w:cs="Arial"/>
                <w:szCs w:val="21"/>
              </w:rPr>
            </w:pPr>
          </w:p>
        </w:tc>
        <w:tc>
          <w:tcPr>
            <w:tcW w:w="997" w:type="dxa"/>
            <w:tcBorders>
              <w:top w:val="single" w:color="auto" w:sz="4" w:space="0"/>
              <w:left w:val="single" w:color="auto" w:sz="4" w:space="0"/>
              <w:bottom w:val="single" w:color="auto" w:sz="4" w:space="0"/>
              <w:right w:val="single" w:color="auto" w:sz="4" w:space="0"/>
            </w:tcBorders>
          </w:tcPr>
          <w:p w14:paraId="50A94514">
            <w:pPr>
              <w:jc w:val="center"/>
              <w:rPr>
                <w:rFonts w:ascii="Arial" w:hAnsi="Arial" w:cs="Arial"/>
                <w:color w:val="000000"/>
                <w:szCs w:val="21"/>
              </w:rPr>
            </w:pPr>
          </w:p>
        </w:tc>
        <w:tc>
          <w:tcPr>
            <w:tcW w:w="1091" w:type="dxa"/>
            <w:tcBorders>
              <w:top w:val="single" w:color="auto" w:sz="4" w:space="0"/>
              <w:left w:val="single" w:color="auto" w:sz="4" w:space="0"/>
              <w:bottom w:val="single" w:color="auto" w:sz="4" w:space="0"/>
              <w:right w:val="single" w:color="auto" w:sz="4" w:space="0"/>
            </w:tcBorders>
          </w:tcPr>
          <w:p w14:paraId="08CBE769">
            <w:pPr>
              <w:jc w:val="center"/>
              <w:rPr>
                <w:rFonts w:ascii="Arial" w:hAnsi="Arial" w:cs="Arial"/>
                <w:szCs w:val="21"/>
              </w:rPr>
            </w:pPr>
          </w:p>
        </w:tc>
      </w:tr>
      <w:tr w14:paraId="608DE09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95" w:hRule="atLeast"/>
          <w:jc w:val="center"/>
        </w:trPr>
        <w:tc>
          <w:tcPr>
            <w:tcW w:w="2148" w:type="dxa"/>
            <w:tcBorders>
              <w:top w:val="single" w:color="auto" w:sz="4" w:space="0"/>
              <w:left w:val="single" w:color="auto" w:sz="4" w:space="0"/>
              <w:bottom w:val="single" w:color="auto" w:sz="4" w:space="0"/>
              <w:right w:val="single" w:color="auto" w:sz="4" w:space="0"/>
            </w:tcBorders>
            <w:vAlign w:val="center"/>
          </w:tcPr>
          <w:p w14:paraId="79036702">
            <w:pPr>
              <w:jc w:val="center"/>
              <w:rPr>
                <w:rFonts w:ascii="Arial" w:hAnsi="Arial" w:cs="Arial"/>
                <w:color w:val="000000"/>
                <w:kern w:val="0"/>
                <w:szCs w:val="21"/>
              </w:rPr>
            </w:pPr>
            <w:r>
              <w:rPr>
                <w:rFonts w:hint="eastAsia"/>
              </w:rPr>
              <w:t>合成车间</w:t>
            </w:r>
          </w:p>
        </w:tc>
        <w:tc>
          <w:tcPr>
            <w:tcW w:w="682" w:type="dxa"/>
            <w:tcBorders>
              <w:top w:val="single" w:color="auto" w:sz="4" w:space="0"/>
              <w:left w:val="single" w:color="auto" w:sz="4" w:space="0"/>
              <w:bottom w:val="single" w:color="auto" w:sz="4" w:space="0"/>
              <w:right w:val="single" w:color="auto" w:sz="4" w:space="0"/>
            </w:tcBorders>
          </w:tcPr>
          <w:p w14:paraId="12939ED5">
            <w:pPr>
              <w:jc w:val="center"/>
              <w:rPr>
                <w:rFonts w:ascii="Arial" w:hAnsi="Arial" w:cs="Arial"/>
                <w:szCs w:val="21"/>
              </w:rPr>
            </w:pPr>
          </w:p>
        </w:tc>
        <w:tc>
          <w:tcPr>
            <w:tcW w:w="687" w:type="dxa"/>
            <w:tcBorders>
              <w:top w:val="single" w:color="auto" w:sz="4" w:space="0"/>
              <w:left w:val="single" w:color="auto" w:sz="4" w:space="0"/>
              <w:bottom w:val="single" w:color="auto" w:sz="4" w:space="0"/>
              <w:right w:val="single" w:color="auto" w:sz="4" w:space="0"/>
            </w:tcBorders>
            <w:vAlign w:val="center"/>
          </w:tcPr>
          <w:p w14:paraId="44410275">
            <w:pPr>
              <w:jc w:val="center"/>
              <w:rPr>
                <w:rFonts w:ascii="Arial" w:hAnsi="Arial" w:cs="Arial"/>
                <w:szCs w:val="21"/>
              </w:rPr>
            </w:pPr>
          </w:p>
        </w:tc>
        <w:tc>
          <w:tcPr>
            <w:tcW w:w="664" w:type="dxa"/>
            <w:tcBorders>
              <w:top w:val="single" w:color="auto" w:sz="4" w:space="0"/>
              <w:left w:val="single" w:color="auto" w:sz="4" w:space="0"/>
              <w:bottom w:val="single" w:color="auto" w:sz="4" w:space="0"/>
              <w:right w:val="single" w:color="auto" w:sz="4" w:space="0"/>
            </w:tcBorders>
          </w:tcPr>
          <w:p w14:paraId="0D081B5F">
            <w:pPr>
              <w:jc w:val="center"/>
              <w:rPr>
                <w:rFonts w:ascii="Arial" w:hAnsi="Arial" w:cs="Arial"/>
                <w:szCs w:val="21"/>
              </w:rPr>
            </w:pPr>
          </w:p>
        </w:tc>
        <w:tc>
          <w:tcPr>
            <w:tcW w:w="654" w:type="dxa"/>
            <w:tcBorders>
              <w:top w:val="single" w:color="auto" w:sz="4" w:space="0"/>
              <w:left w:val="single" w:color="auto" w:sz="4" w:space="0"/>
              <w:bottom w:val="single" w:color="auto" w:sz="4" w:space="0"/>
              <w:right w:val="single" w:color="auto" w:sz="4" w:space="0"/>
            </w:tcBorders>
          </w:tcPr>
          <w:p w14:paraId="0B0ECF53">
            <w:pPr>
              <w:jc w:val="center"/>
              <w:rPr>
                <w:rFonts w:ascii="Arial" w:hAnsi="Arial" w:cs="Arial"/>
                <w:szCs w:val="21"/>
              </w:rPr>
            </w:pPr>
          </w:p>
        </w:tc>
        <w:tc>
          <w:tcPr>
            <w:tcW w:w="968" w:type="dxa"/>
            <w:tcBorders>
              <w:top w:val="single" w:color="auto" w:sz="4" w:space="0"/>
              <w:left w:val="single" w:color="auto" w:sz="4" w:space="0"/>
              <w:bottom w:val="single" w:color="auto" w:sz="4" w:space="0"/>
              <w:right w:val="single" w:color="auto" w:sz="4" w:space="0"/>
            </w:tcBorders>
          </w:tcPr>
          <w:p w14:paraId="52346563">
            <w:pPr>
              <w:jc w:val="center"/>
              <w:rPr>
                <w:rFonts w:ascii="Arial" w:hAnsi="Arial" w:cs="Arial"/>
                <w:szCs w:val="21"/>
              </w:rPr>
            </w:pPr>
          </w:p>
        </w:tc>
        <w:tc>
          <w:tcPr>
            <w:tcW w:w="850" w:type="dxa"/>
            <w:tcBorders>
              <w:top w:val="single" w:color="auto" w:sz="4" w:space="0"/>
              <w:left w:val="single" w:color="auto" w:sz="4" w:space="0"/>
              <w:bottom w:val="single" w:color="auto" w:sz="4" w:space="0"/>
              <w:right w:val="single" w:color="auto" w:sz="4" w:space="0"/>
            </w:tcBorders>
          </w:tcPr>
          <w:p w14:paraId="3F2276AF">
            <w:pPr>
              <w:jc w:val="center"/>
              <w:rPr>
                <w:rFonts w:ascii="Arial" w:hAnsi="Arial" w:cs="Arial"/>
                <w:szCs w:val="21"/>
              </w:rPr>
            </w:pPr>
          </w:p>
        </w:tc>
        <w:tc>
          <w:tcPr>
            <w:tcW w:w="851" w:type="dxa"/>
            <w:tcBorders>
              <w:top w:val="single" w:color="auto" w:sz="4" w:space="0"/>
              <w:left w:val="single" w:color="auto" w:sz="4" w:space="0"/>
              <w:bottom w:val="single" w:color="auto" w:sz="4" w:space="0"/>
              <w:right w:val="single" w:color="auto" w:sz="4" w:space="0"/>
            </w:tcBorders>
          </w:tcPr>
          <w:p w14:paraId="282FEABF">
            <w:pPr>
              <w:jc w:val="center"/>
              <w:rPr>
                <w:rFonts w:ascii="Arial" w:hAnsi="Arial" w:cs="Arial"/>
                <w:szCs w:val="21"/>
              </w:rPr>
            </w:pPr>
          </w:p>
        </w:tc>
        <w:tc>
          <w:tcPr>
            <w:tcW w:w="997" w:type="dxa"/>
            <w:tcBorders>
              <w:top w:val="single" w:color="auto" w:sz="4" w:space="0"/>
              <w:left w:val="single" w:color="auto" w:sz="4" w:space="0"/>
              <w:bottom w:val="single" w:color="auto" w:sz="4" w:space="0"/>
              <w:right w:val="single" w:color="auto" w:sz="4" w:space="0"/>
            </w:tcBorders>
          </w:tcPr>
          <w:p w14:paraId="514D6CB0">
            <w:pPr>
              <w:jc w:val="center"/>
              <w:rPr>
                <w:rFonts w:ascii="Arial" w:hAnsi="Arial" w:cs="Arial"/>
                <w:color w:val="000000"/>
                <w:szCs w:val="21"/>
              </w:rPr>
            </w:pPr>
          </w:p>
        </w:tc>
        <w:tc>
          <w:tcPr>
            <w:tcW w:w="1091" w:type="dxa"/>
            <w:tcBorders>
              <w:top w:val="single" w:color="auto" w:sz="4" w:space="0"/>
              <w:left w:val="single" w:color="auto" w:sz="4" w:space="0"/>
              <w:bottom w:val="single" w:color="auto" w:sz="4" w:space="0"/>
              <w:right w:val="single" w:color="auto" w:sz="4" w:space="0"/>
            </w:tcBorders>
          </w:tcPr>
          <w:p w14:paraId="224F8AD5">
            <w:pPr>
              <w:jc w:val="center"/>
              <w:rPr>
                <w:rFonts w:ascii="Arial" w:hAnsi="Arial" w:cs="Arial"/>
                <w:szCs w:val="21"/>
              </w:rPr>
            </w:pPr>
          </w:p>
        </w:tc>
      </w:tr>
      <w:tr w14:paraId="4D19C9E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95" w:hRule="atLeast"/>
          <w:jc w:val="center"/>
        </w:trPr>
        <w:tc>
          <w:tcPr>
            <w:tcW w:w="2148" w:type="dxa"/>
            <w:tcBorders>
              <w:top w:val="single" w:color="auto" w:sz="4" w:space="0"/>
              <w:left w:val="single" w:color="auto" w:sz="4" w:space="0"/>
              <w:bottom w:val="single" w:color="auto" w:sz="4" w:space="0"/>
              <w:right w:val="single" w:color="auto" w:sz="4" w:space="0"/>
            </w:tcBorders>
            <w:vAlign w:val="center"/>
          </w:tcPr>
          <w:p w14:paraId="3DEF2C66">
            <w:pPr>
              <w:jc w:val="center"/>
              <w:rPr>
                <w:rFonts w:ascii="Arial" w:hAnsi="Arial" w:cs="Arial"/>
                <w:color w:val="000000"/>
                <w:kern w:val="0"/>
                <w:szCs w:val="21"/>
              </w:rPr>
            </w:pPr>
            <w:r>
              <w:rPr>
                <w:rFonts w:hint="eastAsia"/>
              </w:rPr>
              <w:t>工程设备部</w:t>
            </w:r>
          </w:p>
        </w:tc>
        <w:tc>
          <w:tcPr>
            <w:tcW w:w="682" w:type="dxa"/>
            <w:tcBorders>
              <w:top w:val="single" w:color="auto" w:sz="4" w:space="0"/>
              <w:left w:val="single" w:color="auto" w:sz="4" w:space="0"/>
              <w:bottom w:val="single" w:color="auto" w:sz="4" w:space="0"/>
              <w:right w:val="single" w:color="auto" w:sz="4" w:space="0"/>
            </w:tcBorders>
          </w:tcPr>
          <w:p w14:paraId="1B870977">
            <w:pPr>
              <w:jc w:val="center"/>
              <w:rPr>
                <w:rFonts w:ascii="Arial" w:hAnsi="Arial" w:cs="Arial"/>
                <w:szCs w:val="21"/>
              </w:rPr>
            </w:pPr>
          </w:p>
        </w:tc>
        <w:tc>
          <w:tcPr>
            <w:tcW w:w="687" w:type="dxa"/>
            <w:tcBorders>
              <w:top w:val="single" w:color="auto" w:sz="4" w:space="0"/>
              <w:left w:val="single" w:color="auto" w:sz="4" w:space="0"/>
              <w:bottom w:val="single" w:color="auto" w:sz="4" w:space="0"/>
              <w:right w:val="single" w:color="auto" w:sz="4" w:space="0"/>
            </w:tcBorders>
            <w:vAlign w:val="center"/>
          </w:tcPr>
          <w:p w14:paraId="2682EDDA">
            <w:pPr>
              <w:jc w:val="center"/>
              <w:rPr>
                <w:rFonts w:ascii="Arial" w:hAnsi="Arial" w:cs="Arial"/>
                <w:szCs w:val="21"/>
              </w:rPr>
            </w:pPr>
          </w:p>
        </w:tc>
        <w:tc>
          <w:tcPr>
            <w:tcW w:w="664" w:type="dxa"/>
            <w:tcBorders>
              <w:top w:val="single" w:color="auto" w:sz="4" w:space="0"/>
              <w:left w:val="single" w:color="auto" w:sz="4" w:space="0"/>
              <w:bottom w:val="single" w:color="auto" w:sz="4" w:space="0"/>
              <w:right w:val="single" w:color="auto" w:sz="4" w:space="0"/>
            </w:tcBorders>
          </w:tcPr>
          <w:p w14:paraId="07EB92F3">
            <w:pPr>
              <w:jc w:val="center"/>
              <w:rPr>
                <w:rFonts w:ascii="Arial" w:hAnsi="Arial" w:cs="Arial"/>
                <w:szCs w:val="21"/>
              </w:rPr>
            </w:pPr>
          </w:p>
        </w:tc>
        <w:tc>
          <w:tcPr>
            <w:tcW w:w="654" w:type="dxa"/>
            <w:tcBorders>
              <w:top w:val="single" w:color="auto" w:sz="4" w:space="0"/>
              <w:left w:val="single" w:color="auto" w:sz="4" w:space="0"/>
              <w:bottom w:val="single" w:color="auto" w:sz="4" w:space="0"/>
              <w:right w:val="single" w:color="auto" w:sz="4" w:space="0"/>
            </w:tcBorders>
          </w:tcPr>
          <w:p w14:paraId="73712414">
            <w:pPr>
              <w:jc w:val="center"/>
              <w:rPr>
                <w:rFonts w:ascii="Arial" w:hAnsi="Arial" w:cs="Arial"/>
                <w:szCs w:val="21"/>
              </w:rPr>
            </w:pPr>
          </w:p>
        </w:tc>
        <w:tc>
          <w:tcPr>
            <w:tcW w:w="968" w:type="dxa"/>
            <w:tcBorders>
              <w:top w:val="single" w:color="auto" w:sz="4" w:space="0"/>
              <w:left w:val="single" w:color="auto" w:sz="4" w:space="0"/>
              <w:bottom w:val="single" w:color="auto" w:sz="4" w:space="0"/>
              <w:right w:val="single" w:color="auto" w:sz="4" w:space="0"/>
            </w:tcBorders>
          </w:tcPr>
          <w:p w14:paraId="56820F1F">
            <w:pPr>
              <w:jc w:val="center"/>
              <w:rPr>
                <w:rFonts w:ascii="Arial" w:hAnsi="Arial" w:cs="Arial"/>
                <w:szCs w:val="21"/>
              </w:rPr>
            </w:pPr>
          </w:p>
        </w:tc>
        <w:tc>
          <w:tcPr>
            <w:tcW w:w="850" w:type="dxa"/>
            <w:tcBorders>
              <w:top w:val="single" w:color="auto" w:sz="4" w:space="0"/>
              <w:left w:val="single" w:color="auto" w:sz="4" w:space="0"/>
              <w:bottom w:val="single" w:color="auto" w:sz="4" w:space="0"/>
              <w:right w:val="single" w:color="auto" w:sz="4" w:space="0"/>
            </w:tcBorders>
          </w:tcPr>
          <w:p w14:paraId="568AFBD7">
            <w:pPr>
              <w:jc w:val="center"/>
              <w:rPr>
                <w:rFonts w:ascii="Arial" w:hAnsi="Arial" w:cs="Arial"/>
                <w:szCs w:val="21"/>
              </w:rPr>
            </w:pPr>
          </w:p>
        </w:tc>
        <w:tc>
          <w:tcPr>
            <w:tcW w:w="851" w:type="dxa"/>
            <w:tcBorders>
              <w:top w:val="single" w:color="auto" w:sz="4" w:space="0"/>
              <w:left w:val="single" w:color="auto" w:sz="4" w:space="0"/>
              <w:bottom w:val="single" w:color="auto" w:sz="4" w:space="0"/>
              <w:right w:val="single" w:color="auto" w:sz="4" w:space="0"/>
            </w:tcBorders>
          </w:tcPr>
          <w:p w14:paraId="2CEC504E">
            <w:pPr>
              <w:jc w:val="center"/>
              <w:rPr>
                <w:rFonts w:ascii="Arial" w:hAnsi="Arial" w:cs="Arial"/>
                <w:szCs w:val="21"/>
              </w:rPr>
            </w:pPr>
          </w:p>
        </w:tc>
        <w:tc>
          <w:tcPr>
            <w:tcW w:w="997" w:type="dxa"/>
            <w:tcBorders>
              <w:top w:val="single" w:color="auto" w:sz="4" w:space="0"/>
              <w:left w:val="single" w:color="auto" w:sz="4" w:space="0"/>
              <w:bottom w:val="single" w:color="auto" w:sz="4" w:space="0"/>
              <w:right w:val="single" w:color="auto" w:sz="4" w:space="0"/>
            </w:tcBorders>
          </w:tcPr>
          <w:p w14:paraId="00D19B14">
            <w:pPr>
              <w:jc w:val="center"/>
              <w:rPr>
                <w:rFonts w:ascii="Arial" w:hAnsi="Arial" w:cs="Arial"/>
                <w:color w:val="000000"/>
                <w:szCs w:val="21"/>
              </w:rPr>
            </w:pPr>
          </w:p>
        </w:tc>
        <w:tc>
          <w:tcPr>
            <w:tcW w:w="1091" w:type="dxa"/>
            <w:tcBorders>
              <w:top w:val="single" w:color="auto" w:sz="4" w:space="0"/>
              <w:left w:val="single" w:color="auto" w:sz="4" w:space="0"/>
              <w:bottom w:val="single" w:color="auto" w:sz="4" w:space="0"/>
              <w:right w:val="single" w:color="auto" w:sz="4" w:space="0"/>
            </w:tcBorders>
          </w:tcPr>
          <w:p w14:paraId="04370079">
            <w:pPr>
              <w:jc w:val="center"/>
              <w:rPr>
                <w:rFonts w:ascii="Arial" w:hAnsi="Arial" w:cs="Arial"/>
                <w:szCs w:val="21"/>
              </w:rPr>
            </w:pPr>
          </w:p>
        </w:tc>
      </w:tr>
      <w:tr w14:paraId="2003CD1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95" w:hRule="atLeast"/>
          <w:jc w:val="center"/>
        </w:trPr>
        <w:tc>
          <w:tcPr>
            <w:tcW w:w="2148" w:type="dxa"/>
            <w:tcBorders>
              <w:top w:val="single" w:color="auto" w:sz="4" w:space="0"/>
              <w:left w:val="single" w:color="auto" w:sz="4" w:space="0"/>
              <w:bottom w:val="single" w:color="auto" w:sz="4" w:space="0"/>
              <w:right w:val="single" w:color="auto" w:sz="4" w:space="0"/>
            </w:tcBorders>
            <w:vAlign w:val="center"/>
          </w:tcPr>
          <w:p w14:paraId="71633468">
            <w:pPr>
              <w:jc w:val="center"/>
              <w:rPr>
                <w:rFonts w:ascii="Arial" w:hAnsi="Arial" w:cs="Arial"/>
                <w:color w:val="000000"/>
                <w:szCs w:val="21"/>
              </w:rPr>
            </w:pPr>
            <w:r>
              <w:rPr>
                <w:rFonts w:hint="eastAsia"/>
              </w:rPr>
              <w:t>技术部</w:t>
            </w:r>
          </w:p>
        </w:tc>
        <w:tc>
          <w:tcPr>
            <w:tcW w:w="682" w:type="dxa"/>
            <w:tcBorders>
              <w:top w:val="single" w:color="auto" w:sz="4" w:space="0"/>
              <w:left w:val="single" w:color="auto" w:sz="4" w:space="0"/>
              <w:bottom w:val="single" w:color="auto" w:sz="4" w:space="0"/>
              <w:right w:val="single" w:color="auto" w:sz="4" w:space="0"/>
            </w:tcBorders>
          </w:tcPr>
          <w:p w14:paraId="05DE6F0C">
            <w:pPr>
              <w:jc w:val="center"/>
              <w:rPr>
                <w:rFonts w:ascii="Arial" w:hAnsi="Arial" w:cs="Arial"/>
                <w:color w:val="000000"/>
                <w:szCs w:val="21"/>
              </w:rPr>
            </w:pPr>
          </w:p>
        </w:tc>
        <w:tc>
          <w:tcPr>
            <w:tcW w:w="687" w:type="dxa"/>
            <w:tcBorders>
              <w:top w:val="single" w:color="auto" w:sz="4" w:space="0"/>
              <w:left w:val="single" w:color="auto" w:sz="4" w:space="0"/>
              <w:bottom w:val="single" w:color="auto" w:sz="4" w:space="0"/>
              <w:right w:val="single" w:color="auto" w:sz="4" w:space="0"/>
            </w:tcBorders>
            <w:vAlign w:val="center"/>
          </w:tcPr>
          <w:p w14:paraId="4156DD2D">
            <w:pPr>
              <w:jc w:val="center"/>
              <w:rPr>
                <w:rFonts w:ascii="Arial" w:hAnsi="Arial" w:cs="Arial"/>
                <w:szCs w:val="21"/>
              </w:rPr>
            </w:pPr>
          </w:p>
        </w:tc>
        <w:tc>
          <w:tcPr>
            <w:tcW w:w="664" w:type="dxa"/>
            <w:tcBorders>
              <w:top w:val="single" w:color="auto" w:sz="4" w:space="0"/>
              <w:left w:val="single" w:color="auto" w:sz="4" w:space="0"/>
              <w:bottom w:val="single" w:color="auto" w:sz="4" w:space="0"/>
              <w:right w:val="single" w:color="auto" w:sz="4" w:space="0"/>
            </w:tcBorders>
          </w:tcPr>
          <w:p w14:paraId="3C6FDB91">
            <w:pPr>
              <w:jc w:val="center"/>
              <w:rPr>
                <w:rFonts w:ascii="Arial" w:hAnsi="Arial" w:cs="Arial"/>
                <w:szCs w:val="21"/>
              </w:rPr>
            </w:pPr>
          </w:p>
        </w:tc>
        <w:tc>
          <w:tcPr>
            <w:tcW w:w="654" w:type="dxa"/>
            <w:tcBorders>
              <w:top w:val="single" w:color="auto" w:sz="4" w:space="0"/>
              <w:left w:val="single" w:color="auto" w:sz="4" w:space="0"/>
              <w:bottom w:val="single" w:color="auto" w:sz="4" w:space="0"/>
              <w:right w:val="single" w:color="auto" w:sz="4" w:space="0"/>
            </w:tcBorders>
          </w:tcPr>
          <w:p w14:paraId="2A4729CF">
            <w:pPr>
              <w:jc w:val="center"/>
              <w:rPr>
                <w:rFonts w:ascii="Arial" w:hAnsi="Arial" w:cs="Arial"/>
                <w:szCs w:val="21"/>
              </w:rPr>
            </w:pPr>
          </w:p>
        </w:tc>
        <w:tc>
          <w:tcPr>
            <w:tcW w:w="968" w:type="dxa"/>
            <w:tcBorders>
              <w:top w:val="single" w:color="auto" w:sz="4" w:space="0"/>
              <w:left w:val="single" w:color="auto" w:sz="4" w:space="0"/>
              <w:bottom w:val="single" w:color="auto" w:sz="4" w:space="0"/>
              <w:right w:val="single" w:color="auto" w:sz="4" w:space="0"/>
            </w:tcBorders>
          </w:tcPr>
          <w:p w14:paraId="071BC5C4">
            <w:pPr>
              <w:jc w:val="center"/>
              <w:rPr>
                <w:rFonts w:ascii="Arial" w:hAnsi="Arial" w:cs="Arial"/>
                <w:szCs w:val="21"/>
              </w:rPr>
            </w:pPr>
          </w:p>
        </w:tc>
        <w:tc>
          <w:tcPr>
            <w:tcW w:w="850" w:type="dxa"/>
            <w:tcBorders>
              <w:top w:val="single" w:color="auto" w:sz="4" w:space="0"/>
              <w:left w:val="single" w:color="auto" w:sz="4" w:space="0"/>
              <w:bottom w:val="single" w:color="auto" w:sz="4" w:space="0"/>
              <w:right w:val="single" w:color="auto" w:sz="4" w:space="0"/>
            </w:tcBorders>
          </w:tcPr>
          <w:p w14:paraId="4F7EA254">
            <w:pPr>
              <w:jc w:val="center"/>
              <w:rPr>
                <w:rFonts w:ascii="Arial" w:hAnsi="Arial" w:cs="Arial"/>
                <w:szCs w:val="21"/>
              </w:rPr>
            </w:pPr>
          </w:p>
        </w:tc>
        <w:tc>
          <w:tcPr>
            <w:tcW w:w="851" w:type="dxa"/>
            <w:tcBorders>
              <w:top w:val="single" w:color="auto" w:sz="4" w:space="0"/>
              <w:left w:val="single" w:color="auto" w:sz="4" w:space="0"/>
              <w:bottom w:val="single" w:color="auto" w:sz="4" w:space="0"/>
              <w:right w:val="single" w:color="auto" w:sz="4" w:space="0"/>
            </w:tcBorders>
          </w:tcPr>
          <w:p w14:paraId="48265E36">
            <w:pPr>
              <w:jc w:val="center"/>
              <w:rPr>
                <w:rFonts w:ascii="Arial" w:hAnsi="Arial" w:cs="Arial"/>
                <w:szCs w:val="21"/>
              </w:rPr>
            </w:pPr>
          </w:p>
        </w:tc>
        <w:tc>
          <w:tcPr>
            <w:tcW w:w="997" w:type="dxa"/>
            <w:tcBorders>
              <w:top w:val="single" w:color="auto" w:sz="4" w:space="0"/>
              <w:left w:val="single" w:color="auto" w:sz="4" w:space="0"/>
              <w:bottom w:val="single" w:color="auto" w:sz="4" w:space="0"/>
              <w:right w:val="single" w:color="auto" w:sz="4" w:space="0"/>
            </w:tcBorders>
          </w:tcPr>
          <w:p w14:paraId="02F91477">
            <w:pPr>
              <w:jc w:val="center"/>
              <w:rPr>
                <w:rFonts w:ascii="Arial" w:hAnsi="Arial" w:cs="Arial"/>
                <w:color w:val="000000"/>
                <w:szCs w:val="21"/>
              </w:rPr>
            </w:pPr>
          </w:p>
        </w:tc>
        <w:tc>
          <w:tcPr>
            <w:tcW w:w="1091" w:type="dxa"/>
            <w:tcBorders>
              <w:top w:val="single" w:color="auto" w:sz="4" w:space="0"/>
              <w:left w:val="single" w:color="auto" w:sz="4" w:space="0"/>
              <w:bottom w:val="single" w:color="auto" w:sz="4" w:space="0"/>
              <w:right w:val="single" w:color="auto" w:sz="4" w:space="0"/>
            </w:tcBorders>
          </w:tcPr>
          <w:p w14:paraId="2892BA5A">
            <w:pPr>
              <w:jc w:val="center"/>
              <w:rPr>
                <w:rFonts w:ascii="Arial" w:hAnsi="Arial" w:cs="Arial"/>
                <w:szCs w:val="21"/>
              </w:rPr>
            </w:pPr>
          </w:p>
        </w:tc>
      </w:tr>
      <w:tr w14:paraId="4E61DBA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95" w:hRule="atLeast"/>
          <w:jc w:val="center"/>
        </w:trPr>
        <w:tc>
          <w:tcPr>
            <w:tcW w:w="2148" w:type="dxa"/>
            <w:tcBorders>
              <w:top w:val="single" w:color="auto" w:sz="4" w:space="0"/>
              <w:left w:val="single" w:color="auto" w:sz="4" w:space="0"/>
              <w:bottom w:val="single" w:color="auto" w:sz="4" w:space="0"/>
              <w:right w:val="single" w:color="auto" w:sz="4" w:space="0"/>
            </w:tcBorders>
            <w:vAlign w:val="center"/>
          </w:tcPr>
          <w:p w14:paraId="7597C3FC">
            <w:pPr>
              <w:jc w:val="center"/>
            </w:pPr>
            <w:r>
              <w:rPr>
                <w:rFonts w:hint="eastAsia"/>
              </w:rPr>
              <w:t>总数</w:t>
            </w:r>
          </w:p>
        </w:tc>
        <w:tc>
          <w:tcPr>
            <w:tcW w:w="682" w:type="dxa"/>
            <w:tcBorders>
              <w:top w:val="single" w:color="auto" w:sz="4" w:space="0"/>
              <w:left w:val="single" w:color="auto" w:sz="4" w:space="0"/>
              <w:bottom w:val="single" w:color="auto" w:sz="4" w:space="0"/>
              <w:right w:val="single" w:color="auto" w:sz="4" w:space="0"/>
            </w:tcBorders>
          </w:tcPr>
          <w:p w14:paraId="5A46A28A">
            <w:pPr>
              <w:jc w:val="center"/>
            </w:pPr>
          </w:p>
        </w:tc>
        <w:tc>
          <w:tcPr>
            <w:tcW w:w="687" w:type="dxa"/>
            <w:tcBorders>
              <w:top w:val="single" w:color="auto" w:sz="4" w:space="0"/>
              <w:left w:val="single" w:color="auto" w:sz="4" w:space="0"/>
              <w:bottom w:val="single" w:color="auto" w:sz="4" w:space="0"/>
              <w:right w:val="single" w:color="auto" w:sz="4" w:space="0"/>
            </w:tcBorders>
            <w:vAlign w:val="center"/>
          </w:tcPr>
          <w:p w14:paraId="62D67C0C">
            <w:pPr>
              <w:jc w:val="center"/>
              <w:rPr>
                <w:rFonts w:ascii="Arial" w:hAnsi="Arial" w:cs="Arial"/>
                <w:szCs w:val="21"/>
              </w:rPr>
            </w:pPr>
          </w:p>
        </w:tc>
        <w:tc>
          <w:tcPr>
            <w:tcW w:w="664" w:type="dxa"/>
            <w:tcBorders>
              <w:top w:val="single" w:color="auto" w:sz="4" w:space="0"/>
              <w:left w:val="single" w:color="auto" w:sz="4" w:space="0"/>
              <w:bottom w:val="single" w:color="auto" w:sz="4" w:space="0"/>
              <w:right w:val="single" w:color="auto" w:sz="4" w:space="0"/>
            </w:tcBorders>
          </w:tcPr>
          <w:p w14:paraId="5961B21F">
            <w:pPr>
              <w:jc w:val="center"/>
            </w:pPr>
          </w:p>
        </w:tc>
        <w:tc>
          <w:tcPr>
            <w:tcW w:w="654" w:type="dxa"/>
            <w:tcBorders>
              <w:top w:val="single" w:color="auto" w:sz="4" w:space="0"/>
              <w:left w:val="single" w:color="auto" w:sz="4" w:space="0"/>
              <w:bottom w:val="single" w:color="auto" w:sz="4" w:space="0"/>
              <w:right w:val="single" w:color="auto" w:sz="4" w:space="0"/>
            </w:tcBorders>
          </w:tcPr>
          <w:p w14:paraId="13FB4055">
            <w:pPr>
              <w:jc w:val="center"/>
            </w:pPr>
          </w:p>
        </w:tc>
        <w:tc>
          <w:tcPr>
            <w:tcW w:w="968" w:type="dxa"/>
            <w:tcBorders>
              <w:top w:val="single" w:color="auto" w:sz="4" w:space="0"/>
              <w:left w:val="single" w:color="auto" w:sz="4" w:space="0"/>
              <w:bottom w:val="single" w:color="auto" w:sz="4" w:space="0"/>
              <w:right w:val="single" w:color="auto" w:sz="4" w:space="0"/>
            </w:tcBorders>
          </w:tcPr>
          <w:p w14:paraId="28DFB407">
            <w:pPr>
              <w:jc w:val="center"/>
            </w:pPr>
          </w:p>
        </w:tc>
        <w:tc>
          <w:tcPr>
            <w:tcW w:w="850" w:type="dxa"/>
            <w:tcBorders>
              <w:top w:val="single" w:color="auto" w:sz="4" w:space="0"/>
              <w:left w:val="single" w:color="auto" w:sz="4" w:space="0"/>
              <w:bottom w:val="single" w:color="auto" w:sz="4" w:space="0"/>
              <w:right w:val="single" w:color="auto" w:sz="4" w:space="0"/>
            </w:tcBorders>
          </w:tcPr>
          <w:p w14:paraId="290A3E65">
            <w:pPr>
              <w:jc w:val="center"/>
            </w:pPr>
          </w:p>
        </w:tc>
        <w:tc>
          <w:tcPr>
            <w:tcW w:w="851" w:type="dxa"/>
            <w:tcBorders>
              <w:top w:val="single" w:color="auto" w:sz="4" w:space="0"/>
              <w:left w:val="single" w:color="auto" w:sz="4" w:space="0"/>
              <w:bottom w:val="single" w:color="auto" w:sz="4" w:space="0"/>
              <w:right w:val="single" w:color="auto" w:sz="4" w:space="0"/>
            </w:tcBorders>
          </w:tcPr>
          <w:p w14:paraId="090877F8">
            <w:pPr>
              <w:jc w:val="center"/>
            </w:pPr>
          </w:p>
        </w:tc>
        <w:tc>
          <w:tcPr>
            <w:tcW w:w="997" w:type="dxa"/>
            <w:tcBorders>
              <w:top w:val="single" w:color="auto" w:sz="4" w:space="0"/>
              <w:left w:val="single" w:color="auto" w:sz="4" w:space="0"/>
              <w:bottom w:val="single" w:color="auto" w:sz="4" w:space="0"/>
              <w:right w:val="single" w:color="auto" w:sz="4" w:space="0"/>
            </w:tcBorders>
          </w:tcPr>
          <w:p w14:paraId="24EF1F51">
            <w:pPr>
              <w:jc w:val="center"/>
            </w:pPr>
          </w:p>
        </w:tc>
        <w:tc>
          <w:tcPr>
            <w:tcW w:w="1091" w:type="dxa"/>
            <w:tcBorders>
              <w:top w:val="single" w:color="auto" w:sz="4" w:space="0"/>
              <w:left w:val="single" w:color="auto" w:sz="4" w:space="0"/>
              <w:bottom w:val="single" w:color="auto" w:sz="4" w:space="0"/>
              <w:right w:val="single" w:color="auto" w:sz="4" w:space="0"/>
            </w:tcBorders>
          </w:tcPr>
          <w:p w14:paraId="04911F13">
            <w:pPr>
              <w:jc w:val="center"/>
            </w:pPr>
          </w:p>
        </w:tc>
      </w:tr>
    </w:tbl>
    <w:p w14:paraId="5B83DCDB">
      <w:pPr>
        <w:tabs>
          <w:tab w:val="left" w:pos="6022"/>
        </w:tabs>
        <w:spacing w:before="156" w:beforeLines="50" w:line="400" w:lineRule="exact"/>
        <w:rPr>
          <w:rFonts w:ascii="Arial" w:hAnsi="Arial" w:cs="Arial"/>
          <w:spacing w:val="-4"/>
          <w:sz w:val="24"/>
        </w:rPr>
      </w:pPr>
      <w:r>
        <w:rPr>
          <w:rFonts w:ascii="Arial" w:hAnsi="Arial" w:cs="Arial"/>
          <w:kern w:val="0"/>
          <w:sz w:val="24"/>
        </w:rPr>
        <w:t xml:space="preserve">2.1  </w:t>
      </w:r>
      <w:r>
        <w:rPr>
          <w:rFonts w:ascii="Arial" w:hAnsi="Arial" w:cs="Arial"/>
          <w:spacing w:val="-4"/>
          <w:sz w:val="24"/>
        </w:rPr>
        <w:t>变更</w:t>
      </w:r>
      <w:r>
        <w:rPr>
          <w:rFonts w:hint="eastAsia" w:ascii="Arial" w:hAnsi="Arial" w:cs="Arial"/>
          <w:spacing w:val="-4"/>
          <w:sz w:val="24"/>
        </w:rPr>
        <w:t>数量分析</w:t>
      </w:r>
    </w:p>
    <w:tbl>
      <w:tblPr>
        <w:tblStyle w:val="24"/>
        <w:tblW w:w="9634" w:type="dxa"/>
        <w:tblInd w:w="0" w:type="dxa"/>
        <w:tblLayout w:type="fixed"/>
        <w:tblCellMar>
          <w:top w:w="0" w:type="dxa"/>
          <w:left w:w="108" w:type="dxa"/>
          <w:bottom w:w="0" w:type="dxa"/>
          <w:right w:w="108" w:type="dxa"/>
        </w:tblCellMar>
      </w:tblPr>
      <w:tblGrid>
        <w:gridCol w:w="4673"/>
        <w:gridCol w:w="4961"/>
      </w:tblGrid>
      <w:tr w14:paraId="754B7306">
        <w:tblPrEx>
          <w:tblCellMar>
            <w:top w:w="0" w:type="dxa"/>
            <w:left w:w="108" w:type="dxa"/>
            <w:bottom w:w="0" w:type="dxa"/>
            <w:right w:w="108" w:type="dxa"/>
          </w:tblCellMar>
        </w:tblPrEx>
        <w:trPr>
          <w:trHeight w:val="285" w:hRule="atLeast"/>
        </w:trPr>
        <w:tc>
          <w:tcPr>
            <w:tcW w:w="4673"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E32D1FE">
            <w:pPr>
              <w:widowControl/>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202</w:t>
            </w:r>
            <w:r>
              <w:rPr>
                <w:rFonts w:ascii="等线" w:hAnsi="等线" w:eastAsia="等线" w:cs="宋体"/>
                <w:color w:val="000000"/>
                <w:kern w:val="0"/>
                <w:sz w:val="22"/>
                <w:szCs w:val="22"/>
              </w:rPr>
              <w:t>4</w:t>
            </w:r>
            <w:r>
              <w:rPr>
                <w:rFonts w:hint="eastAsia" w:ascii="等线" w:hAnsi="等线" w:eastAsia="等线" w:cs="宋体"/>
                <w:color w:val="000000"/>
                <w:kern w:val="0"/>
                <w:sz w:val="22"/>
                <w:szCs w:val="22"/>
              </w:rPr>
              <w:t>年变更数量</w:t>
            </w:r>
          </w:p>
        </w:tc>
        <w:tc>
          <w:tcPr>
            <w:tcW w:w="4961" w:type="dxa"/>
            <w:tcBorders>
              <w:top w:val="single" w:color="auto" w:sz="4" w:space="0"/>
              <w:left w:val="nil"/>
              <w:bottom w:val="single" w:color="auto" w:sz="4" w:space="0"/>
              <w:right w:val="single" w:color="auto" w:sz="4" w:space="0"/>
            </w:tcBorders>
            <w:shd w:val="clear" w:color="000000" w:fill="FFFFFF"/>
            <w:noWrap/>
            <w:vAlign w:val="bottom"/>
          </w:tcPr>
          <w:p w14:paraId="5EAEDC6F">
            <w:pPr>
              <w:widowControl/>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202</w:t>
            </w:r>
            <w:r>
              <w:rPr>
                <w:rFonts w:ascii="等线" w:hAnsi="等线" w:eastAsia="等线" w:cs="宋体"/>
                <w:color w:val="000000"/>
                <w:kern w:val="0"/>
                <w:sz w:val="22"/>
                <w:szCs w:val="22"/>
              </w:rPr>
              <w:t>5</w:t>
            </w:r>
            <w:r>
              <w:rPr>
                <w:rFonts w:hint="eastAsia" w:ascii="等线" w:hAnsi="等线" w:eastAsia="等线" w:cs="宋体"/>
                <w:color w:val="000000"/>
                <w:kern w:val="0"/>
                <w:sz w:val="22"/>
                <w:szCs w:val="22"/>
              </w:rPr>
              <w:t>年变更数量</w:t>
            </w:r>
          </w:p>
        </w:tc>
      </w:tr>
      <w:tr w14:paraId="3AE161B1">
        <w:tblPrEx>
          <w:tblCellMar>
            <w:top w:w="0" w:type="dxa"/>
            <w:left w:w="108" w:type="dxa"/>
            <w:bottom w:w="0" w:type="dxa"/>
            <w:right w:w="108" w:type="dxa"/>
          </w:tblCellMar>
        </w:tblPrEx>
        <w:trPr>
          <w:trHeight w:val="285" w:hRule="atLeast"/>
        </w:trPr>
        <w:tc>
          <w:tcPr>
            <w:tcW w:w="4673" w:type="dxa"/>
            <w:tcBorders>
              <w:top w:val="nil"/>
              <w:left w:val="single" w:color="auto" w:sz="4" w:space="0"/>
              <w:bottom w:val="single" w:color="auto" w:sz="4" w:space="0"/>
              <w:right w:val="single" w:color="auto" w:sz="4" w:space="0"/>
            </w:tcBorders>
            <w:shd w:val="clear" w:color="auto" w:fill="auto"/>
            <w:noWrap/>
            <w:vAlign w:val="center"/>
          </w:tcPr>
          <w:p w14:paraId="6A88B22D">
            <w:pPr>
              <w:widowControl/>
              <w:jc w:val="center"/>
              <w:rPr>
                <w:rFonts w:ascii="等线" w:hAnsi="等线" w:eastAsia="等线" w:cs="宋体"/>
                <w:color w:val="000000"/>
                <w:kern w:val="0"/>
                <w:sz w:val="22"/>
                <w:szCs w:val="22"/>
              </w:rPr>
            </w:pPr>
          </w:p>
        </w:tc>
        <w:tc>
          <w:tcPr>
            <w:tcW w:w="4961" w:type="dxa"/>
            <w:tcBorders>
              <w:top w:val="nil"/>
              <w:left w:val="nil"/>
              <w:bottom w:val="single" w:color="auto" w:sz="4" w:space="0"/>
              <w:right w:val="single" w:color="auto" w:sz="4" w:space="0"/>
            </w:tcBorders>
            <w:shd w:val="clear" w:color="auto" w:fill="auto"/>
            <w:noWrap/>
            <w:vAlign w:val="center"/>
          </w:tcPr>
          <w:p w14:paraId="6F3ED1A5">
            <w:pPr>
              <w:widowControl/>
              <w:jc w:val="center"/>
              <w:rPr>
                <w:rFonts w:ascii="等线" w:hAnsi="等线" w:eastAsia="等线" w:cs="宋体"/>
                <w:color w:val="000000"/>
                <w:kern w:val="0"/>
                <w:sz w:val="22"/>
                <w:szCs w:val="22"/>
              </w:rPr>
            </w:pPr>
          </w:p>
        </w:tc>
      </w:tr>
    </w:tbl>
    <w:p w14:paraId="500AFFB7">
      <w:pPr>
        <w:rPr>
          <w:rFonts w:ascii="Arial" w:hAnsi="Arial" w:cs="Arial"/>
          <w:kern w:val="0"/>
          <w:sz w:val="24"/>
        </w:rPr>
      </w:pPr>
      <w:r>
        <w:drawing>
          <wp:anchor distT="0" distB="0" distL="114300" distR="114300" simplePos="0" relativeHeight="251659264" behindDoc="0" locked="0" layoutInCell="1" allowOverlap="1">
            <wp:simplePos x="0" y="0"/>
            <wp:positionH relativeFrom="margin">
              <wp:align>right</wp:align>
            </wp:positionH>
            <wp:positionV relativeFrom="paragraph">
              <wp:posOffset>46990</wp:posOffset>
            </wp:positionV>
            <wp:extent cx="6115050" cy="2743200"/>
            <wp:effectExtent l="0" t="0" r="0" b="0"/>
            <wp:wrapSquare wrapText="bothSides"/>
            <wp:docPr id="13" name="图表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anchor>
        </w:drawing>
      </w:r>
      <w:r>
        <w:rPr>
          <w:rFonts w:hint="eastAsia" w:ascii="Arial" w:hAnsi="Arial" w:cs="Arial"/>
          <w:kern w:val="0"/>
          <w:sz w:val="24"/>
        </w:rPr>
        <w:t>小结：从上图能够清晰地观察到，202</w:t>
      </w:r>
      <w:r>
        <w:rPr>
          <w:rFonts w:ascii="Arial" w:hAnsi="Arial" w:cs="Arial"/>
          <w:kern w:val="0"/>
          <w:sz w:val="24"/>
        </w:rPr>
        <w:t>4</w:t>
      </w:r>
      <w:r>
        <w:rPr>
          <w:rFonts w:hint="eastAsia" w:ascii="Arial" w:hAnsi="Arial" w:cs="Arial"/>
          <w:kern w:val="0"/>
          <w:sz w:val="24"/>
        </w:rPr>
        <w:t>年至202</w:t>
      </w:r>
      <w:r>
        <w:rPr>
          <w:rFonts w:ascii="Arial" w:hAnsi="Arial" w:cs="Arial"/>
          <w:kern w:val="0"/>
          <w:sz w:val="24"/>
        </w:rPr>
        <w:t>5</w:t>
      </w:r>
      <w:r>
        <w:rPr>
          <w:rFonts w:hint="eastAsia" w:ascii="Arial" w:hAnsi="Arial" w:cs="Arial"/>
          <w:kern w:val="0"/>
          <w:sz w:val="24"/>
        </w:rPr>
        <w:t>年，变更数量保持了往年显著的阶梯式暴增态势，由</w:t>
      </w:r>
      <w:r>
        <w:rPr>
          <w:rFonts w:ascii="Arial" w:hAnsi="Arial" w:cs="Arial"/>
          <w:kern w:val="0"/>
          <w:sz w:val="24"/>
        </w:rPr>
        <w:t>541</w:t>
      </w:r>
      <w:r>
        <w:rPr>
          <w:rFonts w:hint="eastAsia" w:ascii="Arial" w:hAnsi="Arial" w:cs="Arial"/>
          <w:kern w:val="0"/>
          <w:sz w:val="24"/>
        </w:rPr>
        <w:t>份增长到</w:t>
      </w:r>
      <w:r>
        <w:rPr>
          <w:rFonts w:ascii="Arial" w:hAnsi="Arial" w:cs="Arial"/>
          <w:kern w:val="0"/>
          <w:sz w:val="24"/>
        </w:rPr>
        <w:t>720</w:t>
      </w:r>
      <w:r>
        <w:rPr>
          <w:rFonts w:hint="eastAsia" w:ascii="Arial" w:hAnsi="Arial" w:cs="Arial"/>
          <w:kern w:val="0"/>
          <w:sz w:val="24"/>
        </w:rPr>
        <w:t>份，同比增长</w:t>
      </w:r>
      <w:r>
        <w:rPr>
          <w:rFonts w:ascii="Arial" w:hAnsi="Arial" w:cs="Arial"/>
          <w:kern w:val="0"/>
          <w:sz w:val="24"/>
        </w:rPr>
        <w:t>33.1</w:t>
      </w:r>
      <w:r>
        <w:rPr>
          <w:rFonts w:hint="eastAsia" w:ascii="Arial" w:hAnsi="Arial" w:cs="Arial"/>
          <w:kern w:val="0"/>
          <w:sz w:val="24"/>
        </w:rPr>
        <w:t>%。其中数量剧增的主要原因：1</w:t>
      </w:r>
      <w:r>
        <w:rPr>
          <w:rFonts w:ascii="Arial" w:hAnsi="Arial" w:cs="Arial"/>
          <w:kern w:val="0"/>
          <w:sz w:val="24"/>
        </w:rPr>
        <w:t>.</w:t>
      </w:r>
      <w:r>
        <w:rPr>
          <w:rFonts w:hint="eastAsia"/>
        </w:rPr>
        <w:t xml:space="preserve"> </w:t>
      </w:r>
      <w:r>
        <w:rPr>
          <w:rFonts w:hint="eastAsia" w:ascii="Arial" w:hAnsi="Arial" w:cs="Arial"/>
          <w:kern w:val="0"/>
          <w:sz w:val="24"/>
        </w:rPr>
        <w:t>公司业务持续发展，带动了基础变更需求的增加 2</w:t>
      </w:r>
      <w:r>
        <w:rPr>
          <w:rFonts w:ascii="Arial" w:hAnsi="Arial" w:cs="Arial"/>
          <w:kern w:val="0"/>
          <w:sz w:val="24"/>
        </w:rPr>
        <w:t xml:space="preserve">. </w:t>
      </w:r>
      <w:r>
        <w:rPr>
          <w:rFonts w:hint="eastAsia" w:ascii="Arial" w:hAnsi="Arial" w:cs="Arial"/>
          <w:kern w:val="0"/>
          <w:sz w:val="24"/>
        </w:rPr>
        <w:t>公司2</w:t>
      </w:r>
      <w:r>
        <w:rPr>
          <w:rFonts w:ascii="Arial" w:hAnsi="Arial" w:cs="Arial"/>
          <w:kern w:val="0"/>
          <w:sz w:val="24"/>
        </w:rPr>
        <w:t>025</w:t>
      </w:r>
      <w:r>
        <w:rPr>
          <w:rFonts w:hint="eastAsia" w:ascii="Arial" w:hAnsi="Arial" w:cs="Arial"/>
          <w:kern w:val="0"/>
          <w:sz w:val="24"/>
        </w:rPr>
        <w:t>年度经历多次官方检查、客户审计，当中产生的缺陷或者优化建议，后续均触发了相应的变更去完善。3</w:t>
      </w:r>
      <w:r>
        <w:rPr>
          <w:rFonts w:ascii="Arial" w:hAnsi="Arial" w:cs="Arial"/>
          <w:kern w:val="0"/>
          <w:sz w:val="24"/>
        </w:rPr>
        <w:t>.</w:t>
      </w:r>
      <w:r>
        <w:rPr>
          <w:rFonts w:hint="eastAsia"/>
        </w:rPr>
        <w:t xml:space="preserve"> </w:t>
      </w:r>
      <w:r>
        <w:rPr>
          <w:rFonts w:hint="eastAsia" w:ascii="Arial" w:hAnsi="Arial" w:cs="Arial"/>
          <w:kern w:val="0"/>
          <w:sz w:val="24"/>
        </w:rPr>
        <w:t>随着2025版药典颁布实施，公司对相关标准及方法进行了适应性调整与优化，并适当补充了相关内容。</w:t>
      </w:r>
    </w:p>
    <w:p w14:paraId="6151CA4A">
      <w:pPr>
        <w:tabs>
          <w:tab w:val="left" w:pos="6022"/>
        </w:tabs>
        <w:spacing w:before="156" w:beforeLines="50" w:line="400" w:lineRule="exact"/>
        <w:rPr>
          <w:rFonts w:ascii="Arial" w:hAnsi="Arial" w:cs="Arial"/>
          <w:sz w:val="24"/>
        </w:rPr>
      </w:pPr>
      <w:r>
        <w:rPr>
          <w:rFonts w:ascii="Arial" w:hAnsi="Arial" w:cs="Arial"/>
          <w:sz w:val="24"/>
        </w:rPr>
        <w:t>2.2  变更申请部门分析</w:t>
      </w:r>
    </w:p>
    <w:tbl>
      <w:tblPr>
        <w:tblStyle w:val="25"/>
        <w:tblW w:w="5000" w:type="pct"/>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68"/>
        <w:gridCol w:w="560"/>
        <w:gridCol w:w="685"/>
        <w:gridCol w:w="582"/>
        <w:gridCol w:w="686"/>
        <w:gridCol w:w="792"/>
        <w:gridCol w:w="717"/>
        <w:gridCol w:w="634"/>
        <w:gridCol w:w="686"/>
        <w:gridCol w:w="686"/>
        <w:gridCol w:w="665"/>
        <w:gridCol w:w="655"/>
        <w:gridCol w:w="746"/>
        <w:gridCol w:w="665"/>
      </w:tblGrid>
      <w:tr w14:paraId="6424BFC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495" w:hRule="atLeast"/>
        </w:trPr>
        <w:tc>
          <w:tcPr>
            <w:tcW w:w="451" w:type="pct"/>
          </w:tcPr>
          <w:p w14:paraId="72695AB0">
            <w:pPr>
              <w:tabs>
                <w:tab w:val="left" w:pos="6022"/>
              </w:tabs>
              <w:spacing w:before="156" w:beforeLines="50" w:line="400" w:lineRule="exact"/>
              <w:rPr>
                <w:rFonts w:ascii="Arial" w:hAnsi="Arial" w:cs="Arial"/>
                <w:sz w:val="24"/>
              </w:rPr>
            </w:pPr>
            <w:r>
              <w:rPr>
                <w:rFonts w:hint="eastAsia" w:ascii="Arial" w:hAnsi="Arial" w:cs="Arial"/>
                <w:sz w:val="24"/>
              </w:rPr>
              <w:t>变更部门</w:t>
            </w:r>
          </w:p>
        </w:tc>
        <w:tc>
          <w:tcPr>
            <w:tcW w:w="291" w:type="pct"/>
          </w:tcPr>
          <w:p w14:paraId="4EC90600">
            <w:pPr>
              <w:tabs>
                <w:tab w:val="left" w:pos="6022"/>
              </w:tabs>
              <w:spacing w:before="156" w:beforeLines="50" w:line="400" w:lineRule="exact"/>
              <w:rPr>
                <w:rFonts w:ascii="Arial" w:hAnsi="Arial" w:cs="Arial"/>
                <w:sz w:val="24"/>
              </w:rPr>
            </w:pPr>
            <w:r>
              <w:rPr>
                <w:rFonts w:hint="eastAsia" w:ascii="Arial" w:hAnsi="Arial" w:cs="Arial"/>
                <w:sz w:val="24"/>
              </w:rPr>
              <w:t>采供部</w:t>
            </w:r>
          </w:p>
        </w:tc>
        <w:tc>
          <w:tcPr>
            <w:tcW w:w="356" w:type="pct"/>
          </w:tcPr>
          <w:p w14:paraId="10F815C7">
            <w:pPr>
              <w:tabs>
                <w:tab w:val="left" w:pos="6022"/>
              </w:tabs>
              <w:spacing w:before="156" w:beforeLines="50" w:line="400" w:lineRule="exact"/>
              <w:rPr>
                <w:rFonts w:ascii="Arial" w:hAnsi="Arial" w:cs="Arial"/>
                <w:sz w:val="24"/>
              </w:rPr>
            </w:pPr>
            <w:r>
              <w:rPr>
                <w:rFonts w:hint="eastAsia" w:ascii="Arial" w:hAnsi="Arial" w:cs="Arial"/>
                <w:sz w:val="24"/>
              </w:rPr>
              <w:t>一车间</w:t>
            </w:r>
          </w:p>
        </w:tc>
        <w:tc>
          <w:tcPr>
            <w:tcW w:w="302" w:type="pct"/>
          </w:tcPr>
          <w:p w14:paraId="238844CA">
            <w:pPr>
              <w:tabs>
                <w:tab w:val="left" w:pos="6022"/>
              </w:tabs>
              <w:spacing w:before="156" w:beforeLines="50" w:line="400" w:lineRule="exact"/>
              <w:rPr>
                <w:rFonts w:ascii="Arial" w:hAnsi="Arial" w:cs="Arial"/>
                <w:sz w:val="24"/>
              </w:rPr>
            </w:pPr>
            <w:r>
              <w:rPr>
                <w:rFonts w:hint="eastAsia" w:ascii="Arial" w:hAnsi="Arial" w:cs="Arial"/>
                <w:sz w:val="24"/>
              </w:rPr>
              <w:t>物控部</w:t>
            </w:r>
          </w:p>
        </w:tc>
        <w:tc>
          <w:tcPr>
            <w:tcW w:w="356" w:type="pct"/>
          </w:tcPr>
          <w:p w14:paraId="18683CBA">
            <w:pPr>
              <w:tabs>
                <w:tab w:val="left" w:pos="6022"/>
              </w:tabs>
              <w:spacing w:before="156" w:beforeLines="50" w:line="400" w:lineRule="exact"/>
              <w:rPr>
                <w:rFonts w:ascii="Arial" w:hAnsi="Arial" w:cs="Arial"/>
                <w:sz w:val="24"/>
              </w:rPr>
            </w:pPr>
            <w:r>
              <w:rPr>
                <w:rFonts w:hint="eastAsia" w:ascii="Arial" w:hAnsi="Arial" w:cs="Arial"/>
                <w:sz w:val="24"/>
              </w:rPr>
              <w:t>质检部</w:t>
            </w:r>
          </w:p>
        </w:tc>
        <w:tc>
          <w:tcPr>
            <w:tcW w:w="411" w:type="pct"/>
          </w:tcPr>
          <w:p w14:paraId="71EE5F58">
            <w:pPr>
              <w:tabs>
                <w:tab w:val="left" w:pos="6022"/>
              </w:tabs>
              <w:spacing w:before="156" w:beforeLines="50" w:line="400" w:lineRule="exact"/>
              <w:rPr>
                <w:rFonts w:ascii="Arial" w:hAnsi="Arial" w:cs="Arial"/>
                <w:sz w:val="24"/>
              </w:rPr>
            </w:pPr>
            <w:r>
              <w:rPr>
                <w:rFonts w:hint="eastAsia" w:ascii="Arial" w:hAnsi="Arial" w:cs="Arial"/>
                <w:sz w:val="24"/>
              </w:rPr>
              <w:t>质量保证部</w:t>
            </w:r>
          </w:p>
        </w:tc>
        <w:tc>
          <w:tcPr>
            <w:tcW w:w="372" w:type="pct"/>
          </w:tcPr>
          <w:p w14:paraId="3AC68521">
            <w:pPr>
              <w:tabs>
                <w:tab w:val="left" w:pos="6022"/>
              </w:tabs>
              <w:spacing w:before="156" w:beforeLines="50" w:line="400" w:lineRule="exact"/>
              <w:rPr>
                <w:rFonts w:ascii="Arial" w:hAnsi="Arial" w:cs="Arial"/>
                <w:sz w:val="24"/>
              </w:rPr>
            </w:pPr>
            <w:r>
              <w:rPr>
                <w:rFonts w:hint="eastAsia" w:ascii="Arial" w:hAnsi="Arial" w:cs="Arial"/>
                <w:sz w:val="24"/>
              </w:rPr>
              <w:t>数字化管理部</w:t>
            </w:r>
          </w:p>
        </w:tc>
        <w:tc>
          <w:tcPr>
            <w:tcW w:w="329" w:type="pct"/>
          </w:tcPr>
          <w:p w14:paraId="17188629">
            <w:pPr>
              <w:tabs>
                <w:tab w:val="left" w:pos="6022"/>
              </w:tabs>
              <w:spacing w:before="156" w:beforeLines="50" w:line="400" w:lineRule="exact"/>
              <w:rPr>
                <w:rFonts w:ascii="Arial" w:hAnsi="Arial" w:cs="Arial"/>
                <w:sz w:val="24"/>
              </w:rPr>
            </w:pPr>
            <w:r>
              <w:rPr>
                <w:rFonts w:hint="eastAsia" w:ascii="Arial" w:hAnsi="Arial" w:cs="Arial"/>
                <w:sz w:val="24"/>
              </w:rPr>
              <w:t>合成车间</w:t>
            </w:r>
          </w:p>
        </w:tc>
        <w:tc>
          <w:tcPr>
            <w:tcW w:w="356" w:type="pct"/>
          </w:tcPr>
          <w:p w14:paraId="54F85844">
            <w:pPr>
              <w:tabs>
                <w:tab w:val="left" w:pos="6022"/>
              </w:tabs>
              <w:spacing w:before="156" w:beforeLines="50" w:line="400" w:lineRule="exact"/>
              <w:rPr>
                <w:rFonts w:ascii="Arial" w:hAnsi="Arial" w:cs="Arial"/>
                <w:sz w:val="24"/>
              </w:rPr>
            </w:pPr>
            <w:r>
              <w:rPr>
                <w:rFonts w:hint="eastAsia" w:ascii="Arial" w:hAnsi="Arial" w:cs="Arial"/>
                <w:sz w:val="24"/>
              </w:rPr>
              <w:t>工程设备部</w:t>
            </w:r>
          </w:p>
        </w:tc>
        <w:tc>
          <w:tcPr>
            <w:tcW w:w="356" w:type="pct"/>
          </w:tcPr>
          <w:p w14:paraId="089BF7D9">
            <w:pPr>
              <w:tabs>
                <w:tab w:val="left" w:pos="6022"/>
              </w:tabs>
              <w:spacing w:before="156" w:beforeLines="50" w:line="400" w:lineRule="exact"/>
              <w:rPr>
                <w:rFonts w:ascii="Arial" w:hAnsi="Arial" w:cs="Arial"/>
                <w:sz w:val="24"/>
              </w:rPr>
            </w:pPr>
            <w:r>
              <w:rPr>
                <w:rFonts w:hint="eastAsia" w:ascii="Arial" w:hAnsi="Arial" w:cs="Arial"/>
                <w:sz w:val="24"/>
              </w:rPr>
              <w:t>药物警戒部</w:t>
            </w:r>
          </w:p>
        </w:tc>
        <w:tc>
          <w:tcPr>
            <w:tcW w:w="345" w:type="pct"/>
          </w:tcPr>
          <w:p w14:paraId="60CCA083">
            <w:pPr>
              <w:tabs>
                <w:tab w:val="left" w:pos="6022"/>
              </w:tabs>
              <w:spacing w:before="156" w:beforeLines="50" w:line="400" w:lineRule="exact"/>
              <w:rPr>
                <w:rFonts w:ascii="Arial" w:hAnsi="Arial" w:cs="Arial"/>
                <w:sz w:val="24"/>
              </w:rPr>
            </w:pPr>
            <w:r>
              <w:rPr>
                <w:rFonts w:hint="eastAsia" w:ascii="Arial" w:hAnsi="Arial" w:cs="Arial"/>
                <w:sz w:val="24"/>
              </w:rPr>
              <w:t>质量研究部</w:t>
            </w:r>
          </w:p>
        </w:tc>
        <w:tc>
          <w:tcPr>
            <w:tcW w:w="340" w:type="pct"/>
          </w:tcPr>
          <w:p w14:paraId="76AEC27E">
            <w:pPr>
              <w:tabs>
                <w:tab w:val="left" w:pos="6022"/>
              </w:tabs>
              <w:spacing w:before="156" w:beforeLines="50" w:line="400" w:lineRule="exact"/>
              <w:rPr>
                <w:rFonts w:ascii="Arial" w:hAnsi="Arial" w:cs="Arial"/>
                <w:sz w:val="24"/>
              </w:rPr>
            </w:pPr>
            <w:r>
              <w:rPr>
                <w:rFonts w:hint="eastAsia" w:ascii="Arial" w:hAnsi="Arial" w:cs="Arial"/>
                <w:sz w:val="24"/>
              </w:rPr>
              <w:t>3</w:t>
            </w:r>
            <w:r>
              <w:rPr>
                <w:rFonts w:ascii="Arial" w:hAnsi="Arial" w:cs="Arial"/>
                <w:sz w:val="24"/>
              </w:rPr>
              <w:t>01</w:t>
            </w:r>
            <w:r>
              <w:rPr>
                <w:rFonts w:hint="eastAsia" w:ascii="Arial" w:hAnsi="Arial" w:cs="Arial"/>
                <w:sz w:val="24"/>
              </w:rPr>
              <w:t>车间</w:t>
            </w:r>
          </w:p>
        </w:tc>
        <w:tc>
          <w:tcPr>
            <w:tcW w:w="387" w:type="pct"/>
          </w:tcPr>
          <w:p w14:paraId="2536B103">
            <w:pPr>
              <w:tabs>
                <w:tab w:val="left" w:pos="6022"/>
              </w:tabs>
              <w:spacing w:before="156" w:beforeLines="50" w:line="400" w:lineRule="exact"/>
              <w:rPr>
                <w:rFonts w:ascii="Arial" w:hAnsi="Arial" w:cs="Arial"/>
                <w:sz w:val="24"/>
              </w:rPr>
            </w:pPr>
            <w:r>
              <w:rPr>
                <w:rFonts w:hint="eastAsia" w:ascii="Arial" w:hAnsi="Arial" w:cs="Arial"/>
                <w:sz w:val="24"/>
              </w:rPr>
              <w:t>人力行政部</w:t>
            </w:r>
          </w:p>
        </w:tc>
        <w:tc>
          <w:tcPr>
            <w:tcW w:w="345" w:type="pct"/>
          </w:tcPr>
          <w:p w14:paraId="3E317763">
            <w:pPr>
              <w:tabs>
                <w:tab w:val="left" w:pos="6022"/>
              </w:tabs>
              <w:spacing w:before="156" w:beforeLines="50" w:line="400" w:lineRule="exact"/>
              <w:rPr>
                <w:rFonts w:ascii="Arial" w:hAnsi="Arial" w:cs="Arial"/>
                <w:sz w:val="24"/>
              </w:rPr>
            </w:pPr>
            <w:r>
              <w:rPr>
                <w:rFonts w:hint="eastAsia" w:ascii="Arial" w:hAnsi="Arial" w:cs="Arial"/>
                <w:sz w:val="24"/>
              </w:rPr>
              <w:t>技术转移部</w:t>
            </w:r>
          </w:p>
        </w:tc>
      </w:tr>
      <w:tr w14:paraId="1B38477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275" w:hRule="atLeast"/>
        </w:trPr>
        <w:tc>
          <w:tcPr>
            <w:tcW w:w="451" w:type="pct"/>
          </w:tcPr>
          <w:p w14:paraId="70DDE6E5">
            <w:pPr>
              <w:tabs>
                <w:tab w:val="left" w:pos="6022"/>
              </w:tabs>
              <w:spacing w:before="156" w:beforeLines="50" w:line="400" w:lineRule="exact"/>
              <w:rPr>
                <w:rFonts w:ascii="Arial" w:hAnsi="Arial" w:cs="Arial"/>
                <w:sz w:val="24"/>
              </w:rPr>
            </w:pPr>
            <w:r>
              <w:rPr>
                <w:rFonts w:hint="eastAsia" w:ascii="Arial" w:hAnsi="Arial" w:cs="Arial"/>
                <w:sz w:val="24"/>
              </w:rPr>
              <w:t>2</w:t>
            </w:r>
            <w:r>
              <w:rPr>
                <w:rFonts w:ascii="Arial" w:hAnsi="Arial" w:cs="Arial"/>
                <w:sz w:val="24"/>
              </w:rPr>
              <w:t>024</w:t>
            </w:r>
            <w:r>
              <w:rPr>
                <w:rFonts w:hint="eastAsia" w:ascii="Arial" w:hAnsi="Arial" w:cs="Arial"/>
                <w:sz w:val="24"/>
              </w:rPr>
              <w:t>数量</w:t>
            </w:r>
          </w:p>
        </w:tc>
        <w:tc>
          <w:tcPr>
            <w:tcW w:w="291" w:type="pct"/>
            <w:vAlign w:val="center"/>
          </w:tcPr>
          <w:p w14:paraId="0BEFC27A">
            <w:pPr>
              <w:tabs>
                <w:tab w:val="left" w:pos="6022"/>
              </w:tabs>
              <w:spacing w:before="156" w:beforeLines="50" w:line="400" w:lineRule="exact"/>
              <w:jc w:val="center"/>
              <w:rPr>
                <w:rFonts w:ascii="Arial" w:hAnsi="Arial" w:cs="Arial"/>
                <w:sz w:val="24"/>
              </w:rPr>
            </w:pPr>
          </w:p>
        </w:tc>
        <w:tc>
          <w:tcPr>
            <w:tcW w:w="356" w:type="pct"/>
            <w:vAlign w:val="center"/>
          </w:tcPr>
          <w:p w14:paraId="0804695D">
            <w:pPr>
              <w:tabs>
                <w:tab w:val="left" w:pos="6022"/>
              </w:tabs>
              <w:spacing w:before="156" w:beforeLines="50" w:line="400" w:lineRule="exact"/>
              <w:jc w:val="center"/>
              <w:rPr>
                <w:rFonts w:ascii="Arial" w:hAnsi="Arial" w:cs="Arial"/>
                <w:sz w:val="24"/>
              </w:rPr>
            </w:pPr>
          </w:p>
        </w:tc>
        <w:tc>
          <w:tcPr>
            <w:tcW w:w="302" w:type="pct"/>
            <w:vAlign w:val="center"/>
          </w:tcPr>
          <w:p w14:paraId="1A68DBF4">
            <w:pPr>
              <w:tabs>
                <w:tab w:val="left" w:pos="6022"/>
              </w:tabs>
              <w:spacing w:before="156" w:beforeLines="50" w:line="400" w:lineRule="exact"/>
              <w:jc w:val="center"/>
              <w:rPr>
                <w:rFonts w:ascii="Arial" w:hAnsi="Arial" w:cs="Arial"/>
                <w:sz w:val="24"/>
              </w:rPr>
            </w:pPr>
          </w:p>
        </w:tc>
        <w:tc>
          <w:tcPr>
            <w:tcW w:w="356" w:type="pct"/>
            <w:vAlign w:val="center"/>
          </w:tcPr>
          <w:p w14:paraId="2C4ABA40">
            <w:pPr>
              <w:tabs>
                <w:tab w:val="left" w:pos="6022"/>
              </w:tabs>
              <w:spacing w:before="156" w:beforeLines="50" w:line="400" w:lineRule="exact"/>
              <w:jc w:val="center"/>
              <w:rPr>
                <w:rFonts w:ascii="Arial" w:hAnsi="Arial" w:cs="Arial"/>
                <w:sz w:val="24"/>
              </w:rPr>
            </w:pPr>
          </w:p>
        </w:tc>
        <w:tc>
          <w:tcPr>
            <w:tcW w:w="411" w:type="pct"/>
            <w:vAlign w:val="center"/>
          </w:tcPr>
          <w:p w14:paraId="49D7FC32">
            <w:pPr>
              <w:tabs>
                <w:tab w:val="left" w:pos="6022"/>
              </w:tabs>
              <w:spacing w:before="156" w:beforeLines="50" w:line="400" w:lineRule="exact"/>
              <w:jc w:val="center"/>
              <w:rPr>
                <w:rFonts w:ascii="Arial" w:hAnsi="Arial" w:cs="Arial"/>
                <w:sz w:val="24"/>
              </w:rPr>
            </w:pPr>
          </w:p>
        </w:tc>
        <w:tc>
          <w:tcPr>
            <w:tcW w:w="372" w:type="pct"/>
            <w:vAlign w:val="center"/>
          </w:tcPr>
          <w:p w14:paraId="062DDEAF">
            <w:pPr>
              <w:tabs>
                <w:tab w:val="left" w:pos="6022"/>
              </w:tabs>
              <w:spacing w:before="156" w:beforeLines="50" w:line="400" w:lineRule="exact"/>
              <w:jc w:val="center"/>
              <w:rPr>
                <w:rFonts w:ascii="Arial" w:hAnsi="Arial" w:cs="Arial"/>
                <w:sz w:val="24"/>
              </w:rPr>
            </w:pPr>
          </w:p>
        </w:tc>
        <w:tc>
          <w:tcPr>
            <w:tcW w:w="329" w:type="pct"/>
            <w:vAlign w:val="center"/>
          </w:tcPr>
          <w:p w14:paraId="747D78D1">
            <w:pPr>
              <w:tabs>
                <w:tab w:val="left" w:pos="6022"/>
              </w:tabs>
              <w:spacing w:before="156" w:beforeLines="50" w:line="400" w:lineRule="exact"/>
              <w:jc w:val="center"/>
              <w:rPr>
                <w:rFonts w:ascii="Arial" w:hAnsi="Arial" w:cs="Arial"/>
                <w:sz w:val="24"/>
              </w:rPr>
            </w:pPr>
          </w:p>
        </w:tc>
        <w:tc>
          <w:tcPr>
            <w:tcW w:w="356" w:type="pct"/>
            <w:vAlign w:val="center"/>
          </w:tcPr>
          <w:p w14:paraId="1755D022">
            <w:pPr>
              <w:tabs>
                <w:tab w:val="left" w:pos="6022"/>
              </w:tabs>
              <w:spacing w:before="156" w:beforeLines="50" w:line="400" w:lineRule="exact"/>
              <w:jc w:val="center"/>
              <w:rPr>
                <w:rFonts w:ascii="Arial" w:hAnsi="Arial" w:cs="Arial"/>
                <w:sz w:val="24"/>
              </w:rPr>
            </w:pPr>
          </w:p>
        </w:tc>
        <w:tc>
          <w:tcPr>
            <w:tcW w:w="356" w:type="pct"/>
            <w:vAlign w:val="center"/>
          </w:tcPr>
          <w:p w14:paraId="60BFF9B7">
            <w:pPr>
              <w:tabs>
                <w:tab w:val="left" w:pos="6022"/>
              </w:tabs>
              <w:spacing w:before="156" w:beforeLines="50" w:line="400" w:lineRule="exact"/>
              <w:jc w:val="center"/>
              <w:rPr>
                <w:rFonts w:ascii="Arial" w:hAnsi="Arial" w:cs="Arial"/>
                <w:sz w:val="24"/>
              </w:rPr>
            </w:pPr>
          </w:p>
        </w:tc>
        <w:tc>
          <w:tcPr>
            <w:tcW w:w="345" w:type="pct"/>
            <w:vAlign w:val="center"/>
          </w:tcPr>
          <w:p w14:paraId="7DF2E6EC">
            <w:pPr>
              <w:tabs>
                <w:tab w:val="left" w:pos="6022"/>
              </w:tabs>
              <w:spacing w:before="156" w:beforeLines="50" w:line="400" w:lineRule="exact"/>
              <w:jc w:val="center"/>
              <w:rPr>
                <w:rFonts w:ascii="Arial" w:hAnsi="Arial" w:cs="Arial"/>
                <w:sz w:val="24"/>
              </w:rPr>
            </w:pPr>
          </w:p>
        </w:tc>
        <w:tc>
          <w:tcPr>
            <w:tcW w:w="340" w:type="pct"/>
            <w:vAlign w:val="center"/>
          </w:tcPr>
          <w:p w14:paraId="21307381">
            <w:pPr>
              <w:tabs>
                <w:tab w:val="left" w:pos="6022"/>
              </w:tabs>
              <w:spacing w:before="156" w:beforeLines="50" w:line="400" w:lineRule="exact"/>
              <w:jc w:val="center"/>
              <w:rPr>
                <w:rFonts w:ascii="Arial" w:hAnsi="Arial" w:cs="Arial"/>
                <w:sz w:val="24"/>
              </w:rPr>
            </w:pPr>
          </w:p>
        </w:tc>
        <w:tc>
          <w:tcPr>
            <w:tcW w:w="387" w:type="pct"/>
            <w:vAlign w:val="center"/>
          </w:tcPr>
          <w:p w14:paraId="6A91E6FD">
            <w:pPr>
              <w:tabs>
                <w:tab w:val="left" w:pos="6022"/>
              </w:tabs>
              <w:spacing w:before="156" w:beforeLines="50" w:line="400" w:lineRule="exact"/>
              <w:jc w:val="center"/>
              <w:rPr>
                <w:rFonts w:ascii="Arial" w:hAnsi="Arial" w:cs="Arial"/>
                <w:sz w:val="24"/>
              </w:rPr>
            </w:pPr>
          </w:p>
        </w:tc>
        <w:tc>
          <w:tcPr>
            <w:tcW w:w="345" w:type="pct"/>
            <w:vAlign w:val="center"/>
          </w:tcPr>
          <w:p w14:paraId="7A577077">
            <w:pPr>
              <w:tabs>
                <w:tab w:val="left" w:pos="6022"/>
              </w:tabs>
              <w:spacing w:before="156" w:beforeLines="50" w:line="400" w:lineRule="exact"/>
              <w:jc w:val="center"/>
              <w:rPr>
                <w:rFonts w:ascii="Arial" w:hAnsi="Arial" w:cs="Arial"/>
                <w:sz w:val="24"/>
              </w:rPr>
            </w:pPr>
          </w:p>
        </w:tc>
      </w:tr>
      <w:tr w14:paraId="72AEA3B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275" w:hRule="atLeast"/>
        </w:trPr>
        <w:tc>
          <w:tcPr>
            <w:tcW w:w="451" w:type="pct"/>
          </w:tcPr>
          <w:p w14:paraId="591B39BC">
            <w:pPr>
              <w:tabs>
                <w:tab w:val="left" w:pos="6022"/>
              </w:tabs>
              <w:spacing w:before="156" w:beforeLines="50" w:line="400" w:lineRule="exact"/>
              <w:rPr>
                <w:rFonts w:ascii="Arial" w:hAnsi="Arial" w:cs="Arial"/>
                <w:sz w:val="24"/>
              </w:rPr>
            </w:pPr>
            <w:r>
              <w:rPr>
                <w:rFonts w:hint="eastAsia" w:ascii="Arial" w:hAnsi="Arial" w:cs="Arial"/>
                <w:sz w:val="24"/>
              </w:rPr>
              <w:t>2</w:t>
            </w:r>
            <w:r>
              <w:rPr>
                <w:rFonts w:ascii="Arial" w:hAnsi="Arial" w:cs="Arial"/>
                <w:sz w:val="24"/>
              </w:rPr>
              <w:t>025</w:t>
            </w:r>
            <w:r>
              <w:rPr>
                <w:rFonts w:hint="eastAsia" w:ascii="Arial" w:hAnsi="Arial" w:cs="Arial"/>
                <w:sz w:val="24"/>
              </w:rPr>
              <w:t>数量</w:t>
            </w:r>
          </w:p>
        </w:tc>
        <w:tc>
          <w:tcPr>
            <w:tcW w:w="291" w:type="pct"/>
            <w:vAlign w:val="center"/>
          </w:tcPr>
          <w:p w14:paraId="0482CB66">
            <w:pPr>
              <w:tabs>
                <w:tab w:val="left" w:pos="6022"/>
              </w:tabs>
              <w:spacing w:before="156" w:beforeLines="50" w:line="400" w:lineRule="exact"/>
              <w:jc w:val="center"/>
              <w:rPr>
                <w:rFonts w:ascii="Arial" w:hAnsi="Arial" w:cs="Arial"/>
                <w:sz w:val="24"/>
              </w:rPr>
            </w:pPr>
          </w:p>
        </w:tc>
        <w:tc>
          <w:tcPr>
            <w:tcW w:w="356" w:type="pct"/>
            <w:vAlign w:val="center"/>
          </w:tcPr>
          <w:p w14:paraId="28C1C353">
            <w:pPr>
              <w:tabs>
                <w:tab w:val="left" w:pos="6022"/>
              </w:tabs>
              <w:spacing w:before="156" w:beforeLines="50" w:line="400" w:lineRule="exact"/>
              <w:jc w:val="center"/>
              <w:rPr>
                <w:rFonts w:ascii="Arial" w:hAnsi="Arial" w:cs="Arial"/>
                <w:sz w:val="24"/>
              </w:rPr>
            </w:pPr>
          </w:p>
        </w:tc>
        <w:tc>
          <w:tcPr>
            <w:tcW w:w="302" w:type="pct"/>
            <w:vAlign w:val="center"/>
          </w:tcPr>
          <w:p w14:paraId="595C5D30">
            <w:pPr>
              <w:tabs>
                <w:tab w:val="left" w:pos="6022"/>
              </w:tabs>
              <w:spacing w:before="156" w:beforeLines="50" w:line="400" w:lineRule="exact"/>
              <w:jc w:val="center"/>
              <w:rPr>
                <w:rFonts w:ascii="Arial" w:hAnsi="Arial" w:cs="Arial"/>
                <w:sz w:val="24"/>
              </w:rPr>
            </w:pPr>
          </w:p>
        </w:tc>
        <w:tc>
          <w:tcPr>
            <w:tcW w:w="356" w:type="pct"/>
            <w:vAlign w:val="center"/>
          </w:tcPr>
          <w:p w14:paraId="2C6F14A1">
            <w:pPr>
              <w:tabs>
                <w:tab w:val="left" w:pos="6022"/>
              </w:tabs>
              <w:spacing w:before="156" w:beforeLines="50" w:line="400" w:lineRule="exact"/>
              <w:jc w:val="center"/>
              <w:rPr>
                <w:rFonts w:ascii="Arial" w:hAnsi="Arial" w:cs="Arial"/>
                <w:sz w:val="24"/>
              </w:rPr>
            </w:pPr>
          </w:p>
        </w:tc>
        <w:tc>
          <w:tcPr>
            <w:tcW w:w="411" w:type="pct"/>
            <w:vAlign w:val="center"/>
          </w:tcPr>
          <w:p w14:paraId="3C773749">
            <w:pPr>
              <w:tabs>
                <w:tab w:val="left" w:pos="6022"/>
              </w:tabs>
              <w:spacing w:before="156" w:beforeLines="50" w:line="400" w:lineRule="exact"/>
              <w:jc w:val="center"/>
              <w:rPr>
                <w:rFonts w:ascii="Arial" w:hAnsi="Arial" w:cs="Arial"/>
                <w:sz w:val="24"/>
              </w:rPr>
            </w:pPr>
          </w:p>
        </w:tc>
        <w:tc>
          <w:tcPr>
            <w:tcW w:w="372" w:type="pct"/>
            <w:vAlign w:val="center"/>
          </w:tcPr>
          <w:p w14:paraId="165601E6">
            <w:pPr>
              <w:tabs>
                <w:tab w:val="left" w:pos="6022"/>
              </w:tabs>
              <w:spacing w:before="156" w:beforeLines="50" w:line="400" w:lineRule="exact"/>
              <w:jc w:val="center"/>
              <w:rPr>
                <w:rFonts w:ascii="Arial" w:hAnsi="Arial" w:cs="Arial"/>
                <w:sz w:val="24"/>
              </w:rPr>
            </w:pPr>
          </w:p>
        </w:tc>
        <w:tc>
          <w:tcPr>
            <w:tcW w:w="329" w:type="pct"/>
            <w:vAlign w:val="center"/>
          </w:tcPr>
          <w:p w14:paraId="2F9238CE">
            <w:pPr>
              <w:tabs>
                <w:tab w:val="left" w:pos="6022"/>
              </w:tabs>
              <w:spacing w:before="156" w:beforeLines="50" w:line="400" w:lineRule="exact"/>
              <w:jc w:val="center"/>
              <w:rPr>
                <w:rFonts w:ascii="Arial" w:hAnsi="Arial" w:cs="Arial"/>
                <w:sz w:val="24"/>
              </w:rPr>
            </w:pPr>
          </w:p>
        </w:tc>
        <w:tc>
          <w:tcPr>
            <w:tcW w:w="356" w:type="pct"/>
            <w:vAlign w:val="center"/>
          </w:tcPr>
          <w:p w14:paraId="758CB974">
            <w:pPr>
              <w:tabs>
                <w:tab w:val="left" w:pos="6022"/>
              </w:tabs>
              <w:spacing w:before="156" w:beforeLines="50" w:line="400" w:lineRule="exact"/>
              <w:jc w:val="center"/>
              <w:rPr>
                <w:rFonts w:ascii="Arial" w:hAnsi="Arial" w:cs="Arial"/>
                <w:sz w:val="24"/>
              </w:rPr>
            </w:pPr>
          </w:p>
        </w:tc>
        <w:tc>
          <w:tcPr>
            <w:tcW w:w="356" w:type="pct"/>
            <w:vAlign w:val="center"/>
          </w:tcPr>
          <w:p w14:paraId="6F06A3EB">
            <w:pPr>
              <w:tabs>
                <w:tab w:val="left" w:pos="6022"/>
              </w:tabs>
              <w:spacing w:before="156" w:beforeLines="50" w:line="400" w:lineRule="exact"/>
              <w:jc w:val="center"/>
              <w:rPr>
                <w:rFonts w:ascii="Arial" w:hAnsi="Arial" w:cs="Arial"/>
                <w:sz w:val="24"/>
              </w:rPr>
            </w:pPr>
          </w:p>
        </w:tc>
        <w:tc>
          <w:tcPr>
            <w:tcW w:w="345" w:type="pct"/>
            <w:vAlign w:val="center"/>
          </w:tcPr>
          <w:p w14:paraId="4490BA58">
            <w:pPr>
              <w:tabs>
                <w:tab w:val="left" w:pos="6022"/>
              </w:tabs>
              <w:spacing w:before="156" w:beforeLines="50" w:line="400" w:lineRule="exact"/>
              <w:jc w:val="center"/>
              <w:rPr>
                <w:rFonts w:ascii="Arial" w:hAnsi="Arial" w:cs="Arial"/>
                <w:sz w:val="24"/>
              </w:rPr>
            </w:pPr>
          </w:p>
        </w:tc>
        <w:tc>
          <w:tcPr>
            <w:tcW w:w="340" w:type="pct"/>
            <w:vAlign w:val="center"/>
          </w:tcPr>
          <w:p w14:paraId="5A031593">
            <w:pPr>
              <w:tabs>
                <w:tab w:val="left" w:pos="6022"/>
              </w:tabs>
              <w:spacing w:before="156" w:beforeLines="50" w:line="400" w:lineRule="exact"/>
              <w:jc w:val="center"/>
              <w:rPr>
                <w:rFonts w:ascii="Arial" w:hAnsi="Arial" w:cs="Arial"/>
                <w:sz w:val="24"/>
              </w:rPr>
            </w:pPr>
          </w:p>
        </w:tc>
        <w:tc>
          <w:tcPr>
            <w:tcW w:w="387" w:type="pct"/>
            <w:vAlign w:val="center"/>
          </w:tcPr>
          <w:p w14:paraId="7F499F1A">
            <w:pPr>
              <w:tabs>
                <w:tab w:val="left" w:pos="6022"/>
              </w:tabs>
              <w:spacing w:before="156" w:beforeLines="50" w:line="400" w:lineRule="exact"/>
              <w:jc w:val="center"/>
              <w:rPr>
                <w:rFonts w:ascii="Arial" w:hAnsi="Arial" w:cs="Arial"/>
                <w:sz w:val="24"/>
              </w:rPr>
            </w:pPr>
          </w:p>
        </w:tc>
        <w:tc>
          <w:tcPr>
            <w:tcW w:w="345" w:type="pct"/>
            <w:vAlign w:val="center"/>
          </w:tcPr>
          <w:p w14:paraId="4669A02E">
            <w:pPr>
              <w:tabs>
                <w:tab w:val="left" w:pos="6022"/>
              </w:tabs>
              <w:spacing w:before="156" w:beforeLines="50" w:line="400" w:lineRule="exact"/>
              <w:jc w:val="center"/>
              <w:rPr>
                <w:rFonts w:ascii="Arial" w:hAnsi="Arial" w:cs="Arial"/>
                <w:sz w:val="24"/>
              </w:rPr>
            </w:pPr>
          </w:p>
        </w:tc>
      </w:tr>
    </w:tbl>
    <w:p w14:paraId="469BFF15">
      <w:pPr>
        <w:tabs>
          <w:tab w:val="left" w:pos="6022"/>
        </w:tabs>
        <w:spacing w:before="156" w:beforeLines="50" w:line="400" w:lineRule="exact"/>
        <w:rPr>
          <w:rFonts w:ascii="Arial" w:hAnsi="Arial" w:cs="Arial"/>
          <w:szCs w:val="21"/>
        </w:rPr>
      </w:pPr>
      <w:r>
        <w:drawing>
          <wp:anchor distT="0" distB="0" distL="114300" distR="114300" simplePos="0" relativeHeight="251661312" behindDoc="0" locked="0" layoutInCell="1" allowOverlap="1">
            <wp:simplePos x="0" y="0"/>
            <wp:positionH relativeFrom="margin">
              <wp:align>right</wp:align>
            </wp:positionH>
            <wp:positionV relativeFrom="paragraph">
              <wp:posOffset>3374390</wp:posOffset>
            </wp:positionV>
            <wp:extent cx="6115050" cy="2971800"/>
            <wp:effectExtent l="0" t="0" r="0" b="0"/>
            <wp:wrapSquare wrapText="bothSides"/>
            <wp:docPr id="14" name="图表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anchor>
        </w:drawing>
      </w:r>
      <w:r>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6105525" cy="3238500"/>
            <wp:effectExtent l="0" t="0" r="9525" b="0"/>
            <wp:wrapSquare wrapText="bothSides"/>
            <wp:docPr id="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anchor>
        </w:drawing>
      </w:r>
      <w:r>
        <w:rPr>
          <w:rFonts w:ascii="Arial" w:hAnsi="Arial" w:cs="Arial"/>
          <w:szCs w:val="21"/>
        </w:rPr>
        <w:t>注：</w:t>
      </w:r>
      <w:r>
        <w:rPr>
          <w:rFonts w:ascii="Arial" w:hAnsi="Arial" w:cs="Arial"/>
          <w:sz w:val="24"/>
        </w:rPr>
        <w:t xml:space="preserve"> </w:t>
      </w:r>
      <w:r>
        <w:rPr>
          <w:rFonts w:ascii="Arial" w:hAnsi="Arial" w:cs="Arial"/>
          <w:szCs w:val="21"/>
        </w:rPr>
        <w:t>1.其它部门包括：采供部、人力行政部、</w:t>
      </w:r>
      <w:r>
        <w:rPr>
          <w:rFonts w:hint="eastAsia" w:ascii="Arial" w:hAnsi="Arial" w:cs="Arial"/>
          <w:szCs w:val="21"/>
        </w:rPr>
        <w:t>数字化管理部</w:t>
      </w:r>
      <w:r>
        <w:rPr>
          <w:rFonts w:ascii="Arial" w:hAnsi="Arial" w:cs="Arial"/>
          <w:szCs w:val="21"/>
        </w:rPr>
        <w:t>、质量研究部、</w:t>
      </w:r>
      <w:r>
        <w:rPr>
          <w:rFonts w:hint="eastAsia" w:ascii="Arial" w:hAnsi="Arial" w:cs="Arial"/>
          <w:szCs w:val="21"/>
        </w:rPr>
        <w:t>技术转移部，</w:t>
      </w:r>
      <w:r>
        <w:rPr>
          <w:rFonts w:ascii="Arial" w:hAnsi="Arial" w:cs="Arial"/>
          <w:szCs w:val="21"/>
        </w:rPr>
        <w:t>这些部门由于发起的变更较少，为方便统计，故合并为其它部门</w:t>
      </w:r>
      <w:r>
        <w:rPr>
          <w:rFonts w:hint="eastAsia" w:ascii="Arial" w:hAnsi="Arial" w:cs="Arial"/>
          <w:szCs w:val="21"/>
        </w:rPr>
        <w:t>。</w:t>
      </w:r>
    </w:p>
    <w:p w14:paraId="006F5CB9">
      <w:pPr>
        <w:tabs>
          <w:tab w:val="left" w:pos="6022"/>
        </w:tabs>
        <w:spacing w:before="156" w:beforeLines="50" w:line="400" w:lineRule="exact"/>
        <w:rPr>
          <w:rFonts w:ascii="Arial" w:hAnsi="Arial" w:cs="Arial"/>
          <w:sz w:val="24"/>
        </w:rPr>
      </w:pPr>
      <w:r>
        <w:rPr>
          <w:rFonts w:ascii="Arial" w:hAnsi="Arial" w:cs="Arial"/>
          <w:sz w:val="24"/>
        </w:rPr>
        <w:t>小结：</w:t>
      </w:r>
      <w:r>
        <w:rPr>
          <w:rFonts w:hint="eastAsia" w:ascii="Arial" w:hAnsi="Arial" w:cs="Arial"/>
          <w:sz w:val="24"/>
        </w:rPr>
        <w:t>从2024年与2025年变更部门的数据对比来看，除了合成车间、质量研究部、人力行政部、技术转移部呈现轻微波动基本持平的态势外，其余部门变更数量均呈现增长趋势。近两年变更发起数量前三的部门始终为质检部、质量保证部和一车间。在2025年度变更中：质检部变更379份，占比约53%；质量保证部121份，占比约17%；一车间100份，占比约14%。这三个部门的变更总量占全公司变更的比重仍保持在 8</w:t>
      </w:r>
      <w:r>
        <w:rPr>
          <w:rFonts w:ascii="Arial" w:hAnsi="Arial" w:cs="Arial"/>
          <w:sz w:val="24"/>
        </w:rPr>
        <w:t>0</w:t>
      </w:r>
      <w:r>
        <w:rPr>
          <w:rFonts w:hint="eastAsia" w:ascii="Arial" w:hAnsi="Arial" w:cs="Arial"/>
          <w:sz w:val="24"/>
        </w:rPr>
        <w:t>% 以上。该结构延续往年的主要原因仍体现在以下两方面：其一，行业监管环境持续严格，2025版药典的执行，质量标准/方法进行差异分析后，按药典要求进行修订这是质检部变更数量持续处于高位的关键因素。其二，伴随公司业务扩张与技术转移项目增多，涉及供应商管理、生产过程监控、体系文件优化等工作持续开展，从而推动质量保证部与一车间的变更数量及占比保持较高水平。</w:t>
      </w:r>
    </w:p>
    <w:p w14:paraId="3A6EC887">
      <w:pPr>
        <w:tabs>
          <w:tab w:val="left" w:pos="6022"/>
        </w:tabs>
        <w:spacing w:before="156" w:beforeLines="50" w:line="400" w:lineRule="exact"/>
        <w:rPr>
          <w:rFonts w:ascii="Arial" w:hAnsi="Arial" w:cs="Arial"/>
          <w:sz w:val="24"/>
        </w:rPr>
      </w:pPr>
      <w:r>
        <w:rPr>
          <w:rFonts w:hint="eastAsia" w:ascii="Arial" w:hAnsi="Arial" w:cs="Arial"/>
          <w:sz w:val="24"/>
        </w:rPr>
        <w:t>2</w:t>
      </w:r>
      <w:r>
        <w:rPr>
          <w:rFonts w:ascii="Arial" w:hAnsi="Arial" w:cs="Arial"/>
          <w:sz w:val="24"/>
        </w:rPr>
        <w:t xml:space="preserve">.3  </w:t>
      </w:r>
      <w:r>
        <w:rPr>
          <w:rFonts w:hint="eastAsia" w:ascii="Arial" w:hAnsi="Arial" w:cs="Arial"/>
          <w:sz w:val="24"/>
        </w:rPr>
        <w:t>变更类别分析</w:t>
      </w:r>
    </w:p>
    <w:tbl>
      <w:tblPr>
        <w:tblStyle w:val="25"/>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695"/>
        <w:gridCol w:w="564"/>
        <w:gridCol w:w="614"/>
        <w:gridCol w:w="518"/>
        <w:gridCol w:w="519"/>
        <w:gridCol w:w="518"/>
        <w:gridCol w:w="515"/>
        <w:gridCol w:w="520"/>
        <w:gridCol w:w="515"/>
        <w:gridCol w:w="520"/>
        <w:gridCol w:w="515"/>
        <w:gridCol w:w="515"/>
        <w:gridCol w:w="515"/>
        <w:gridCol w:w="515"/>
        <w:gridCol w:w="659"/>
        <w:gridCol w:w="589"/>
        <w:gridCol w:w="821"/>
      </w:tblGrid>
      <w:tr w14:paraId="0089341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397" w:hRule="atLeast"/>
        </w:trPr>
        <w:tc>
          <w:tcPr>
            <w:tcW w:w="695" w:type="dxa"/>
            <w:vAlign w:val="center"/>
          </w:tcPr>
          <w:p w14:paraId="7C2DB24B">
            <w:pPr>
              <w:tabs>
                <w:tab w:val="left" w:pos="6022"/>
              </w:tabs>
              <w:spacing w:before="156" w:beforeLines="50" w:line="400" w:lineRule="exact"/>
              <w:rPr>
                <w:rFonts w:ascii="Arial" w:hAnsi="Arial" w:cs="Arial"/>
                <w:color w:val="000000"/>
                <w:kern w:val="0"/>
                <w:szCs w:val="21"/>
              </w:rPr>
            </w:pPr>
            <w:r>
              <w:rPr>
                <w:rFonts w:hint="eastAsia" w:ascii="等线" w:hAnsi="等线" w:eastAsia="等线"/>
                <w:color w:val="000000"/>
                <w:sz w:val="22"/>
                <w:szCs w:val="22"/>
              </w:rPr>
              <w:t>变更类别</w:t>
            </w:r>
          </w:p>
        </w:tc>
        <w:tc>
          <w:tcPr>
            <w:tcW w:w="564" w:type="dxa"/>
            <w:vAlign w:val="center"/>
          </w:tcPr>
          <w:p w14:paraId="001DD9AA">
            <w:pPr>
              <w:tabs>
                <w:tab w:val="left" w:pos="6022"/>
              </w:tabs>
              <w:spacing w:before="156" w:beforeLines="50" w:line="400" w:lineRule="exact"/>
              <w:rPr>
                <w:rFonts w:ascii="Arial" w:hAnsi="Arial" w:cs="Arial"/>
                <w:color w:val="000000"/>
                <w:kern w:val="0"/>
                <w:szCs w:val="21"/>
              </w:rPr>
            </w:pPr>
            <w:r>
              <w:rPr>
                <w:rFonts w:hint="eastAsia" w:ascii="等线" w:hAnsi="等线" w:eastAsia="等线"/>
                <w:color w:val="000000"/>
                <w:sz w:val="22"/>
                <w:szCs w:val="22"/>
              </w:rPr>
              <w:t>文件</w:t>
            </w:r>
          </w:p>
        </w:tc>
        <w:tc>
          <w:tcPr>
            <w:tcW w:w="614" w:type="dxa"/>
            <w:vAlign w:val="center"/>
          </w:tcPr>
          <w:p w14:paraId="390832BA">
            <w:pPr>
              <w:tabs>
                <w:tab w:val="left" w:pos="6022"/>
              </w:tabs>
              <w:spacing w:before="156" w:beforeLines="50" w:line="400" w:lineRule="exact"/>
              <w:rPr>
                <w:rFonts w:ascii="Arial" w:hAnsi="Arial" w:cs="Arial"/>
                <w:color w:val="000000"/>
                <w:kern w:val="0"/>
                <w:szCs w:val="21"/>
              </w:rPr>
            </w:pPr>
            <w:r>
              <w:rPr>
                <w:rFonts w:hint="eastAsia" w:ascii="等线" w:hAnsi="等线" w:eastAsia="等线"/>
                <w:color w:val="000000"/>
                <w:sz w:val="22"/>
                <w:szCs w:val="22"/>
              </w:rPr>
              <w:t>操作规程</w:t>
            </w:r>
          </w:p>
        </w:tc>
        <w:tc>
          <w:tcPr>
            <w:tcW w:w="518" w:type="dxa"/>
            <w:vAlign w:val="center"/>
          </w:tcPr>
          <w:p w14:paraId="2FF8ADEA">
            <w:pPr>
              <w:tabs>
                <w:tab w:val="left" w:pos="6022"/>
              </w:tabs>
              <w:spacing w:before="156" w:beforeLines="50" w:line="400" w:lineRule="exact"/>
              <w:rPr>
                <w:rFonts w:ascii="Arial" w:hAnsi="Arial" w:cs="Arial"/>
                <w:color w:val="000000"/>
                <w:kern w:val="0"/>
                <w:szCs w:val="21"/>
              </w:rPr>
            </w:pPr>
            <w:r>
              <w:rPr>
                <w:rFonts w:hint="eastAsia" w:ascii="等线" w:hAnsi="等线" w:eastAsia="等线"/>
                <w:color w:val="000000"/>
                <w:sz w:val="22"/>
                <w:szCs w:val="22"/>
              </w:rPr>
              <w:t>检验方法</w:t>
            </w:r>
          </w:p>
        </w:tc>
        <w:tc>
          <w:tcPr>
            <w:tcW w:w="519" w:type="dxa"/>
            <w:vAlign w:val="center"/>
          </w:tcPr>
          <w:p w14:paraId="1BC1506F">
            <w:pPr>
              <w:tabs>
                <w:tab w:val="left" w:pos="6022"/>
              </w:tabs>
              <w:spacing w:before="156" w:beforeLines="50" w:line="400" w:lineRule="exact"/>
              <w:rPr>
                <w:rFonts w:ascii="Arial" w:hAnsi="Arial" w:cs="Arial"/>
                <w:color w:val="000000"/>
                <w:kern w:val="0"/>
                <w:szCs w:val="21"/>
              </w:rPr>
            </w:pPr>
            <w:r>
              <w:rPr>
                <w:rFonts w:hint="eastAsia" w:ascii="等线" w:hAnsi="等线" w:eastAsia="等线"/>
                <w:color w:val="000000"/>
                <w:sz w:val="22"/>
                <w:szCs w:val="22"/>
              </w:rPr>
              <w:t>质量标准</w:t>
            </w:r>
          </w:p>
        </w:tc>
        <w:tc>
          <w:tcPr>
            <w:tcW w:w="518" w:type="dxa"/>
            <w:vAlign w:val="center"/>
          </w:tcPr>
          <w:p w14:paraId="231EFC39">
            <w:pPr>
              <w:tabs>
                <w:tab w:val="left" w:pos="6022"/>
              </w:tabs>
              <w:spacing w:before="156" w:beforeLines="50" w:line="400" w:lineRule="exact"/>
              <w:rPr>
                <w:rFonts w:ascii="Arial" w:hAnsi="Arial" w:cs="Arial"/>
                <w:color w:val="000000"/>
                <w:kern w:val="0"/>
                <w:szCs w:val="21"/>
              </w:rPr>
            </w:pPr>
            <w:r>
              <w:rPr>
                <w:rFonts w:hint="eastAsia" w:ascii="等线" w:hAnsi="等线" w:eastAsia="等线"/>
                <w:color w:val="000000"/>
                <w:sz w:val="22"/>
                <w:szCs w:val="22"/>
              </w:rPr>
              <w:t>计算机化系统</w:t>
            </w:r>
          </w:p>
        </w:tc>
        <w:tc>
          <w:tcPr>
            <w:tcW w:w="515" w:type="dxa"/>
            <w:vAlign w:val="center"/>
          </w:tcPr>
          <w:p w14:paraId="33D13745">
            <w:pPr>
              <w:tabs>
                <w:tab w:val="left" w:pos="6022"/>
              </w:tabs>
              <w:spacing w:before="156" w:beforeLines="50" w:line="400" w:lineRule="exact"/>
              <w:rPr>
                <w:rFonts w:ascii="Arial" w:hAnsi="Arial" w:cs="Arial"/>
                <w:color w:val="000000"/>
                <w:kern w:val="0"/>
                <w:szCs w:val="21"/>
              </w:rPr>
            </w:pPr>
            <w:r>
              <w:rPr>
                <w:rFonts w:hint="eastAsia" w:ascii="等线" w:hAnsi="等线" w:eastAsia="等线"/>
                <w:color w:val="000000"/>
                <w:sz w:val="22"/>
                <w:szCs w:val="22"/>
              </w:rPr>
              <w:t>贮存/有效期</w:t>
            </w:r>
          </w:p>
        </w:tc>
        <w:tc>
          <w:tcPr>
            <w:tcW w:w="520" w:type="dxa"/>
            <w:vAlign w:val="center"/>
          </w:tcPr>
          <w:p w14:paraId="6733E075">
            <w:pPr>
              <w:tabs>
                <w:tab w:val="left" w:pos="6022"/>
              </w:tabs>
              <w:spacing w:before="156" w:beforeLines="50" w:line="400" w:lineRule="exact"/>
              <w:rPr>
                <w:rFonts w:ascii="Arial" w:hAnsi="Arial" w:cs="Arial"/>
                <w:color w:val="000000"/>
                <w:kern w:val="0"/>
                <w:szCs w:val="21"/>
              </w:rPr>
            </w:pPr>
            <w:r>
              <w:rPr>
                <w:rFonts w:hint="eastAsia" w:ascii="等线" w:hAnsi="等线" w:eastAsia="等线"/>
                <w:color w:val="000000"/>
                <w:sz w:val="22"/>
                <w:szCs w:val="22"/>
              </w:rPr>
              <w:t>厂房设施/设备</w:t>
            </w:r>
          </w:p>
        </w:tc>
        <w:tc>
          <w:tcPr>
            <w:tcW w:w="515" w:type="dxa"/>
            <w:vAlign w:val="center"/>
          </w:tcPr>
          <w:p w14:paraId="4AE0EAE7">
            <w:pPr>
              <w:tabs>
                <w:tab w:val="left" w:pos="6022"/>
              </w:tabs>
              <w:spacing w:before="156" w:beforeLines="50" w:line="400" w:lineRule="exact"/>
              <w:rPr>
                <w:rFonts w:ascii="Arial" w:hAnsi="Arial" w:cs="Arial"/>
                <w:color w:val="000000"/>
                <w:kern w:val="0"/>
                <w:szCs w:val="21"/>
              </w:rPr>
            </w:pPr>
            <w:r>
              <w:rPr>
                <w:rFonts w:hint="eastAsia" w:ascii="等线" w:hAnsi="等线" w:eastAsia="等线"/>
                <w:color w:val="000000"/>
                <w:sz w:val="22"/>
                <w:szCs w:val="22"/>
              </w:rPr>
              <w:t>包材/耗材</w:t>
            </w:r>
          </w:p>
        </w:tc>
        <w:tc>
          <w:tcPr>
            <w:tcW w:w="520" w:type="dxa"/>
            <w:vAlign w:val="center"/>
          </w:tcPr>
          <w:p w14:paraId="14341053">
            <w:pPr>
              <w:tabs>
                <w:tab w:val="left" w:pos="6022"/>
              </w:tabs>
              <w:spacing w:before="156" w:beforeLines="50" w:line="400" w:lineRule="exact"/>
              <w:rPr>
                <w:rFonts w:ascii="Arial" w:hAnsi="Arial" w:cs="Arial"/>
                <w:color w:val="000000"/>
                <w:kern w:val="0"/>
                <w:szCs w:val="21"/>
              </w:rPr>
            </w:pPr>
            <w:r>
              <w:rPr>
                <w:rFonts w:hint="eastAsia" w:ascii="等线" w:hAnsi="等线" w:eastAsia="等线"/>
                <w:color w:val="000000"/>
                <w:sz w:val="22"/>
                <w:szCs w:val="22"/>
              </w:rPr>
              <w:t>供应商</w:t>
            </w:r>
          </w:p>
        </w:tc>
        <w:tc>
          <w:tcPr>
            <w:tcW w:w="515" w:type="dxa"/>
            <w:vAlign w:val="center"/>
          </w:tcPr>
          <w:p w14:paraId="2C62F129">
            <w:pPr>
              <w:tabs>
                <w:tab w:val="left" w:pos="6022"/>
              </w:tabs>
              <w:spacing w:before="156" w:beforeLines="50" w:line="400" w:lineRule="exact"/>
              <w:rPr>
                <w:rFonts w:ascii="Arial" w:hAnsi="Arial" w:cs="Arial"/>
                <w:color w:val="000000"/>
                <w:kern w:val="0"/>
                <w:szCs w:val="21"/>
              </w:rPr>
            </w:pPr>
            <w:r>
              <w:rPr>
                <w:rFonts w:hint="eastAsia" w:ascii="等线" w:hAnsi="等线" w:eastAsia="等线"/>
                <w:color w:val="000000"/>
                <w:sz w:val="22"/>
                <w:szCs w:val="22"/>
              </w:rPr>
              <w:t>人员</w:t>
            </w:r>
          </w:p>
        </w:tc>
        <w:tc>
          <w:tcPr>
            <w:tcW w:w="515" w:type="dxa"/>
            <w:vAlign w:val="center"/>
          </w:tcPr>
          <w:p w14:paraId="6ACA6BCB">
            <w:pPr>
              <w:tabs>
                <w:tab w:val="left" w:pos="6022"/>
              </w:tabs>
              <w:spacing w:before="156" w:beforeLines="50" w:line="400" w:lineRule="exact"/>
              <w:rPr>
                <w:rFonts w:ascii="Arial" w:hAnsi="Arial" w:cs="Arial"/>
                <w:color w:val="000000"/>
                <w:kern w:val="0"/>
                <w:szCs w:val="21"/>
              </w:rPr>
            </w:pPr>
            <w:r>
              <w:rPr>
                <w:rFonts w:hint="eastAsia" w:ascii="等线" w:hAnsi="等线" w:eastAsia="等线"/>
                <w:color w:val="000000"/>
                <w:sz w:val="22"/>
                <w:szCs w:val="22"/>
              </w:rPr>
              <w:t>场地</w:t>
            </w:r>
          </w:p>
        </w:tc>
        <w:tc>
          <w:tcPr>
            <w:tcW w:w="515" w:type="dxa"/>
            <w:vAlign w:val="center"/>
          </w:tcPr>
          <w:p w14:paraId="72963C1C">
            <w:pPr>
              <w:tabs>
                <w:tab w:val="left" w:pos="6022"/>
              </w:tabs>
              <w:spacing w:before="156" w:beforeLines="50" w:line="400" w:lineRule="exact"/>
              <w:rPr>
                <w:rFonts w:ascii="Arial" w:hAnsi="Arial" w:cs="Arial"/>
                <w:color w:val="000000"/>
                <w:kern w:val="0"/>
                <w:szCs w:val="21"/>
              </w:rPr>
            </w:pPr>
            <w:r>
              <w:rPr>
                <w:rFonts w:hint="eastAsia" w:ascii="等线" w:hAnsi="等线" w:eastAsia="等线"/>
                <w:color w:val="000000"/>
                <w:sz w:val="22"/>
                <w:szCs w:val="22"/>
              </w:rPr>
              <w:t>生产工艺</w:t>
            </w:r>
          </w:p>
        </w:tc>
        <w:tc>
          <w:tcPr>
            <w:tcW w:w="515" w:type="dxa"/>
            <w:vAlign w:val="center"/>
          </w:tcPr>
          <w:p w14:paraId="088CF7A2">
            <w:pPr>
              <w:tabs>
                <w:tab w:val="left" w:pos="6022"/>
              </w:tabs>
              <w:spacing w:before="156" w:beforeLines="50" w:line="400" w:lineRule="exact"/>
              <w:rPr>
                <w:rFonts w:ascii="Arial" w:hAnsi="Arial" w:cs="Arial"/>
                <w:color w:val="000000"/>
                <w:kern w:val="0"/>
                <w:szCs w:val="21"/>
              </w:rPr>
            </w:pPr>
            <w:r>
              <w:rPr>
                <w:rFonts w:hint="eastAsia" w:ascii="等线" w:hAnsi="等线" w:eastAsia="等线"/>
                <w:color w:val="000000"/>
                <w:sz w:val="22"/>
                <w:szCs w:val="22"/>
              </w:rPr>
              <w:t>规模/规格</w:t>
            </w:r>
          </w:p>
        </w:tc>
        <w:tc>
          <w:tcPr>
            <w:tcW w:w="659" w:type="dxa"/>
            <w:vAlign w:val="center"/>
          </w:tcPr>
          <w:p w14:paraId="2304C643">
            <w:pPr>
              <w:tabs>
                <w:tab w:val="left" w:pos="6022"/>
              </w:tabs>
              <w:spacing w:before="156" w:beforeLines="50" w:line="400" w:lineRule="exact"/>
              <w:rPr>
                <w:rFonts w:ascii="Arial" w:hAnsi="Arial" w:cs="Arial"/>
                <w:color w:val="000000"/>
                <w:kern w:val="0"/>
                <w:szCs w:val="21"/>
              </w:rPr>
            </w:pPr>
            <w:r>
              <w:rPr>
                <w:rFonts w:hint="eastAsia" w:ascii="等线" w:hAnsi="等线" w:eastAsia="等线"/>
                <w:color w:val="000000"/>
                <w:sz w:val="22"/>
                <w:szCs w:val="22"/>
              </w:rPr>
              <w:t>表达载体/种子</w:t>
            </w:r>
          </w:p>
        </w:tc>
        <w:tc>
          <w:tcPr>
            <w:tcW w:w="589" w:type="dxa"/>
            <w:vAlign w:val="center"/>
          </w:tcPr>
          <w:p w14:paraId="14239142">
            <w:pPr>
              <w:tabs>
                <w:tab w:val="left" w:pos="6022"/>
              </w:tabs>
              <w:spacing w:before="156" w:beforeLines="50" w:line="400" w:lineRule="exact"/>
              <w:jc w:val="center"/>
              <w:rPr>
                <w:rFonts w:ascii="等线" w:hAnsi="等线" w:eastAsia="等线"/>
                <w:color w:val="000000"/>
                <w:sz w:val="22"/>
                <w:szCs w:val="22"/>
              </w:rPr>
            </w:pPr>
            <w:r>
              <w:rPr>
                <w:rFonts w:hint="eastAsia" w:ascii="等线" w:hAnsi="等线" w:eastAsia="等线"/>
                <w:color w:val="000000"/>
                <w:sz w:val="22"/>
                <w:szCs w:val="22"/>
              </w:rPr>
              <w:t>稳定性</w:t>
            </w:r>
          </w:p>
        </w:tc>
        <w:tc>
          <w:tcPr>
            <w:tcW w:w="821" w:type="dxa"/>
            <w:vAlign w:val="center"/>
          </w:tcPr>
          <w:p w14:paraId="273C385A">
            <w:pPr>
              <w:tabs>
                <w:tab w:val="left" w:pos="6022"/>
              </w:tabs>
              <w:spacing w:before="156" w:beforeLines="50" w:line="400" w:lineRule="exact"/>
              <w:rPr>
                <w:rFonts w:ascii="等线" w:hAnsi="等线" w:eastAsia="等线"/>
                <w:color w:val="000000"/>
                <w:sz w:val="22"/>
                <w:szCs w:val="22"/>
              </w:rPr>
            </w:pPr>
            <w:r>
              <w:rPr>
                <w:rFonts w:hint="eastAsia" w:ascii="等线" w:hAnsi="等线" w:eastAsia="等线"/>
                <w:color w:val="000000"/>
                <w:sz w:val="22"/>
                <w:szCs w:val="22"/>
              </w:rPr>
              <w:t>其它</w:t>
            </w:r>
          </w:p>
        </w:tc>
      </w:tr>
      <w:tr w14:paraId="7933E8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5" w:type="dxa"/>
            <w:vAlign w:val="center"/>
          </w:tcPr>
          <w:p w14:paraId="2A9F45AC">
            <w:pPr>
              <w:tabs>
                <w:tab w:val="left" w:pos="6022"/>
              </w:tabs>
              <w:spacing w:before="156" w:beforeLines="50" w:line="400" w:lineRule="exact"/>
              <w:rPr>
                <w:rFonts w:ascii="Arial" w:hAnsi="Arial" w:cs="Arial"/>
                <w:color w:val="000000"/>
                <w:kern w:val="0"/>
                <w:szCs w:val="21"/>
              </w:rPr>
            </w:pPr>
            <w:r>
              <w:rPr>
                <w:rFonts w:hint="eastAsia" w:ascii="等线" w:hAnsi="等线" w:eastAsia="等线"/>
                <w:color w:val="000000"/>
                <w:sz w:val="22"/>
                <w:szCs w:val="22"/>
              </w:rPr>
              <w:t>2</w:t>
            </w:r>
            <w:r>
              <w:rPr>
                <w:rFonts w:ascii="等线" w:hAnsi="等线" w:eastAsia="等线"/>
                <w:color w:val="000000"/>
                <w:sz w:val="22"/>
                <w:szCs w:val="22"/>
              </w:rPr>
              <w:t>024</w:t>
            </w:r>
            <w:r>
              <w:rPr>
                <w:rFonts w:hint="eastAsia" w:ascii="等线" w:hAnsi="等线" w:eastAsia="等线"/>
                <w:color w:val="000000"/>
                <w:sz w:val="22"/>
                <w:szCs w:val="22"/>
              </w:rPr>
              <w:t>变更数量</w:t>
            </w:r>
          </w:p>
        </w:tc>
        <w:tc>
          <w:tcPr>
            <w:tcW w:w="564" w:type="dxa"/>
            <w:vAlign w:val="center"/>
          </w:tcPr>
          <w:p w14:paraId="3B4094A1">
            <w:pPr>
              <w:tabs>
                <w:tab w:val="left" w:pos="6022"/>
              </w:tabs>
              <w:spacing w:before="156" w:beforeLines="50" w:line="400" w:lineRule="exact"/>
              <w:jc w:val="center"/>
              <w:rPr>
                <w:rFonts w:ascii="Arial" w:hAnsi="Arial" w:cs="Arial"/>
                <w:color w:val="000000"/>
                <w:kern w:val="0"/>
                <w:szCs w:val="21"/>
              </w:rPr>
            </w:pPr>
          </w:p>
        </w:tc>
        <w:tc>
          <w:tcPr>
            <w:tcW w:w="614" w:type="dxa"/>
            <w:vAlign w:val="center"/>
          </w:tcPr>
          <w:p w14:paraId="28213486">
            <w:pPr>
              <w:tabs>
                <w:tab w:val="left" w:pos="6022"/>
              </w:tabs>
              <w:spacing w:before="156" w:beforeLines="50" w:line="400" w:lineRule="exact"/>
              <w:jc w:val="center"/>
              <w:rPr>
                <w:rFonts w:ascii="Arial" w:hAnsi="Arial" w:cs="Arial"/>
                <w:color w:val="000000"/>
                <w:kern w:val="0"/>
                <w:szCs w:val="21"/>
              </w:rPr>
            </w:pPr>
          </w:p>
        </w:tc>
        <w:tc>
          <w:tcPr>
            <w:tcW w:w="518" w:type="dxa"/>
            <w:vAlign w:val="center"/>
          </w:tcPr>
          <w:p w14:paraId="6B13E6FB">
            <w:pPr>
              <w:tabs>
                <w:tab w:val="left" w:pos="6022"/>
              </w:tabs>
              <w:spacing w:before="156" w:beforeLines="50" w:line="400" w:lineRule="exact"/>
              <w:jc w:val="center"/>
              <w:rPr>
                <w:rFonts w:ascii="Arial" w:hAnsi="Arial" w:cs="Arial"/>
                <w:color w:val="000000"/>
                <w:kern w:val="0"/>
                <w:szCs w:val="21"/>
              </w:rPr>
            </w:pPr>
          </w:p>
        </w:tc>
        <w:tc>
          <w:tcPr>
            <w:tcW w:w="519" w:type="dxa"/>
            <w:vAlign w:val="center"/>
          </w:tcPr>
          <w:p w14:paraId="01A282A6">
            <w:pPr>
              <w:tabs>
                <w:tab w:val="left" w:pos="6022"/>
              </w:tabs>
              <w:spacing w:before="156" w:beforeLines="50" w:line="400" w:lineRule="exact"/>
              <w:jc w:val="center"/>
              <w:rPr>
                <w:rFonts w:ascii="Arial" w:hAnsi="Arial" w:cs="Arial"/>
                <w:color w:val="000000"/>
                <w:kern w:val="0"/>
                <w:szCs w:val="21"/>
              </w:rPr>
            </w:pPr>
          </w:p>
        </w:tc>
        <w:tc>
          <w:tcPr>
            <w:tcW w:w="518" w:type="dxa"/>
            <w:vAlign w:val="center"/>
          </w:tcPr>
          <w:p w14:paraId="118191B0">
            <w:pPr>
              <w:tabs>
                <w:tab w:val="left" w:pos="6022"/>
              </w:tabs>
              <w:spacing w:before="156" w:beforeLines="50" w:line="400" w:lineRule="exact"/>
              <w:jc w:val="center"/>
              <w:rPr>
                <w:rFonts w:ascii="Arial" w:hAnsi="Arial" w:cs="Arial"/>
                <w:color w:val="000000"/>
                <w:kern w:val="0"/>
                <w:szCs w:val="21"/>
              </w:rPr>
            </w:pPr>
          </w:p>
        </w:tc>
        <w:tc>
          <w:tcPr>
            <w:tcW w:w="515" w:type="dxa"/>
            <w:vAlign w:val="center"/>
          </w:tcPr>
          <w:p w14:paraId="1036C4FE">
            <w:pPr>
              <w:tabs>
                <w:tab w:val="left" w:pos="6022"/>
              </w:tabs>
              <w:spacing w:before="156" w:beforeLines="50" w:line="400" w:lineRule="exact"/>
              <w:jc w:val="center"/>
              <w:rPr>
                <w:rFonts w:ascii="Arial" w:hAnsi="Arial" w:cs="Arial"/>
                <w:color w:val="000000"/>
                <w:kern w:val="0"/>
                <w:szCs w:val="21"/>
              </w:rPr>
            </w:pPr>
          </w:p>
        </w:tc>
        <w:tc>
          <w:tcPr>
            <w:tcW w:w="520" w:type="dxa"/>
            <w:vAlign w:val="center"/>
          </w:tcPr>
          <w:p w14:paraId="6C48F5F3">
            <w:pPr>
              <w:tabs>
                <w:tab w:val="left" w:pos="6022"/>
              </w:tabs>
              <w:spacing w:before="156" w:beforeLines="50" w:line="400" w:lineRule="exact"/>
              <w:jc w:val="center"/>
              <w:rPr>
                <w:rFonts w:ascii="Arial" w:hAnsi="Arial" w:cs="Arial"/>
                <w:color w:val="000000"/>
                <w:kern w:val="0"/>
                <w:szCs w:val="21"/>
              </w:rPr>
            </w:pPr>
          </w:p>
        </w:tc>
        <w:tc>
          <w:tcPr>
            <w:tcW w:w="515" w:type="dxa"/>
            <w:vAlign w:val="center"/>
          </w:tcPr>
          <w:p w14:paraId="740A1D8B">
            <w:pPr>
              <w:tabs>
                <w:tab w:val="left" w:pos="6022"/>
              </w:tabs>
              <w:spacing w:before="156" w:beforeLines="50" w:line="400" w:lineRule="exact"/>
              <w:jc w:val="center"/>
              <w:rPr>
                <w:rFonts w:ascii="Arial" w:hAnsi="Arial" w:cs="Arial"/>
                <w:color w:val="000000"/>
                <w:kern w:val="0"/>
                <w:szCs w:val="21"/>
              </w:rPr>
            </w:pPr>
          </w:p>
        </w:tc>
        <w:tc>
          <w:tcPr>
            <w:tcW w:w="520" w:type="dxa"/>
            <w:vAlign w:val="center"/>
          </w:tcPr>
          <w:p w14:paraId="3792ABDC">
            <w:pPr>
              <w:tabs>
                <w:tab w:val="left" w:pos="6022"/>
              </w:tabs>
              <w:spacing w:before="156" w:beforeLines="50" w:line="400" w:lineRule="exact"/>
              <w:jc w:val="center"/>
              <w:rPr>
                <w:rFonts w:ascii="Arial" w:hAnsi="Arial" w:cs="Arial"/>
                <w:color w:val="000000"/>
                <w:kern w:val="0"/>
                <w:szCs w:val="21"/>
              </w:rPr>
            </w:pPr>
          </w:p>
        </w:tc>
        <w:tc>
          <w:tcPr>
            <w:tcW w:w="515" w:type="dxa"/>
            <w:vAlign w:val="center"/>
          </w:tcPr>
          <w:p w14:paraId="10D7DE1B">
            <w:pPr>
              <w:tabs>
                <w:tab w:val="left" w:pos="6022"/>
              </w:tabs>
              <w:spacing w:before="156" w:beforeLines="50" w:line="400" w:lineRule="exact"/>
              <w:jc w:val="center"/>
              <w:rPr>
                <w:rFonts w:ascii="Arial" w:hAnsi="Arial" w:cs="Arial"/>
                <w:color w:val="000000"/>
                <w:kern w:val="0"/>
                <w:szCs w:val="21"/>
              </w:rPr>
            </w:pPr>
          </w:p>
        </w:tc>
        <w:tc>
          <w:tcPr>
            <w:tcW w:w="515" w:type="dxa"/>
            <w:vAlign w:val="center"/>
          </w:tcPr>
          <w:p w14:paraId="44707AB7">
            <w:pPr>
              <w:tabs>
                <w:tab w:val="left" w:pos="6022"/>
              </w:tabs>
              <w:spacing w:before="156" w:beforeLines="50" w:line="400" w:lineRule="exact"/>
              <w:jc w:val="center"/>
              <w:rPr>
                <w:rFonts w:ascii="Arial" w:hAnsi="Arial" w:cs="Arial"/>
                <w:color w:val="000000"/>
                <w:kern w:val="0"/>
                <w:szCs w:val="21"/>
              </w:rPr>
            </w:pPr>
          </w:p>
        </w:tc>
        <w:tc>
          <w:tcPr>
            <w:tcW w:w="515" w:type="dxa"/>
            <w:vAlign w:val="center"/>
          </w:tcPr>
          <w:p w14:paraId="2A208E35">
            <w:pPr>
              <w:tabs>
                <w:tab w:val="left" w:pos="6022"/>
              </w:tabs>
              <w:spacing w:before="156" w:beforeLines="50" w:line="400" w:lineRule="exact"/>
              <w:jc w:val="center"/>
              <w:rPr>
                <w:rFonts w:ascii="Arial" w:hAnsi="Arial" w:cs="Arial"/>
                <w:color w:val="000000"/>
                <w:kern w:val="0"/>
                <w:szCs w:val="21"/>
              </w:rPr>
            </w:pPr>
          </w:p>
        </w:tc>
        <w:tc>
          <w:tcPr>
            <w:tcW w:w="515" w:type="dxa"/>
            <w:vAlign w:val="center"/>
          </w:tcPr>
          <w:p w14:paraId="3DFC44EC">
            <w:pPr>
              <w:tabs>
                <w:tab w:val="left" w:pos="6022"/>
              </w:tabs>
              <w:spacing w:before="156" w:beforeLines="50" w:line="400" w:lineRule="exact"/>
              <w:jc w:val="center"/>
              <w:rPr>
                <w:rFonts w:ascii="Arial" w:hAnsi="Arial" w:cs="Arial"/>
                <w:color w:val="000000"/>
                <w:kern w:val="0"/>
                <w:szCs w:val="21"/>
              </w:rPr>
            </w:pPr>
          </w:p>
        </w:tc>
        <w:tc>
          <w:tcPr>
            <w:tcW w:w="659" w:type="dxa"/>
            <w:vAlign w:val="center"/>
          </w:tcPr>
          <w:p w14:paraId="11ECD805">
            <w:pPr>
              <w:tabs>
                <w:tab w:val="left" w:pos="6022"/>
              </w:tabs>
              <w:spacing w:before="156" w:beforeLines="50" w:line="400" w:lineRule="exact"/>
              <w:jc w:val="center"/>
              <w:rPr>
                <w:rFonts w:ascii="Arial" w:hAnsi="Arial" w:cs="Arial"/>
                <w:color w:val="000000"/>
                <w:kern w:val="0"/>
                <w:szCs w:val="21"/>
              </w:rPr>
            </w:pPr>
          </w:p>
        </w:tc>
        <w:tc>
          <w:tcPr>
            <w:tcW w:w="589" w:type="dxa"/>
            <w:vAlign w:val="center"/>
          </w:tcPr>
          <w:p w14:paraId="0FB970AB">
            <w:pPr>
              <w:tabs>
                <w:tab w:val="left" w:pos="6022"/>
              </w:tabs>
              <w:spacing w:before="156" w:beforeLines="50" w:line="400" w:lineRule="exact"/>
              <w:jc w:val="center"/>
              <w:rPr>
                <w:rFonts w:ascii="等线" w:hAnsi="等线" w:eastAsia="等线"/>
                <w:color w:val="000000"/>
                <w:sz w:val="22"/>
                <w:szCs w:val="22"/>
              </w:rPr>
            </w:pPr>
          </w:p>
        </w:tc>
        <w:tc>
          <w:tcPr>
            <w:tcW w:w="821" w:type="dxa"/>
            <w:vAlign w:val="center"/>
          </w:tcPr>
          <w:p w14:paraId="58862AA7">
            <w:pPr>
              <w:tabs>
                <w:tab w:val="left" w:pos="6022"/>
              </w:tabs>
              <w:spacing w:before="156" w:beforeLines="50" w:line="400" w:lineRule="exact"/>
              <w:jc w:val="center"/>
              <w:rPr>
                <w:rFonts w:ascii="等线" w:hAnsi="等线" w:eastAsia="等线"/>
                <w:color w:val="000000"/>
                <w:sz w:val="22"/>
                <w:szCs w:val="22"/>
              </w:rPr>
            </w:pPr>
          </w:p>
        </w:tc>
      </w:tr>
      <w:tr w14:paraId="5A8D749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5" w:type="dxa"/>
            <w:vAlign w:val="center"/>
          </w:tcPr>
          <w:p w14:paraId="4EE7D562">
            <w:pPr>
              <w:tabs>
                <w:tab w:val="left" w:pos="6022"/>
              </w:tabs>
              <w:spacing w:before="156" w:beforeLines="50" w:line="400" w:lineRule="exact"/>
              <w:rPr>
                <w:rFonts w:ascii="等线" w:hAnsi="等线" w:eastAsia="等线"/>
                <w:color w:val="000000"/>
                <w:sz w:val="22"/>
                <w:szCs w:val="22"/>
              </w:rPr>
            </w:pPr>
            <w:r>
              <w:rPr>
                <w:rFonts w:hint="eastAsia" w:ascii="等线" w:hAnsi="等线" w:eastAsia="等线"/>
                <w:color w:val="000000"/>
                <w:sz w:val="22"/>
                <w:szCs w:val="22"/>
              </w:rPr>
              <w:t>2</w:t>
            </w:r>
            <w:r>
              <w:rPr>
                <w:rFonts w:ascii="等线" w:hAnsi="等线" w:eastAsia="等线"/>
                <w:color w:val="000000"/>
                <w:sz w:val="22"/>
                <w:szCs w:val="22"/>
              </w:rPr>
              <w:t>025</w:t>
            </w:r>
            <w:r>
              <w:rPr>
                <w:rFonts w:hint="eastAsia" w:ascii="等线" w:hAnsi="等线" w:eastAsia="等线"/>
                <w:color w:val="000000"/>
                <w:sz w:val="22"/>
                <w:szCs w:val="22"/>
              </w:rPr>
              <w:t>变更数量</w:t>
            </w:r>
          </w:p>
        </w:tc>
        <w:tc>
          <w:tcPr>
            <w:tcW w:w="564" w:type="dxa"/>
            <w:vAlign w:val="center"/>
          </w:tcPr>
          <w:p w14:paraId="2EF202B8">
            <w:pPr>
              <w:tabs>
                <w:tab w:val="left" w:pos="6022"/>
              </w:tabs>
              <w:spacing w:before="156" w:beforeLines="50" w:line="400" w:lineRule="exact"/>
              <w:jc w:val="center"/>
              <w:rPr>
                <w:rFonts w:ascii="等线" w:hAnsi="等线" w:eastAsia="等线"/>
                <w:color w:val="000000"/>
                <w:sz w:val="22"/>
                <w:szCs w:val="22"/>
              </w:rPr>
            </w:pPr>
          </w:p>
        </w:tc>
        <w:tc>
          <w:tcPr>
            <w:tcW w:w="614" w:type="dxa"/>
            <w:vAlign w:val="center"/>
          </w:tcPr>
          <w:p w14:paraId="155F18D3">
            <w:pPr>
              <w:tabs>
                <w:tab w:val="left" w:pos="6022"/>
              </w:tabs>
              <w:spacing w:before="156" w:beforeLines="50" w:line="400" w:lineRule="exact"/>
              <w:jc w:val="center"/>
              <w:rPr>
                <w:rFonts w:ascii="等线" w:hAnsi="等线" w:eastAsia="等线"/>
                <w:color w:val="000000"/>
                <w:sz w:val="22"/>
                <w:szCs w:val="22"/>
              </w:rPr>
            </w:pPr>
          </w:p>
        </w:tc>
        <w:tc>
          <w:tcPr>
            <w:tcW w:w="518" w:type="dxa"/>
            <w:vAlign w:val="center"/>
          </w:tcPr>
          <w:p w14:paraId="7C48112B">
            <w:pPr>
              <w:tabs>
                <w:tab w:val="left" w:pos="6022"/>
              </w:tabs>
              <w:spacing w:before="156" w:beforeLines="50" w:line="400" w:lineRule="exact"/>
              <w:jc w:val="center"/>
              <w:rPr>
                <w:rFonts w:ascii="等线" w:hAnsi="等线" w:eastAsia="等线"/>
                <w:color w:val="000000"/>
                <w:sz w:val="22"/>
                <w:szCs w:val="22"/>
              </w:rPr>
            </w:pPr>
          </w:p>
        </w:tc>
        <w:tc>
          <w:tcPr>
            <w:tcW w:w="519" w:type="dxa"/>
            <w:vAlign w:val="center"/>
          </w:tcPr>
          <w:p w14:paraId="73C79980">
            <w:pPr>
              <w:tabs>
                <w:tab w:val="left" w:pos="6022"/>
              </w:tabs>
              <w:spacing w:before="156" w:beforeLines="50" w:line="400" w:lineRule="exact"/>
              <w:jc w:val="center"/>
              <w:rPr>
                <w:rFonts w:ascii="等线" w:hAnsi="等线" w:eastAsia="等线"/>
                <w:color w:val="000000"/>
                <w:sz w:val="22"/>
                <w:szCs w:val="22"/>
              </w:rPr>
            </w:pPr>
          </w:p>
        </w:tc>
        <w:tc>
          <w:tcPr>
            <w:tcW w:w="518" w:type="dxa"/>
            <w:vAlign w:val="center"/>
          </w:tcPr>
          <w:p w14:paraId="4B58BF82">
            <w:pPr>
              <w:tabs>
                <w:tab w:val="left" w:pos="6022"/>
              </w:tabs>
              <w:spacing w:before="156" w:beforeLines="50" w:line="400" w:lineRule="exact"/>
              <w:jc w:val="center"/>
              <w:rPr>
                <w:rFonts w:ascii="等线" w:hAnsi="等线" w:eastAsia="等线"/>
                <w:color w:val="000000"/>
                <w:sz w:val="22"/>
                <w:szCs w:val="22"/>
              </w:rPr>
            </w:pPr>
          </w:p>
        </w:tc>
        <w:tc>
          <w:tcPr>
            <w:tcW w:w="515" w:type="dxa"/>
            <w:vAlign w:val="center"/>
          </w:tcPr>
          <w:p w14:paraId="26B7A962">
            <w:pPr>
              <w:tabs>
                <w:tab w:val="left" w:pos="6022"/>
              </w:tabs>
              <w:spacing w:before="156" w:beforeLines="50" w:line="400" w:lineRule="exact"/>
              <w:jc w:val="center"/>
              <w:rPr>
                <w:rFonts w:ascii="等线" w:hAnsi="等线" w:eastAsia="等线"/>
                <w:color w:val="000000"/>
                <w:sz w:val="22"/>
                <w:szCs w:val="22"/>
              </w:rPr>
            </w:pPr>
          </w:p>
        </w:tc>
        <w:tc>
          <w:tcPr>
            <w:tcW w:w="520" w:type="dxa"/>
            <w:vAlign w:val="center"/>
          </w:tcPr>
          <w:p w14:paraId="6EE9CF31">
            <w:pPr>
              <w:tabs>
                <w:tab w:val="left" w:pos="6022"/>
              </w:tabs>
              <w:spacing w:before="156" w:beforeLines="50" w:line="400" w:lineRule="exact"/>
              <w:jc w:val="center"/>
              <w:rPr>
                <w:rFonts w:ascii="等线" w:hAnsi="等线" w:eastAsia="等线"/>
                <w:color w:val="000000"/>
                <w:sz w:val="22"/>
                <w:szCs w:val="22"/>
              </w:rPr>
            </w:pPr>
          </w:p>
        </w:tc>
        <w:tc>
          <w:tcPr>
            <w:tcW w:w="515" w:type="dxa"/>
            <w:vAlign w:val="center"/>
          </w:tcPr>
          <w:p w14:paraId="1ABE8CA7">
            <w:pPr>
              <w:tabs>
                <w:tab w:val="left" w:pos="6022"/>
              </w:tabs>
              <w:spacing w:before="156" w:beforeLines="50" w:line="400" w:lineRule="exact"/>
              <w:jc w:val="center"/>
              <w:rPr>
                <w:rFonts w:ascii="等线" w:hAnsi="等线" w:eastAsia="等线"/>
                <w:color w:val="000000"/>
                <w:sz w:val="22"/>
                <w:szCs w:val="22"/>
              </w:rPr>
            </w:pPr>
          </w:p>
        </w:tc>
        <w:tc>
          <w:tcPr>
            <w:tcW w:w="520" w:type="dxa"/>
            <w:vAlign w:val="center"/>
          </w:tcPr>
          <w:p w14:paraId="1B26B444">
            <w:pPr>
              <w:tabs>
                <w:tab w:val="left" w:pos="6022"/>
              </w:tabs>
              <w:spacing w:before="156" w:beforeLines="50" w:line="400" w:lineRule="exact"/>
              <w:jc w:val="center"/>
              <w:rPr>
                <w:rFonts w:ascii="等线" w:hAnsi="等线" w:eastAsia="等线"/>
                <w:color w:val="000000"/>
                <w:sz w:val="22"/>
                <w:szCs w:val="22"/>
              </w:rPr>
            </w:pPr>
          </w:p>
        </w:tc>
        <w:tc>
          <w:tcPr>
            <w:tcW w:w="515" w:type="dxa"/>
            <w:vAlign w:val="center"/>
          </w:tcPr>
          <w:p w14:paraId="36DE6720">
            <w:pPr>
              <w:tabs>
                <w:tab w:val="left" w:pos="6022"/>
              </w:tabs>
              <w:spacing w:before="156" w:beforeLines="50" w:line="400" w:lineRule="exact"/>
              <w:jc w:val="center"/>
              <w:rPr>
                <w:rFonts w:ascii="等线" w:hAnsi="等线" w:eastAsia="等线"/>
                <w:color w:val="000000"/>
                <w:sz w:val="22"/>
                <w:szCs w:val="22"/>
              </w:rPr>
            </w:pPr>
          </w:p>
        </w:tc>
        <w:tc>
          <w:tcPr>
            <w:tcW w:w="515" w:type="dxa"/>
            <w:vAlign w:val="center"/>
          </w:tcPr>
          <w:p w14:paraId="0D2708FA">
            <w:pPr>
              <w:tabs>
                <w:tab w:val="left" w:pos="6022"/>
              </w:tabs>
              <w:spacing w:before="156" w:beforeLines="50" w:line="400" w:lineRule="exact"/>
              <w:jc w:val="center"/>
              <w:rPr>
                <w:rFonts w:ascii="等线" w:hAnsi="等线" w:eastAsia="等线"/>
                <w:color w:val="000000"/>
                <w:sz w:val="22"/>
                <w:szCs w:val="22"/>
              </w:rPr>
            </w:pPr>
          </w:p>
        </w:tc>
        <w:tc>
          <w:tcPr>
            <w:tcW w:w="515" w:type="dxa"/>
            <w:vAlign w:val="center"/>
          </w:tcPr>
          <w:p w14:paraId="2D9003D6">
            <w:pPr>
              <w:tabs>
                <w:tab w:val="left" w:pos="6022"/>
              </w:tabs>
              <w:spacing w:before="156" w:beforeLines="50" w:line="400" w:lineRule="exact"/>
              <w:jc w:val="center"/>
              <w:rPr>
                <w:rFonts w:ascii="等线" w:hAnsi="等线" w:eastAsia="等线"/>
                <w:color w:val="000000"/>
                <w:sz w:val="22"/>
                <w:szCs w:val="22"/>
              </w:rPr>
            </w:pPr>
          </w:p>
        </w:tc>
        <w:tc>
          <w:tcPr>
            <w:tcW w:w="515" w:type="dxa"/>
            <w:vAlign w:val="center"/>
          </w:tcPr>
          <w:p w14:paraId="08EFF83F">
            <w:pPr>
              <w:tabs>
                <w:tab w:val="left" w:pos="6022"/>
              </w:tabs>
              <w:spacing w:before="156" w:beforeLines="50" w:line="400" w:lineRule="exact"/>
              <w:jc w:val="center"/>
              <w:rPr>
                <w:rFonts w:ascii="等线" w:hAnsi="等线" w:eastAsia="等线"/>
                <w:color w:val="000000"/>
                <w:sz w:val="22"/>
                <w:szCs w:val="22"/>
              </w:rPr>
            </w:pPr>
          </w:p>
        </w:tc>
        <w:tc>
          <w:tcPr>
            <w:tcW w:w="659" w:type="dxa"/>
            <w:vAlign w:val="center"/>
          </w:tcPr>
          <w:p w14:paraId="791331A5">
            <w:pPr>
              <w:tabs>
                <w:tab w:val="left" w:pos="6022"/>
              </w:tabs>
              <w:spacing w:before="156" w:beforeLines="50" w:line="400" w:lineRule="exact"/>
              <w:jc w:val="center"/>
              <w:rPr>
                <w:rFonts w:ascii="等线" w:hAnsi="等线" w:eastAsia="等线"/>
                <w:color w:val="000000"/>
                <w:sz w:val="22"/>
                <w:szCs w:val="22"/>
              </w:rPr>
            </w:pPr>
          </w:p>
        </w:tc>
        <w:tc>
          <w:tcPr>
            <w:tcW w:w="589" w:type="dxa"/>
            <w:vAlign w:val="center"/>
          </w:tcPr>
          <w:p w14:paraId="77494628">
            <w:pPr>
              <w:tabs>
                <w:tab w:val="left" w:pos="6022"/>
              </w:tabs>
              <w:spacing w:before="156" w:beforeLines="50" w:line="400" w:lineRule="exact"/>
              <w:jc w:val="center"/>
              <w:rPr>
                <w:rFonts w:ascii="等线" w:hAnsi="等线" w:eastAsia="等线"/>
                <w:color w:val="000000"/>
                <w:sz w:val="22"/>
                <w:szCs w:val="22"/>
              </w:rPr>
            </w:pPr>
          </w:p>
        </w:tc>
        <w:tc>
          <w:tcPr>
            <w:tcW w:w="821" w:type="dxa"/>
            <w:vAlign w:val="center"/>
          </w:tcPr>
          <w:p w14:paraId="70647FF3">
            <w:pPr>
              <w:tabs>
                <w:tab w:val="left" w:pos="6022"/>
              </w:tabs>
              <w:spacing w:before="156" w:beforeLines="50" w:line="400" w:lineRule="exact"/>
              <w:jc w:val="center"/>
              <w:rPr>
                <w:rFonts w:ascii="等线" w:hAnsi="等线" w:eastAsia="等线"/>
                <w:color w:val="000000"/>
                <w:sz w:val="22"/>
                <w:szCs w:val="22"/>
              </w:rPr>
            </w:pPr>
          </w:p>
        </w:tc>
      </w:tr>
    </w:tbl>
    <w:p w14:paraId="3E6EB6DA">
      <w:pPr>
        <w:tabs>
          <w:tab w:val="left" w:pos="6022"/>
        </w:tabs>
        <w:spacing w:before="156" w:beforeLines="50" w:line="400" w:lineRule="exact"/>
        <w:rPr>
          <w:rFonts w:ascii="Arial" w:hAnsi="Arial" w:cs="Arial"/>
          <w:sz w:val="24"/>
        </w:rPr>
      </w:pPr>
      <w:r>
        <w:drawing>
          <wp:anchor distT="0" distB="0" distL="114300" distR="114300" simplePos="0" relativeHeight="251662336" behindDoc="0" locked="0" layoutInCell="1" allowOverlap="1">
            <wp:simplePos x="0" y="0"/>
            <wp:positionH relativeFrom="margin">
              <wp:align>right</wp:align>
            </wp:positionH>
            <wp:positionV relativeFrom="paragraph">
              <wp:posOffset>2540</wp:posOffset>
            </wp:positionV>
            <wp:extent cx="6105525" cy="3219450"/>
            <wp:effectExtent l="0" t="0" r="9525" b="0"/>
            <wp:wrapSquare wrapText="bothSides"/>
            <wp:docPr id="3"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anchor>
        </w:drawing>
      </w:r>
      <w:r>
        <w:rPr>
          <w:rFonts w:hint="eastAsia" w:ascii="Arial" w:hAnsi="Arial" w:cs="Arial"/>
          <w:sz w:val="24"/>
        </w:rPr>
        <w:t>根据2024年与2025年变更类别数据对比，可以看出近两年变更数量主要集中在文件、操作规程、检验方法、质量标准及厂房设施/设备，本年度围绕质量体系文件、操作与检验方法的变更仍占主导另一方面，厂房设施/设备、计算机系统、供应商等基础设施类变更增长显著，具体情况如下：</w:t>
      </w:r>
    </w:p>
    <w:p w14:paraId="7146D24B">
      <w:pPr>
        <w:tabs>
          <w:tab w:val="left" w:pos="6022"/>
        </w:tabs>
        <w:spacing w:line="400" w:lineRule="exact"/>
        <w:rPr>
          <w:rFonts w:ascii="Arial" w:hAnsi="Arial" w:cs="Arial"/>
          <w:sz w:val="24"/>
        </w:rPr>
      </w:pPr>
      <w:r>
        <w:drawing>
          <wp:anchor distT="0" distB="0" distL="114300" distR="114300" simplePos="0" relativeHeight="251664384" behindDoc="0" locked="0" layoutInCell="1" allowOverlap="1">
            <wp:simplePos x="0" y="0"/>
            <wp:positionH relativeFrom="margin">
              <wp:posOffset>-5080</wp:posOffset>
            </wp:positionH>
            <wp:positionV relativeFrom="paragraph">
              <wp:posOffset>1402715</wp:posOffset>
            </wp:positionV>
            <wp:extent cx="6115050" cy="2743200"/>
            <wp:effectExtent l="0" t="0" r="0" b="0"/>
            <wp:wrapSquare wrapText="bothSides"/>
            <wp:docPr id="4"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anchor>
        </w:drawing>
      </w:r>
      <w:r>
        <w:rPr>
          <w:rFonts w:ascii="Arial" w:hAnsi="Arial" w:cs="Arial"/>
          <w:sz w:val="24"/>
        </w:rPr>
        <w:t>2.4  变更等级分析</w:t>
      </w:r>
    </w:p>
    <w:tbl>
      <w:tblPr>
        <w:tblStyle w:val="25"/>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838"/>
        <w:gridCol w:w="2012"/>
        <w:gridCol w:w="1925"/>
        <w:gridCol w:w="1926"/>
        <w:gridCol w:w="1926"/>
      </w:tblGrid>
      <w:tr w14:paraId="37C5654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38" w:type="dxa"/>
            <w:vAlign w:val="center"/>
          </w:tcPr>
          <w:p w14:paraId="3D495D91">
            <w:pPr>
              <w:tabs>
                <w:tab w:val="left" w:pos="6022"/>
              </w:tabs>
              <w:spacing w:before="156" w:beforeLines="50" w:line="400" w:lineRule="exact"/>
              <w:jc w:val="center"/>
              <w:rPr>
                <w:rFonts w:ascii="Arial" w:hAnsi="Arial" w:cs="Arial"/>
                <w:sz w:val="24"/>
              </w:rPr>
            </w:pPr>
            <w:r>
              <w:rPr>
                <w:rFonts w:hint="eastAsia" w:ascii="Arial" w:hAnsi="Arial" w:cs="Arial"/>
                <w:sz w:val="24"/>
              </w:rPr>
              <w:t>变更等级</w:t>
            </w:r>
          </w:p>
        </w:tc>
        <w:tc>
          <w:tcPr>
            <w:tcW w:w="2012" w:type="dxa"/>
            <w:vAlign w:val="center"/>
          </w:tcPr>
          <w:p w14:paraId="42974F0E">
            <w:pPr>
              <w:tabs>
                <w:tab w:val="left" w:pos="6022"/>
              </w:tabs>
              <w:spacing w:before="156" w:beforeLines="50" w:line="400" w:lineRule="exact"/>
              <w:jc w:val="center"/>
              <w:rPr>
                <w:rFonts w:ascii="Arial" w:hAnsi="Arial" w:cs="Arial"/>
                <w:sz w:val="24"/>
              </w:rPr>
            </w:pPr>
            <w:r>
              <w:rPr>
                <w:rFonts w:hint="eastAsia" w:ascii="Arial" w:hAnsi="Arial" w:cs="Arial"/>
                <w:sz w:val="24"/>
              </w:rPr>
              <w:t>微小变更</w:t>
            </w:r>
          </w:p>
        </w:tc>
        <w:tc>
          <w:tcPr>
            <w:tcW w:w="1925" w:type="dxa"/>
            <w:vAlign w:val="center"/>
          </w:tcPr>
          <w:p w14:paraId="41C09B96">
            <w:pPr>
              <w:tabs>
                <w:tab w:val="left" w:pos="6022"/>
              </w:tabs>
              <w:spacing w:before="156" w:beforeLines="50" w:line="400" w:lineRule="exact"/>
              <w:jc w:val="center"/>
              <w:rPr>
                <w:rFonts w:ascii="Arial" w:hAnsi="Arial" w:cs="Arial"/>
                <w:sz w:val="24"/>
              </w:rPr>
            </w:pPr>
            <w:r>
              <w:rPr>
                <w:rFonts w:hint="eastAsia" w:ascii="Arial" w:hAnsi="Arial" w:cs="Arial"/>
                <w:sz w:val="24"/>
              </w:rPr>
              <w:t>中等变更</w:t>
            </w:r>
          </w:p>
        </w:tc>
        <w:tc>
          <w:tcPr>
            <w:tcW w:w="1926" w:type="dxa"/>
            <w:vAlign w:val="center"/>
          </w:tcPr>
          <w:p w14:paraId="151D989F">
            <w:pPr>
              <w:tabs>
                <w:tab w:val="left" w:pos="6022"/>
              </w:tabs>
              <w:spacing w:before="156" w:beforeLines="50" w:line="400" w:lineRule="exact"/>
              <w:jc w:val="center"/>
              <w:rPr>
                <w:rFonts w:ascii="Arial" w:hAnsi="Arial" w:cs="Arial"/>
                <w:sz w:val="24"/>
              </w:rPr>
            </w:pPr>
            <w:r>
              <w:rPr>
                <w:rFonts w:hint="eastAsia" w:ascii="Arial" w:hAnsi="Arial" w:cs="Arial"/>
                <w:sz w:val="24"/>
              </w:rPr>
              <w:t>重大变更</w:t>
            </w:r>
          </w:p>
        </w:tc>
        <w:tc>
          <w:tcPr>
            <w:tcW w:w="1926" w:type="dxa"/>
            <w:vAlign w:val="center"/>
          </w:tcPr>
          <w:p w14:paraId="2B74B80C">
            <w:pPr>
              <w:tabs>
                <w:tab w:val="left" w:pos="6022"/>
              </w:tabs>
              <w:spacing w:before="156" w:beforeLines="50" w:line="400" w:lineRule="exact"/>
              <w:jc w:val="center"/>
              <w:rPr>
                <w:rFonts w:ascii="Arial" w:hAnsi="Arial" w:cs="Arial"/>
                <w:sz w:val="24"/>
              </w:rPr>
            </w:pPr>
            <w:r>
              <w:rPr>
                <w:rFonts w:hint="eastAsia" w:ascii="Arial" w:hAnsi="Arial" w:cs="Arial"/>
                <w:sz w:val="24"/>
              </w:rPr>
              <w:t>审批中及已终止</w:t>
            </w:r>
          </w:p>
        </w:tc>
      </w:tr>
      <w:tr w14:paraId="6FEDB59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38" w:type="dxa"/>
            <w:vAlign w:val="center"/>
          </w:tcPr>
          <w:p w14:paraId="66C30A6D">
            <w:pPr>
              <w:tabs>
                <w:tab w:val="left" w:pos="6022"/>
              </w:tabs>
              <w:spacing w:before="156" w:beforeLines="50" w:line="400" w:lineRule="exact"/>
              <w:jc w:val="center"/>
              <w:rPr>
                <w:rFonts w:ascii="Arial" w:hAnsi="Arial" w:cs="Arial"/>
                <w:sz w:val="24"/>
              </w:rPr>
            </w:pPr>
            <w:r>
              <w:rPr>
                <w:rFonts w:hint="eastAsia" w:ascii="Arial" w:hAnsi="Arial" w:cs="Arial"/>
                <w:sz w:val="24"/>
              </w:rPr>
              <w:t>2</w:t>
            </w:r>
            <w:r>
              <w:rPr>
                <w:rFonts w:ascii="Arial" w:hAnsi="Arial" w:cs="Arial"/>
                <w:sz w:val="24"/>
              </w:rPr>
              <w:t>024</w:t>
            </w:r>
            <w:r>
              <w:rPr>
                <w:rFonts w:hint="eastAsia" w:ascii="Arial" w:hAnsi="Arial" w:cs="Arial"/>
                <w:sz w:val="24"/>
              </w:rPr>
              <w:t>年数量</w:t>
            </w:r>
          </w:p>
        </w:tc>
        <w:tc>
          <w:tcPr>
            <w:tcW w:w="2012" w:type="dxa"/>
            <w:vAlign w:val="center"/>
          </w:tcPr>
          <w:p w14:paraId="6373E60A">
            <w:pPr>
              <w:tabs>
                <w:tab w:val="left" w:pos="6022"/>
              </w:tabs>
              <w:spacing w:before="156" w:beforeLines="50" w:line="400" w:lineRule="exact"/>
              <w:jc w:val="center"/>
              <w:rPr>
                <w:rFonts w:ascii="Arial" w:hAnsi="Arial" w:cs="Arial"/>
                <w:sz w:val="24"/>
              </w:rPr>
            </w:pPr>
          </w:p>
        </w:tc>
        <w:tc>
          <w:tcPr>
            <w:tcW w:w="1925" w:type="dxa"/>
            <w:vAlign w:val="center"/>
          </w:tcPr>
          <w:p w14:paraId="704D03CB">
            <w:pPr>
              <w:tabs>
                <w:tab w:val="left" w:pos="6022"/>
              </w:tabs>
              <w:spacing w:before="156" w:beforeLines="50" w:line="400" w:lineRule="exact"/>
              <w:jc w:val="center"/>
              <w:rPr>
                <w:rFonts w:ascii="Arial" w:hAnsi="Arial" w:cs="Arial"/>
                <w:sz w:val="24"/>
              </w:rPr>
            </w:pPr>
          </w:p>
        </w:tc>
        <w:tc>
          <w:tcPr>
            <w:tcW w:w="1926" w:type="dxa"/>
            <w:vAlign w:val="center"/>
          </w:tcPr>
          <w:p w14:paraId="55976DBE">
            <w:pPr>
              <w:tabs>
                <w:tab w:val="left" w:pos="6022"/>
              </w:tabs>
              <w:spacing w:before="156" w:beforeLines="50" w:line="400" w:lineRule="exact"/>
              <w:jc w:val="center"/>
              <w:rPr>
                <w:rFonts w:ascii="Arial" w:hAnsi="Arial" w:cs="Arial"/>
                <w:sz w:val="24"/>
              </w:rPr>
            </w:pPr>
          </w:p>
        </w:tc>
        <w:tc>
          <w:tcPr>
            <w:tcW w:w="1926" w:type="dxa"/>
            <w:vAlign w:val="center"/>
          </w:tcPr>
          <w:p w14:paraId="2D59FA8D">
            <w:pPr>
              <w:tabs>
                <w:tab w:val="left" w:pos="6022"/>
              </w:tabs>
              <w:spacing w:before="156" w:beforeLines="50" w:line="400" w:lineRule="exact"/>
              <w:jc w:val="center"/>
              <w:rPr>
                <w:rFonts w:ascii="Arial" w:hAnsi="Arial" w:cs="Arial"/>
                <w:sz w:val="24"/>
              </w:rPr>
            </w:pPr>
          </w:p>
        </w:tc>
      </w:tr>
      <w:tr w14:paraId="2F26D7C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38" w:type="dxa"/>
            <w:vAlign w:val="center"/>
          </w:tcPr>
          <w:p w14:paraId="2ACA0744">
            <w:pPr>
              <w:tabs>
                <w:tab w:val="left" w:pos="6022"/>
              </w:tabs>
              <w:spacing w:before="156" w:beforeLines="50" w:line="400" w:lineRule="exact"/>
              <w:jc w:val="center"/>
              <w:rPr>
                <w:rFonts w:ascii="Arial" w:hAnsi="Arial" w:cs="Arial"/>
                <w:sz w:val="24"/>
              </w:rPr>
            </w:pPr>
            <w:r>
              <w:rPr>
                <w:rFonts w:hint="eastAsia" w:ascii="Arial" w:hAnsi="Arial" w:cs="Arial"/>
                <w:sz w:val="24"/>
              </w:rPr>
              <w:t>2</w:t>
            </w:r>
            <w:r>
              <w:rPr>
                <w:rFonts w:ascii="Arial" w:hAnsi="Arial" w:cs="Arial"/>
                <w:sz w:val="24"/>
              </w:rPr>
              <w:t>025</w:t>
            </w:r>
            <w:r>
              <w:rPr>
                <w:rFonts w:hint="eastAsia" w:ascii="Arial" w:hAnsi="Arial" w:cs="Arial"/>
                <w:sz w:val="24"/>
              </w:rPr>
              <w:t>年数量</w:t>
            </w:r>
          </w:p>
        </w:tc>
        <w:tc>
          <w:tcPr>
            <w:tcW w:w="2012" w:type="dxa"/>
            <w:vAlign w:val="center"/>
          </w:tcPr>
          <w:p w14:paraId="23858C54">
            <w:pPr>
              <w:tabs>
                <w:tab w:val="left" w:pos="6022"/>
              </w:tabs>
              <w:spacing w:before="156" w:beforeLines="50" w:line="400" w:lineRule="exact"/>
              <w:jc w:val="center"/>
              <w:rPr>
                <w:rFonts w:ascii="Arial" w:hAnsi="Arial" w:cs="Arial"/>
                <w:sz w:val="24"/>
              </w:rPr>
            </w:pPr>
            <w:r>
              <w:rPr>
                <w:rFonts w:hint="eastAsia" w:ascii="Arial" w:hAnsi="Arial" w:cs="Arial"/>
                <w:sz w:val="24"/>
              </w:rPr>
              <w:t>6</w:t>
            </w:r>
            <w:r>
              <w:rPr>
                <w:rFonts w:ascii="Arial" w:hAnsi="Arial" w:cs="Arial"/>
                <w:sz w:val="24"/>
              </w:rPr>
              <w:t>61</w:t>
            </w:r>
          </w:p>
        </w:tc>
        <w:tc>
          <w:tcPr>
            <w:tcW w:w="1925" w:type="dxa"/>
            <w:vAlign w:val="center"/>
          </w:tcPr>
          <w:p w14:paraId="55653713">
            <w:pPr>
              <w:tabs>
                <w:tab w:val="left" w:pos="6022"/>
              </w:tabs>
              <w:spacing w:before="156" w:beforeLines="50" w:line="400" w:lineRule="exact"/>
              <w:jc w:val="center"/>
              <w:rPr>
                <w:rFonts w:ascii="Arial" w:hAnsi="Arial" w:cs="Arial"/>
                <w:sz w:val="24"/>
              </w:rPr>
            </w:pPr>
            <w:r>
              <w:rPr>
                <w:rFonts w:ascii="Arial" w:hAnsi="Arial" w:cs="Arial"/>
                <w:sz w:val="24"/>
              </w:rPr>
              <w:t>16</w:t>
            </w:r>
          </w:p>
        </w:tc>
        <w:tc>
          <w:tcPr>
            <w:tcW w:w="1926" w:type="dxa"/>
            <w:vAlign w:val="center"/>
          </w:tcPr>
          <w:p w14:paraId="26FEB576">
            <w:pPr>
              <w:tabs>
                <w:tab w:val="left" w:pos="6022"/>
              </w:tabs>
              <w:spacing w:before="156" w:beforeLines="50" w:line="400" w:lineRule="exact"/>
              <w:jc w:val="center"/>
              <w:rPr>
                <w:rFonts w:ascii="Arial" w:hAnsi="Arial" w:cs="Arial"/>
                <w:sz w:val="24"/>
              </w:rPr>
            </w:pPr>
            <w:r>
              <w:rPr>
                <w:rFonts w:hint="eastAsia" w:ascii="Arial" w:hAnsi="Arial" w:cs="Arial"/>
                <w:sz w:val="24"/>
              </w:rPr>
              <w:t>2</w:t>
            </w:r>
          </w:p>
        </w:tc>
        <w:tc>
          <w:tcPr>
            <w:tcW w:w="1926" w:type="dxa"/>
            <w:vAlign w:val="center"/>
          </w:tcPr>
          <w:p w14:paraId="14843661">
            <w:pPr>
              <w:tabs>
                <w:tab w:val="left" w:pos="6022"/>
              </w:tabs>
              <w:spacing w:before="156" w:beforeLines="50" w:line="400" w:lineRule="exact"/>
              <w:jc w:val="center"/>
              <w:rPr>
                <w:rFonts w:ascii="Arial" w:hAnsi="Arial" w:cs="Arial"/>
                <w:sz w:val="24"/>
              </w:rPr>
            </w:pPr>
            <w:r>
              <w:rPr>
                <w:rFonts w:ascii="Arial" w:hAnsi="Arial" w:cs="Arial"/>
                <w:sz w:val="24"/>
              </w:rPr>
              <w:t>43</w:t>
            </w:r>
          </w:p>
        </w:tc>
      </w:tr>
    </w:tbl>
    <w:p w14:paraId="73CA36A8">
      <w:pPr>
        <w:tabs>
          <w:tab w:val="left" w:pos="6022"/>
        </w:tabs>
        <w:spacing w:line="400" w:lineRule="exact"/>
        <w:rPr>
          <w:rFonts w:ascii="Arial" w:hAnsi="Arial" w:cs="Arial"/>
          <w:sz w:val="24"/>
        </w:rPr>
      </w:pPr>
      <w:r>
        <w:rPr>
          <w:rFonts w:hint="eastAsia" w:ascii="Arial" w:hAnsi="Arial" w:cs="Arial"/>
          <w:sz w:val="24"/>
        </w:rPr>
        <w:t>2</w:t>
      </w:r>
      <w:r>
        <w:rPr>
          <w:rFonts w:ascii="Arial" w:hAnsi="Arial" w:cs="Arial"/>
          <w:sz w:val="24"/>
        </w:rPr>
        <w:t>025</w:t>
      </w:r>
      <w:r>
        <w:rPr>
          <w:rFonts w:hint="eastAsia" w:ascii="Arial" w:hAnsi="Arial" w:cs="Arial"/>
          <w:sz w:val="24"/>
        </w:rPr>
        <w:t>年度，在剔除审批流程尚未完结以及已终止的变更项目后，变更等级占比基本保持一致。其中，微小变更数量达到</w:t>
      </w:r>
      <w:r>
        <w:rPr>
          <w:rFonts w:ascii="Arial" w:hAnsi="Arial" w:cs="Arial"/>
          <w:sz w:val="24"/>
        </w:rPr>
        <w:t>661</w:t>
      </w:r>
      <w:r>
        <w:rPr>
          <w:rFonts w:hint="eastAsia" w:ascii="Arial" w:hAnsi="Arial" w:cs="Arial"/>
          <w:sz w:val="24"/>
        </w:rPr>
        <w:t>份，占变更总量的比重高达97.</w:t>
      </w:r>
      <w:r>
        <w:rPr>
          <w:rFonts w:ascii="Arial" w:hAnsi="Arial" w:cs="Arial"/>
          <w:sz w:val="24"/>
        </w:rPr>
        <w:t>3</w:t>
      </w:r>
      <w:r>
        <w:rPr>
          <w:rFonts w:hint="eastAsia" w:ascii="Arial" w:hAnsi="Arial" w:cs="Arial"/>
          <w:sz w:val="24"/>
        </w:rPr>
        <w:t>%；中等变更共计8份，占比</w:t>
      </w:r>
      <w:r>
        <w:rPr>
          <w:rFonts w:ascii="Arial" w:hAnsi="Arial" w:cs="Arial"/>
          <w:sz w:val="24"/>
        </w:rPr>
        <w:t>2.4</w:t>
      </w:r>
      <w:r>
        <w:rPr>
          <w:rFonts w:hint="eastAsia" w:ascii="Arial" w:hAnsi="Arial" w:cs="Arial"/>
          <w:sz w:val="24"/>
        </w:rPr>
        <w:t>%；重大变更仅有2份，占比0.</w:t>
      </w:r>
      <w:r>
        <w:rPr>
          <w:rFonts w:ascii="Arial" w:hAnsi="Arial" w:cs="Arial"/>
          <w:sz w:val="24"/>
        </w:rPr>
        <w:t>3</w:t>
      </w:r>
      <w:r>
        <w:rPr>
          <w:rFonts w:hint="eastAsia" w:ascii="Arial" w:hAnsi="Arial" w:cs="Arial"/>
          <w:sz w:val="24"/>
        </w:rPr>
        <w:t>%。具体情况如下：（中等及重大变更详见附件1）</w:t>
      </w:r>
    </w:p>
    <w:p w14:paraId="7EA8BC0D">
      <w:pPr>
        <w:tabs>
          <w:tab w:val="left" w:pos="6022"/>
        </w:tabs>
        <w:spacing w:line="400" w:lineRule="exact"/>
        <w:rPr>
          <w:rFonts w:ascii="Arial" w:hAnsi="Arial" w:cs="Arial"/>
          <w:sz w:val="24"/>
        </w:rPr>
      </w:pPr>
      <w:r>
        <w:rPr>
          <w:rFonts w:hint="eastAsia" w:ascii="Arial" w:hAnsi="Arial" w:cs="Arial"/>
          <w:sz w:val="24"/>
        </w:rPr>
        <w:t>1</w:t>
      </w:r>
      <w:r>
        <w:rPr>
          <w:rFonts w:ascii="Arial" w:hAnsi="Arial" w:cs="Arial"/>
          <w:sz w:val="24"/>
        </w:rPr>
        <w:t>.</w:t>
      </w:r>
      <w:r>
        <w:rPr>
          <w:rFonts w:hint="eastAsia" w:ascii="Arial" w:hAnsi="Arial" w:cs="Arial"/>
          <w:sz w:val="24"/>
        </w:rPr>
        <w:t>微小变更：主要为持续优化流程、完善文件细节、提升操作效率而进行的常规性、局部性调整。</w:t>
      </w:r>
    </w:p>
    <w:p w14:paraId="261CD130">
      <w:pPr>
        <w:tabs>
          <w:tab w:val="left" w:pos="6022"/>
        </w:tabs>
        <w:spacing w:line="400" w:lineRule="exact"/>
        <w:rPr>
          <w:rFonts w:ascii="Arial" w:hAnsi="Arial" w:cs="Arial"/>
          <w:sz w:val="24"/>
        </w:rPr>
      </w:pPr>
      <w:r>
        <w:rPr>
          <w:rFonts w:ascii="Arial" w:hAnsi="Arial" w:cs="Arial"/>
          <w:sz w:val="24"/>
        </w:rPr>
        <w:t>2.中等变更</w:t>
      </w:r>
      <w:r>
        <w:rPr>
          <w:rFonts w:hint="eastAsia" w:ascii="Arial" w:hAnsi="Arial" w:cs="Arial"/>
          <w:sz w:val="24"/>
        </w:rPr>
        <w:t>：聚焦关键提升，驱动系统性改进</w:t>
      </w:r>
    </w:p>
    <w:p w14:paraId="52ED62A6">
      <w:pPr>
        <w:tabs>
          <w:tab w:val="left" w:pos="6022"/>
        </w:tabs>
        <w:spacing w:line="400" w:lineRule="exact"/>
        <w:rPr>
          <w:rFonts w:ascii="Arial" w:hAnsi="Arial" w:cs="Arial"/>
          <w:sz w:val="24"/>
        </w:rPr>
      </w:pPr>
    </w:p>
    <w:p w14:paraId="741C3172">
      <w:pPr>
        <w:tabs>
          <w:tab w:val="left" w:pos="6022"/>
        </w:tabs>
        <w:spacing w:line="400" w:lineRule="exact"/>
        <w:rPr>
          <w:rFonts w:ascii="Arial" w:hAnsi="Arial" w:cs="Arial"/>
          <w:sz w:val="24"/>
        </w:rPr>
      </w:pPr>
      <w:r>
        <w:drawing>
          <wp:anchor distT="0" distB="0" distL="114300" distR="114300" simplePos="0" relativeHeight="251663360" behindDoc="0" locked="0" layoutInCell="1" allowOverlap="1">
            <wp:simplePos x="0" y="0"/>
            <wp:positionH relativeFrom="margin">
              <wp:align>right</wp:align>
            </wp:positionH>
            <wp:positionV relativeFrom="paragraph">
              <wp:posOffset>287655</wp:posOffset>
            </wp:positionV>
            <wp:extent cx="6115050" cy="2886075"/>
            <wp:effectExtent l="0" t="0" r="0" b="9525"/>
            <wp:wrapSquare wrapText="bothSides"/>
            <wp:docPr id="5"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anchor>
        </w:drawing>
      </w:r>
      <w:r>
        <w:rPr>
          <w:rFonts w:ascii="Arial" w:hAnsi="Arial" w:cs="Arial"/>
          <w:sz w:val="24"/>
        </w:rPr>
        <w:t>2.5  变更完成情况分析</w:t>
      </w:r>
    </w:p>
    <w:p w14:paraId="2264B1DE">
      <w:pPr>
        <w:tabs>
          <w:tab w:val="left" w:pos="6022"/>
        </w:tabs>
        <w:spacing w:line="400" w:lineRule="exact"/>
        <w:rPr>
          <w:rFonts w:ascii="Arial" w:hAnsi="Arial" w:cs="Arial"/>
          <w:sz w:val="24"/>
        </w:rPr>
      </w:pPr>
      <w:r>
        <w:rPr>
          <w:rFonts w:ascii="Arial" w:hAnsi="Arial" w:cs="Arial"/>
          <w:sz w:val="24"/>
        </w:rPr>
        <w:t>小结：</w:t>
      </w:r>
      <w:r>
        <w:rPr>
          <w:rFonts w:hint="eastAsia" w:ascii="Arial" w:hAnsi="Arial" w:cs="Arial"/>
          <w:sz w:val="24"/>
        </w:rPr>
        <w:t>本年度，公司变更工作推进态势积极向好，成效显著，具体情况如下：</w:t>
      </w:r>
    </w:p>
    <w:p w14:paraId="1644000C">
      <w:pPr>
        <w:tabs>
          <w:tab w:val="left" w:pos="6022"/>
        </w:tabs>
        <w:spacing w:line="400" w:lineRule="exact"/>
        <w:rPr>
          <w:rFonts w:ascii="Arial" w:hAnsi="Arial" w:cs="Arial"/>
          <w:sz w:val="24"/>
        </w:rPr>
      </w:pPr>
      <w:r>
        <w:rPr>
          <w:rFonts w:hint="eastAsia" w:ascii="Arial" w:hAnsi="Arial" w:cs="Arial"/>
          <w:sz w:val="24"/>
        </w:rPr>
        <w:t>1、完成并关闭的变更：效率明显提高了</w:t>
      </w:r>
    </w:p>
    <w:p w14:paraId="49C290EB">
      <w:pPr>
        <w:tabs>
          <w:tab w:val="left" w:pos="6022"/>
        </w:tabs>
        <w:spacing w:line="400" w:lineRule="exact"/>
        <w:rPr>
          <w:rFonts w:ascii="Arial" w:hAnsi="Arial" w:cs="Arial"/>
          <w:sz w:val="24"/>
        </w:rPr>
      </w:pPr>
      <w:r>
        <w:rPr>
          <w:rFonts w:hint="eastAsia" w:ascii="Arial" w:hAnsi="Arial" w:cs="Arial"/>
          <w:sz w:val="24"/>
        </w:rPr>
        <w:t>2025年，72.2%的变更都已完成并关闭，比去年增加了9.5个百分点，说明整个变更流程运转得更快、更顺了，从提交到结束的闭环能力也更强了。</w:t>
      </w:r>
    </w:p>
    <w:p w14:paraId="1D4C38F9">
      <w:pPr>
        <w:tabs>
          <w:tab w:val="left" w:pos="6022"/>
        </w:tabs>
        <w:spacing w:line="400" w:lineRule="exact"/>
        <w:rPr>
          <w:rFonts w:ascii="Arial" w:hAnsi="Arial" w:cs="Arial"/>
          <w:sz w:val="24"/>
        </w:rPr>
      </w:pPr>
      <w:r>
        <w:rPr>
          <w:rFonts w:ascii="Arial" w:hAnsi="Arial" w:cs="Arial"/>
          <w:sz w:val="24"/>
        </w:rPr>
        <w:t>2</w:t>
      </w:r>
      <w:r>
        <w:rPr>
          <w:rFonts w:hint="eastAsia" w:ascii="Arial" w:hAnsi="Arial" w:cs="Arial"/>
          <w:sz w:val="24"/>
        </w:rPr>
        <w:t>、执行完成、待审核关闭的变更：等待时间缩短了</w:t>
      </w:r>
    </w:p>
    <w:p w14:paraId="10325904">
      <w:pPr>
        <w:tabs>
          <w:tab w:val="left" w:pos="6022"/>
        </w:tabs>
        <w:spacing w:line="400" w:lineRule="exact"/>
        <w:rPr>
          <w:rFonts w:ascii="Arial" w:hAnsi="Arial" w:cs="Arial"/>
          <w:sz w:val="24"/>
        </w:rPr>
      </w:pPr>
      <w:r>
        <w:rPr>
          <w:rFonts w:hint="eastAsia" w:ascii="Arial" w:hAnsi="Arial" w:cs="Arial"/>
          <w:sz w:val="24"/>
        </w:rPr>
        <w:t>2025年，只有6.5%的变更处于“等关闭”状态，比去年（8.3%）减少了一些，完成执行的变更能更快进入最后的审核环节，末尾堆积的情况少了。</w:t>
      </w:r>
    </w:p>
    <w:p w14:paraId="30D50CCB">
      <w:pPr>
        <w:tabs>
          <w:tab w:val="left" w:pos="6022"/>
        </w:tabs>
        <w:spacing w:line="400" w:lineRule="exact"/>
        <w:rPr>
          <w:rFonts w:ascii="Arial" w:hAnsi="Arial" w:cs="Arial"/>
          <w:sz w:val="24"/>
        </w:rPr>
      </w:pPr>
      <w:r>
        <w:rPr>
          <w:rFonts w:hint="eastAsia" w:ascii="Arial" w:hAnsi="Arial" w:cs="Arial"/>
          <w:sz w:val="24"/>
        </w:rPr>
        <w:t>3、执行中的变更：手上的任务量比较合理</w:t>
      </w:r>
    </w:p>
    <w:p w14:paraId="78588782">
      <w:pPr>
        <w:tabs>
          <w:tab w:val="left" w:pos="6022"/>
        </w:tabs>
        <w:spacing w:line="400" w:lineRule="exact"/>
        <w:rPr>
          <w:rFonts w:ascii="Arial" w:hAnsi="Arial" w:cs="Arial"/>
          <w:sz w:val="24"/>
        </w:rPr>
      </w:pPr>
      <w:r>
        <w:rPr>
          <w:rFonts w:hint="eastAsia" w:ascii="Arial" w:hAnsi="Arial" w:cs="Arial"/>
          <w:sz w:val="24"/>
        </w:rPr>
        <w:t>正在执行中的变更占比是15.3%，比去年（16.8%）略低。变更总量变多但执行中占比下降说明从“执行中”到“完成”的速度变快，这些是目前正在推动的项目和日常工作改善的持续作用。</w:t>
      </w:r>
    </w:p>
    <w:p w14:paraId="57E937D8">
      <w:pPr>
        <w:tabs>
          <w:tab w:val="left" w:pos="6022"/>
        </w:tabs>
        <w:spacing w:line="400" w:lineRule="exact"/>
        <w:rPr>
          <w:rFonts w:ascii="Arial" w:hAnsi="Arial" w:cs="Arial"/>
          <w:sz w:val="24"/>
        </w:rPr>
      </w:pPr>
      <w:r>
        <w:rPr>
          <w:rFonts w:hint="eastAsia" w:ascii="Arial" w:hAnsi="Arial" w:cs="Arial"/>
          <w:sz w:val="24"/>
        </w:rPr>
        <w:t>4、审批中的变更：入口把关快且稳</w:t>
      </w:r>
    </w:p>
    <w:p w14:paraId="29104CC9">
      <w:pPr>
        <w:tabs>
          <w:tab w:val="left" w:pos="6022"/>
        </w:tabs>
        <w:spacing w:line="400" w:lineRule="exact"/>
        <w:rPr>
          <w:rFonts w:ascii="Arial" w:hAnsi="Arial" w:cs="Arial"/>
          <w:sz w:val="24"/>
        </w:rPr>
      </w:pPr>
      <w:r>
        <w:rPr>
          <w:rFonts w:hint="eastAsia" w:ascii="Arial" w:hAnsi="Arial" w:cs="Arial"/>
          <w:sz w:val="24"/>
        </w:rPr>
        <w:t>“审批中”的变更占比连续两年都保持在3%左右（今年是2.5%），说明审批环节运转高效，没有积压。前期准备充分，审批也快，好的变更就能早点进入执行阶段。</w:t>
      </w:r>
    </w:p>
    <w:p w14:paraId="51E3CBBA">
      <w:pPr>
        <w:tabs>
          <w:tab w:val="left" w:pos="6022"/>
        </w:tabs>
        <w:spacing w:line="400" w:lineRule="exact"/>
        <w:rPr>
          <w:rFonts w:ascii="Arial" w:hAnsi="Arial" w:cs="Arial"/>
          <w:sz w:val="24"/>
        </w:rPr>
      </w:pPr>
      <w:r>
        <w:rPr>
          <w:rFonts w:ascii="Arial" w:hAnsi="Arial" w:cs="Arial"/>
          <w:sz w:val="24"/>
        </w:rPr>
        <w:t>5</w:t>
      </w:r>
      <w:r>
        <w:rPr>
          <w:rFonts w:hint="eastAsia" w:ascii="Arial" w:hAnsi="Arial" w:cs="Arial"/>
          <w:sz w:val="24"/>
        </w:rPr>
        <w:t>、已终止的变更：提前识别、及时止损的能力增强了</w:t>
      </w:r>
    </w:p>
    <w:p w14:paraId="49527761">
      <w:pPr>
        <w:tabs>
          <w:tab w:val="left" w:pos="6022"/>
        </w:tabs>
        <w:spacing w:line="400" w:lineRule="exact"/>
        <w:rPr>
          <w:rFonts w:ascii="Arial" w:hAnsi="Arial" w:cs="Arial"/>
          <w:sz w:val="24"/>
        </w:rPr>
      </w:pPr>
      <w:r>
        <w:rPr>
          <w:rFonts w:hint="eastAsia" w:ascii="Arial" w:hAnsi="Arial" w:cs="Arial"/>
          <w:sz w:val="24"/>
        </w:rPr>
        <w:t>2025年，“已终止”的变更占比从9.1%大幅下降到3.5%，这说明：大部分不适用或风险高的变更，在申请阶段就被发现并叫停，避免浪费资源；变更方案的质量和规划水平明显提高，很少因为执行后发现不合适或外部变化而被迫终止。</w:t>
      </w:r>
    </w:p>
    <w:p w14:paraId="1E936D0E">
      <w:pPr>
        <w:tabs>
          <w:tab w:val="left" w:pos="6022"/>
        </w:tabs>
        <w:spacing w:line="400" w:lineRule="exact"/>
        <w:jc w:val="left"/>
        <w:rPr>
          <w:rFonts w:ascii="Arial" w:hAnsi="Arial" w:cs="Arial"/>
          <w:sz w:val="28"/>
          <w:szCs w:val="28"/>
        </w:rPr>
      </w:pPr>
    </w:p>
    <w:p w14:paraId="597691DC">
      <w:pPr>
        <w:tabs>
          <w:tab w:val="left" w:pos="6022"/>
        </w:tabs>
        <w:spacing w:line="400" w:lineRule="exact"/>
        <w:jc w:val="left"/>
        <w:rPr>
          <w:rFonts w:ascii="Arial" w:hAnsi="Arial" w:cs="Arial"/>
          <w:sz w:val="24"/>
        </w:rPr>
      </w:pPr>
      <w:r>
        <w:rPr>
          <w:rFonts w:ascii="Arial" w:hAnsi="Arial" w:cs="Arial"/>
          <w:sz w:val="28"/>
          <w:szCs w:val="28"/>
        </w:rPr>
        <w:t>3.</w:t>
      </w:r>
      <w:r>
        <w:rPr>
          <w:rFonts w:hint="eastAsia" w:ascii="Arial" w:hAnsi="Arial" w:eastAsia="黑体" w:cs="Arial"/>
          <w:kern w:val="0"/>
          <w:sz w:val="28"/>
          <w:szCs w:val="28"/>
        </w:rPr>
        <w:t>质量管理系统运行情况</w:t>
      </w:r>
      <w:r>
        <w:rPr>
          <w:rFonts w:ascii="Arial" w:hAnsi="Arial" w:eastAsia="黑体" w:cs="Arial"/>
          <w:kern w:val="0"/>
          <w:sz w:val="28"/>
          <w:szCs w:val="28"/>
        </w:rPr>
        <w:br w:type="textWrapping"/>
      </w:r>
      <w:r>
        <w:rPr>
          <w:rFonts w:ascii="Arial" w:hAnsi="Arial" w:cs="Arial"/>
          <w:sz w:val="24"/>
        </w:rPr>
        <w:t xml:space="preserve">3.1 </w:t>
      </w:r>
      <w:r>
        <w:rPr>
          <w:rFonts w:hint="eastAsia" w:ascii="Arial" w:hAnsi="Arial" w:cs="Arial"/>
          <w:sz w:val="24"/>
        </w:rPr>
        <w:t>体系运行总体情况</w:t>
      </w:r>
      <w:r>
        <w:rPr>
          <w:rFonts w:ascii="Arial" w:hAnsi="Arial" w:cs="Arial"/>
          <w:sz w:val="24"/>
        </w:rPr>
        <w:br w:type="textWrapping"/>
      </w:r>
      <w:r>
        <w:rPr>
          <w:rFonts w:hint="eastAsia" w:ascii="Arial" w:hAnsi="Arial" w:cs="Arial"/>
          <w:sz w:val="24"/>
        </w:rPr>
        <w:t>本年度通过质量管理系统（</w:t>
      </w:r>
      <w:r>
        <w:rPr>
          <w:rFonts w:ascii="Arial" w:hAnsi="Arial" w:cs="Arial"/>
          <w:sz w:val="24"/>
        </w:rPr>
        <w:t>QMS</w:t>
      </w:r>
      <w:r>
        <w:rPr>
          <w:rFonts w:hint="eastAsia" w:ascii="Arial" w:hAnsi="Arial" w:cs="Arial"/>
          <w:sz w:val="24"/>
        </w:rPr>
        <w:t>）将变更管理全流程（申请、评估、审批、实施、验证）完全实现数字化管理。体系运行关键数据如下：变更申请总量：</w:t>
      </w:r>
      <w:r>
        <w:rPr>
          <w:rFonts w:ascii="Arial" w:hAnsi="Arial" w:cs="Arial"/>
          <w:sz w:val="24"/>
        </w:rPr>
        <w:t>720</w:t>
      </w:r>
      <w:r>
        <w:rPr>
          <w:rFonts w:hint="eastAsia" w:ascii="Arial" w:hAnsi="Arial" w:cs="Arial"/>
          <w:sz w:val="24"/>
        </w:rPr>
        <w:t>份（线上流程），其中已关闭</w:t>
      </w:r>
      <w:r>
        <w:rPr>
          <w:rFonts w:ascii="Arial" w:hAnsi="Arial" w:cs="Arial"/>
          <w:sz w:val="24"/>
        </w:rPr>
        <w:t>520</w:t>
      </w:r>
      <w:r>
        <w:rPr>
          <w:rFonts w:hint="eastAsia" w:ascii="Arial" w:hAnsi="Arial" w:cs="Arial"/>
          <w:sz w:val="24"/>
        </w:rPr>
        <w:t>份，待关闭</w:t>
      </w:r>
      <w:r>
        <w:rPr>
          <w:rFonts w:ascii="Arial" w:hAnsi="Arial" w:cs="Arial"/>
          <w:sz w:val="24"/>
        </w:rPr>
        <w:t>47</w:t>
      </w:r>
      <w:r>
        <w:rPr>
          <w:rFonts w:hint="eastAsia" w:ascii="Arial" w:hAnsi="Arial" w:cs="Arial"/>
          <w:sz w:val="24"/>
        </w:rPr>
        <w:t>份，执行中</w:t>
      </w:r>
      <w:r>
        <w:rPr>
          <w:rFonts w:ascii="Arial" w:hAnsi="Arial" w:cs="Arial"/>
          <w:sz w:val="24"/>
        </w:rPr>
        <w:t>110</w:t>
      </w:r>
      <w:r>
        <w:rPr>
          <w:rFonts w:hint="eastAsia" w:ascii="Arial" w:hAnsi="Arial" w:cs="Arial"/>
          <w:sz w:val="24"/>
        </w:rPr>
        <w:t>份，审批中</w:t>
      </w:r>
      <w:r>
        <w:rPr>
          <w:rFonts w:ascii="Arial" w:hAnsi="Arial" w:cs="Arial"/>
          <w:sz w:val="24"/>
        </w:rPr>
        <w:t>18</w:t>
      </w:r>
      <w:r>
        <w:rPr>
          <w:rFonts w:hint="eastAsia" w:ascii="Arial" w:hAnsi="Arial" w:cs="Arial"/>
          <w:sz w:val="24"/>
        </w:rPr>
        <w:t>份，已终止</w:t>
      </w:r>
      <w:r>
        <w:rPr>
          <w:rFonts w:ascii="Arial" w:hAnsi="Arial" w:cs="Arial"/>
          <w:sz w:val="24"/>
        </w:rPr>
        <w:t>25</w:t>
      </w:r>
      <w:r>
        <w:rPr>
          <w:rFonts w:hint="eastAsia" w:ascii="Arial" w:hAnsi="Arial" w:cs="Arial"/>
          <w:sz w:val="24"/>
        </w:rPr>
        <w:t>份。</w:t>
      </w:r>
    </w:p>
    <w:p w14:paraId="34C68129">
      <w:pPr>
        <w:tabs>
          <w:tab w:val="left" w:pos="6022"/>
        </w:tabs>
        <w:spacing w:line="400" w:lineRule="exact"/>
        <w:rPr>
          <w:rFonts w:ascii="Arial" w:hAnsi="Arial" w:cs="Arial"/>
          <w:sz w:val="24"/>
        </w:rPr>
      </w:pPr>
      <w:r>
        <w:rPr>
          <w:rFonts w:hint="eastAsia" w:ascii="Arial" w:hAnsi="Arial" w:cs="Arial"/>
          <w:sz w:val="24"/>
        </w:rPr>
        <w:t>行动项管理：共</w:t>
      </w:r>
      <w:r>
        <w:rPr>
          <w:rFonts w:ascii="Arial" w:hAnsi="Arial" w:cs="Arial"/>
          <w:sz w:val="24"/>
        </w:rPr>
        <w:t>1347</w:t>
      </w:r>
      <w:r>
        <w:rPr>
          <w:rFonts w:hint="eastAsia" w:ascii="Arial" w:hAnsi="Arial" w:cs="Arial"/>
          <w:sz w:val="24"/>
        </w:rPr>
        <w:t>项，已验收</w:t>
      </w:r>
      <w:r>
        <w:rPr>
          <w:rFonts w:ascii="Arial" w:hAnsi="Arial" w:cs="Arial"/>
          <w:sz w:val="24"/>
        </w:rPr>
        <w:t>1112</w:t>
      </w:r>
      <w:r>
        <w:rPr>
          <w:rFonts w:hint="eastAsia" w:ascii="Arial" w:hAnsi="Arial" w:cs="Arial"/>
          <w:sz w:val="24"/>
        </w:rPr>
        <w:t>项，执行中</w:t>
      </w:r>
      <w:r>
        <w:rPr>
          <w:rFonts w:ascii="Arial" w:hAnsi="Arial" w:cs="Arial"/>
          <w:sz w:val="24"/>
        </w:rPr>
        <w:t>188</w:t>
      </w:r>
      <w:r>
        <w:rPr>
          <w:rFonts w:hint="eastAsia" w:ascii="Arial" w:hAnsi="Arial" w:cs="Arial"/>
          <w:sz w:val="24"/>
        </w:rPr>
        <w:t>项，待验收</w:t>
      </w:r>
      <w:r>
        <w:rPr>
          <w:rFonts w:ascii="Arial" w:hAnsi="Arial" w:cs="Arial"/>
          <w:sz w:val="24"/>
        </w:rPr>
        <w:t>6</w:t>
      </w:r>
      <w:r>
        <w:rPr>
          <w:rFonts w:hint="eastAsia" w:ascii="Arial" w:hAnsi="Arial" w:cs="Arial"/>
          <w:sz w:val="24"/>
        </w:rPr>
        <w:t>项</w:t>
      </w:r>
      <w:r>
        <w:rPr>
          <w:rFonts w:ascii="Arial" w:hAnsi="Arial" w:cs="Arial"/>
          <w:sz w:val="24"/>
        </w:rPr>
        <w:t>,</w:t>
      </w:r>
      <w:r>
        <w:rPr>
          <w:rFonts w:hint="eastAsia" w:ascii="Arial" w:hAnsi="Arial" w:cs="Arial"/>
          <w:sz w:val="24"/>
        </w:rPr>
        <w:t>已取消</w:t>
      </w:r>
      <w:r>
        <w:rPr>
          <w:rFonts w:ascii="Arial" w:hAnsi="Arial" w:cs="Arial"/>
          <w:sz w:val="24"/>
        </w:rPr>
        <w:t>42</w:t>
      </w:r>
      <w:r>
        <w:rPr>
          <w:rFonts w:hint="eastAsia" w:ascii="Arial" w:hAnsi="Arial" w:cs="Arial"/>
          <w:sz w:val="24"/>
        </w:rPr>
        <w:t>项。</w:t>
      </w:r>
    </w:p>
    <w:p w14:paraId="3E55CC60">
      <w:pPr>
        <w:tabs>
          <w:tab w:val="left" w:pos="6022"/>
        </w:tabs>
        <w:spacing w:line="400" w:lineRule="exact"/>
        <w:rPr>
          <w:rFonts w:ascii="Arial" w:hAnsi="Arial" w:cs="Arial"/>
          <w:sz w:val="24"/>
        </w:rPr>
      </w:pPr>
      <w:r>
        <w:rPr>
          <w:rFonts w:ascii="Arial" w:hAnsi="Arial" w:cs="Arial"/>
          <w:sz w:val="24"/>
        </w:rPr>
        <w:t xml:space="preserve">3.2 </w:t>
      </w:r>
      <w:r>
        <w:rPr>
          <w:rFonts w:hint="eastAsia" w:ascii="Arial" w:hAnsi="Arial" w:cs="Arial"/>
          <w:sz w:val="24"/>
        </w:rPr>
        <w:t>存在问题与整改方向</w:t>
      </w:r>
    </w:p>
    <w:p w14:paraId="7C8E477A">
      <w:pPr>
        <w:tabs>
          <w:tab w:val="left" w:pos="6022"/>
        </w:tabs>
        <w:spacing w:line="400" w:lineRule="exact"/>
        <w:rPr>
          <w:rFonts w:ascii="Arial" w:hAnsi="Arial" w:cs="Arial"/>
          <w:sz w:val="24"/>
        </w:rPr>
      </w:pPr>
      <w:r>
        <w:rPr>
          <w:rFonts w:ascii="Arial" w:hAnsi="Arial" w:cs="Arial"/>
          <w:sz w:val="24"/>
        </w:rPr>
        <w:t>3.2.1</w:t>
      </w:r>
      <w:r>
        <w:rPr>
          <w:rFonts w:hint="eastAsia" w:ascii="Arial" w:hAnsi="Arial" w:cs="Arial"/>
          <w:sz w:val="24"/>
        </w:rPr>
        <w:t>存在问题：</w:t>
      </w:r>
    </w:p>
    <w:p w14:paraId="795913E5">
      <w:pPr>
        <w:widowControl/>
        <w:shd w:val="clear" w:color="auto" w:fill="FFFFFF"/>
        <w:spacing w:line="400" w:lineRule="exact"/>
        <w:jc w:val="left"/>
        <w:rPr>
          <w:rFonts w:ascii="Arial" w:hAnsi="Arial" w:cs="Arial"/>
          <w:kern w:val="0"/>
          <w:sz w:val="24"/>
        </w:rPr>
      </w:pPr>
      <w:r>
        <w:rPr>
          <w:rFonts w:hint="eastAsia" w:ascii="Arial" w:hAnsi="Arial" w:cs="Arial"/>
          <w:kern w:val="0"/>
          <w:sz w:val="24"/>
        </w:rPr>
        <w:t>（</w:t>
      </w:r>
      <w:r>
        <w:rPr>
          <w:rFonts w:ascii="Arial" w:hAnsi="Arial" w:cs="Arial"/>
          <w:kern w:val="0"/>
          <w:sz w:val="24"/>
        </w:rPr>
        <w:t>1</w:t>
      </w:r>
      <w:r>
        <w:rPr>
          <w:rFonts w:hint="eastAsia" w:ascii="Arial" w:hAnsi="Arial" w:cs="Arial"/>
          <w:kern w:val="0"/>
          <w:sz w:val="24"/>
        </w:rPr>
        <w:t>）人员培训与操作不足：公司有一定数量的人员流通，我们对于质量关系系统的培训有所不足，新</w:t>
      </w:r>
      <w:r>
        <w:rPr>
          <w:rFonts w:hint="eastAsia" w:ascii="Segoe UI" w:hAnsi="Segoe UI" w:cs="Segoe UI"/>
          <w:sz w:val="24"/>
          <w:shd w:val="clear" w:color="auto" w:fill="FFFFFF"/>
        </w:rPr>
        <w:t>员工对质量管理系统的操作不够熟练，容易操作错误</w:t>
      </w:r>
      <w:r>
        <w:rPr>
          <w:rFonts w:hint="eastAsia" w:ascii="Segoe UI" w:hAnsi="Segoe UI" w:cs="Segoe UI"/>
          <w:shd w:val="clear" w:color="auto" w:fill="FFFFFF"/>
        </w:rPr>
        <w:t>，</w:t>
      </w:r>
      <w:r>
        <w:rPr>
          <w:rFonts w:hint="eastAsia" w:ascii="Segoe UI" w:hAnsi="Segoe UI" w:cs="Segoe UI"/>
          <w:sz w:val="24"/>
          <w:shd w:val="clear" w:color="auto" w:fill="FFFFFF"/>
        </w:rPr>
        <w:t>进而引起许多不必要的系统流程。</w:t>
      </w:r>
    </w:p>
    <w:p w14:paraId="695D2CB4">
      <w:pPr>
        <w:widowControl/>
        <w:shd w:val="clear" w:color="auto" w:fill="FFFFFF"/>
        <w:spacing w:line="400" w:lineRule="exact"/>
        <w:jc w:val="left"/>
        <w:rPr>
          <w:rFonts w:ascii="Arial" w:hAnsi="Arial" w:cs="Arial"/>
          <w:color w:val="222222"/>
          <w:kern w:val="0"/>
          <w:sz w:val="24"/>
        </w:rPr>
      </w:pPr>
      <w:r>
        <w:rPr>
          <w:rFonts w:hint="eastAsia" w:ascii="Arial" w:hAnsi="Arial" w:cs="Arial"/>
          <w:kern w:val="0"/>
          <w:sz w:val="24"/>
        </w:rPr>
        <w:t>（</w:t>
      </w:r>
      <w:r>
        <w:rPr>
          <w:rFonts w:ascii="Arial" w:hAnsi="Arial" w:cs="Arial"/>
          <w:kern w:val="0"/>
          <w:sz w:val="24"/>
        </w:rPr>
        <w:t>2</w:t>
      </w:r>
      <w:r>
        <w:rPr>
          <w:rFonts w:hint="eastAsia" w:ascii="Arial" w:hAnsi="Arial" w:cs="Arial"/>
          <w:kern w:val="0"/>
          <w:sz w:val="24"/>
        </w:rPr>
        <w:t>）</w:t>
      </w:r>
      <w:r>
        <w:rPr>
          <w:rFonts w:hint="eastAsia" w:ascii="Arial" w:hAnsi="Arial" w:cs="Arial"/>
          <w:color w:val="222222"/>
          <w:kern w:val="0"/>
          <w:sz w:val="24"/>
        </w:rPr>
        <w:t>系统功能匹配与性能局限问题：质量管理系统功能无法完全满足变更管理流程需求，需要不断收集问题与用户需求不断优化。</w:t>
      </w:r>
      <w:r>
        <w:rPr>
          <w:rFonts w:ascii="Arial" w:hAnsi="Arial" w:cs="Arial"/>
          <w:color w:val="222222"/>
          <w:kern w:val="0"/>
          <w:sz w:val="24"/>
        </w:rPr>
        <w:t xml:space="preserve"> </w:t>
      </w:r>
    </w:p>
    <w:p w14:paraId="3688E09D">
      <w:pPr>
        <w:widowControl/>
        <w:shd w:val="clear" w:color="auto" w:fill="FFFFFF"/>
        <w:spacing w:line="400" w:lineRule="exact"/>
        <w:jc w:val="left"/>
        <w:rPr>
          <w:rFonts w:ascii="Arial" w:hAnsi="Arial" w:cs="Arial"/>
          <w:color w:val="222222"/>
          <w:kern w:val="0"/>
          <w:sz w:val="24"/>
        </w:rPr>
      </w:pPr>
      <w:r>
        <w:rPr>
          <w:rFonts w:hint="eastAsia" w:ascii="Arial" w:hAnsi="Arial" w:cs="Arial"/>
          <w:color w:val="222222"/>
          <w:kern w:val="0"/>
          <w:sz w:val="24"/>
        </w:rPr>
        <w:t>（</w:t>
      </w:r>
      <w:r>
        <w:rPr>
          <w:rFonts w:ascii="Arial" w:hAnsi="Arial" w:cs="Arial"/>
          <w:color w:val="222222"/>
          <w:kern w:val="0"/>
          <w:sz w:val="24"/>
        </w:rPr>
        <w:t>3</w:t>
      </w:r>
      <w:r>
        <w:rPr>
          <w:rFonts w:hint="eastAsia" w:ascii="Arial" w:hAnsi="Arial" w:cs="Arial"/>
          <w:color w:val="222222"/>
          <w:kern w:val="0"/>
          <w:sz w:val="24"/>
        </w:rPr>
        <w:t>）流程执行和监控问题：线上质量管理系统通常要求严格按照预设流程执行，这可能导致在一些特殊情况下，变更流程无法灵活推进，进而产生一些没必要的流程去推动流程的执行。</w:t>
      </w:r>
    </w:p>
    <w:p w14:paraId="3C1DBE1A">
      <w:pPr>
        <w:tabs>
          <w:tab w:val="left" w:pos="6022"/>
        </w:tabs>
        <w:spacing w:line="400" w:lineRule="exact"/>
        <w:rPr>
          <w:rFonts w:ascii="Arial" w:hAnsi="Arial" w:cs="Arial"/>
          <w:sz w:val="24"/>
        </w:rPr>
      </w:pPr>
      <w:r>
        <w:rPr>
          <w:rFonts w:ascii="Arial" w:hAnsi="Arial" w:cs="Arial"/>
          <w:sz w:val="24"/>
        </w:rPr>
        <w:t>3.2.2</w:t>
      </w:r>
      <w:r>
        <w:rPr>
          <w:rFonts w:hint="eastAsia" w:ascii="Arial" w:hAnsi="Arial" w:cs="Arial"/>
          <w:sz w:val="24"/>
        </w:rPr>
        <w:t>整改措施及方向：</w:t>
      </w:r>
    </w:p>
    <w:p w14:paraId="5C12C7D5">
      <w:pPr>
        <w:widowControl/>
        <w:shd w:val="clear" w:color="auto" w:fill="FFFFFF"/>
        <w:spacing w:line="400" w:lineRule="exact"/>
        <w:jc w:val="left"/>
        <w:rPr>
          <w:rFonts w:ascii="Arial" w:hAnsi="Arial" w:cs="Arial"/>
          <w:color w:val="222222"/>
          <w:kern w:val="0"/>
          <w:sz w:val="24"/>
        </w:rPr>
      </w:pPr>
      <w:bookmarkStart w:id="1" w:name="_Toc238895511"/>
      <w:r>
        <w:rPr>
          <w:rFonts w:hint="eastAsia" w:ascii="Arial" w:hAnsi="Arial" w:cs="Arial"/>
          <w:kern w:val="0"/>
          <w:sz w:val="24"/>
        </w:rPr>
        <w:t>（</w:t>
      </w:r>
      <w:r>
        <w:rPr>
          <w:rFonts w:ascii="Arial" w:hAnsi="Arial" w:cs="Arial"/>
          <w:kern w:val="0"/>
          <w:sz w:val="24"/>
        </w:rPr>
        <w:t>1</w:t>
      </w:r>
      <w:r>
        <w:rPr>
          <w:rFonts w:hint="eastAsia" w:ascii="Arial" w:hAnsi="Arial" w:cs="Arial"/>
          <w:kern w:val="0"/>
          <w:sz w:val="24"/>
        </w:rPr>
        <w:t>）加强及完善培训：</w:t>
      </w:r>
      <w:r>
        <w:rPr>
          <w:rFonts w:hint="eastAsia" w:ascii="Arial" w:hAnsi="Arial" w:cs="Arial"/>
          <w:color w:val="222222"/>
          <w:kern w:val="0"/>
          <w:sz w:val="24"/>
        </w:rPr>
        <w:t>在</w:t>
      </w:r>
      <w:r>
        <w:rPr>
          <w:rFonts w:ascii="Arial" w:hAnsi="Arial" w:cs="Arial"/>
          <w:color w:val="222222"/>
          <w:kern w:val="0"/>
          <w:sz w:val="24"/>
        </w:rPr>
        <w:t>2026</w:t>
      </w:r>
      <w:r>
        <w:rPr>
          <w:rFonts w:hint="eastAsia" w:ascii="Arial" w:hAnsi="Arial" w:cs="Arial"/>
          <w:color w:val="222222"/>
          <w:kern w:val="0"/>
          <w:sz w:val="24"/>
        </w:rPr>
        <w:t>年第二季度进行变更年度培训，同时建议各个部门内部针对新入职员工，将变更管理知识纳入入职培训课程体系，确保新员工在入职初期即熟悉公司的变更管理要求。</w:t>
      </w:r>
    </w:p>
    <w:p w14:paraId="57890ECB">
      <w:pPr>
        <w:widowControl/>
        <w:shd w:val="clear" w:color="auto" w:fill="FFFFFF"/>
        <w:spacing w:line="400" w:lineRule="exact"/>
        <w:jc w:val="left"/>
        <w:rPr>
          <w:rFonts w:ascii="Arial" w:hAnsi="Arial" w:cs="Arial"/>
          <w:color w:val="222222"/>
          <w:kern w:val="0"/>
          <w:sz w:val="24"/>
        </w:rPr>
      </w:pPr>
      <w:r>
        <w:rPr>
          <w:rFonts w:hint="eastAsia" w:ascii="Arial" w:hAnsi="Arial" w:cs="Arial"/>
          <w:kern w:val="0"/>
          <w:sz w:val="24"/>
        </w:rPr>
        <w:t>（</w:t>
      </w:r>
      <w:r>
        <w:rPr>
          <w:rFonts w:ascii="Arial" w:hAnsi="Arial" w:cs="Arial"/>
          <w:kern w:val="0"/>
          <w:sz w:val="24"/>
        </w:rPr>
        <w:t>2</w:t>
      </w:r>
      <w:r>
        <w:rPr>
          <w:rFonts w:hint="eastAsia" w:ascii="Arial" w:hAnsi="Arial" w:cs="Arial"/>
          <w:kern w:val="0"/>
          <w:sz w:val="24"/>
        </w:rPr>
        <w:t>）完善系统功能：建立质量管理系统问题台账，</w:t>
      </w:r>
      <w:r>
        <w:rPr>
          <w:rFonts w:hint="eastAsia" w:ascii="Arial" w:hAnsi="Arial" w:cs="Arial"/>
          <w:color w:val="222222"/>
          <w:kern w:val="0"/>
          <w:sz w:val="24"/>
        </w:rPr>
        <w:t>持续关注质量管理系统使用过程中遇到问题及解决措施，保证系统流程使用流畅。必要时与供应商协作优化功能。</w:t>
      </w:r>
    </w:p>
    <w:p w14:paraId="40096879">
      <w:pPr>
        <w:widowControl/>
        <w:shd w:val="clear" w:color="auto" w:fill="FFFFFF"/>
        <w:spacing w:line="400" w:lineRule="exact"/>
        <w:jc w:val="left"/>
        <w:rPr>
          <w:rFonts w:ascii="Arial" w:hAnsi="Arial" w:cs="Arial"/>
          <w:color w:val="222222"/>
          <w:kern w:val="0"/>
          <w:sz w:val="24"/>
        </w:rPr>
      </w:pPr>
      <w:r>
        <w:rPr>
          <w:rFonts w:hint="eastAsia" w:ascii="Arial" w:hAnsi="Arial" w:cs="Arial"/>
          <w:kern w:val="0"/>
          <w:sz w:val="24"/>
        </w:rPr>
        <w:t>（</w:t>
      </w:r>
      <w:r>
        <w:rPr>
          <w:rFonts w:ascii="Arial" w:hAnsi="Arial" w:cs="Arial"/>
          <w:kern w:val="0"/>
          <w:sz w:val="24"/>
        </w:rPr>
        <w:t>3</w:t>
      </w:r>
      <w:r>
        <w:rPr>
          <w:rFonts w:hint="eastAsia" w:ascii="Arial" w:hAnsi="Arial" w:cs="Arial"/>
          <w:kern w:val="0"/>
          <w:sz w:val="24"/>
        </w:rPr>
        <w:t>）增强流程处理灵活性：组建跨部门的质量关系统优化团队、不定期针对收集到的系统问题及优化意见进行讨论并确认优化整改方案，以此不断优化系统流程。</w:t>
      </w:r>
      <w:bookmarkEnd w:id="1"/>
    </w:p>
    <w:p w14:paraId="7A9CC14E">
      <w:pPr>
        <w:tabs>
          <w:tab w:val="left" w:pos="6022"/>
        </w:tabs>
        <w:spacing w:line="400" w:lineRule="exact"/>
        <w:rPr>
          <w:rFonts w:ascii="Arial" w:hAnsi="Arial" w:cs="Arial"/>
          <w:sz w:val="24"/>
        </w:rPr>
      </w:pPr>
    </w:p>
    <w:p w14:paraId="61974BDE">
      <w:pPr>
        <w:tabs>
          <w:tab w:val="left" w:pos="6022"/>
        </w:tabs>
        <w:spacing w:line="400" w:lineRule="exact"/>
        <w:rPr>
          <w:rFonts w:ascii="Arial" w:hAnsi="Arial" w:cs="Arial"/>
          <w:sz w:val="24"/>
        </w:rPr>
      </w:pPr>
      <w:r>
        <w:rPr>
          <w:rFonts w:ascii="Arial" w:hAnsi="Arial" w:eastAsia="黑体" w:cs="Arial"/>
          <w:kern w:val="0"/>
          <w:sz w:val="28"/>
          <w:szCs w:val="28"/>
        </w:rPr>
        <w:t>4</w:t>
      </w:r>
      <w:r>
        <w:rPr>
          <w:rFonts w:hint="eastAsia" w:ascii="Arial" w:hAnsi="Arial" w:eastAsia="黑体" w:cs="Arial"/>
          <w:kern w:val="0"/>
          <w:sz w:val="28"/>
          <w:szCs w:val="28"/>
        </w:rPr>
        <w:t>.年</w:t>
      </w:r>
      <w:r>
        <w:rPr>
          <w:rFonts w:ascii="Arial" w:hAnsi="Arial" w:eastAsia="黑体" w:cs="Arial"/>
          <w:kern w:val="0"/>
          <w:sz w:val="28"/>
          <w:szCs w:val="28"/>
        </w:rPr>
        <w:t>度变更管理总结</w:t>
      </w:r>
      <w:r>
        <w:rPr>
          <w:rFonts w:ascii="Arial" w:hAnsi="Arial" w:cs="Arial"/>
          <w:sz w:val="24"/>
        </w:rPr>
        <w:br w:type="textWrapping"/>
      </w:r>
      <w:r>
        <w:rPr>
          <w:rFonts w:ascii="Arial" w:hAnsi="Arial" w:cs="Arial"/>
          <w:sz w:val="24"/>
        </w:rPr>
        <w:t>4.1 总体情况</w:t>
      </w:r>
      <w:r>
        <w:rPr>
          <w:rFonts w:hint="eastAsia" w:ascii="Arial" w:hAnsi="Arial" w:cs="Arial"/>
          <w:sz w:val="24"/>
        </w:rPr>
        <w:t>：</w:t>
      </w:r>
    </w:p>
    <w:p w14:paraId="5BC04109">
      <w:pPr>
        <w:tabs>
          <w:tab w:val="left" w:pos="6022"/>
        </w:tabs>
        <w:spacing w:line="400" w:lineRule="exact"/>
        <w:rPr>
          <w:rFonts w:ascii="Arial" w:hAnsi="Arial" w:cs="Arial"/>
          <w:sz w:val="24"/>
        </w:rPr>
      </w:pPr>
      <w:r>
        <w:rPr>
          <w:rFonts w:ascii="Arial" w:hAnsi="Arial" w:cs="Arial"/>
          <w:sz w:val="24"/>
        </w:rPr>
        <w:t>2025年1月1日至12月31日期间，</w:t>
      </w:r>
      <w:r>
        <w:rPr>
          <w:rFonts w:hint="eastAsia" w:ascii="Arial" w:hAnsi="Arial" w:cs="Arial"/>
          <w:sz w:val="24"/>
        </w:rPr>
        <w:t>随着公司业务的发展，基础变更需求稳步增长，加上本年经历了多次官方及客户审查、药典升版所产生了一系列变更需求，</w:t>
      </w:r>
      <w:r>
        <w:rPr>
          <w:rFonts w:ascii="Arial" w:hAnsi="Arial" w:cs="Arial"/>
          <w:sz w:val="24"/>
        </w:rPr>
        <w:t>公司</w:t>
      </w:r>
      <w:r>
        <w:rPr>
          <w:rFonts w:hint="eastAsia" w:ascii="Arial" w:hAnsi="Arial" w:cs="Arial"/>
          <w:sz w:val="24"/>
        </w:rPr>
        <w:t>本年</w:t>
      </w:r>
      <w:r>
        <w:rPr>
          <w:rFonts w:ascii="Arial" w:hAnsi="Arial" w:cs="Arial"/>
          <w:sz w:val="24"/>
        </w:rPr>
        <w:t>累计发起变更720</w:t>
      </w:r>
      <w:r>
        <w:rPr>
          <w:rFonts w:hint="eastAsia" w:ascii="Arial" w:hAnsi="Arial" w:cs="Arial"/>
          <w:sz w:val="24"/>
        </w:rPr>
        <w:t>份，</w:t>
      </w:r>
      <w:r>
        <w:rPr>
          <w:rFonts w:ascii="Arial" w:hAnsi="Arial" w:cs="Arial"/>
          <w:sz w:val="24"/>
        </w:rPr>
        <w:t>变更类别</w:t>
      </w:r>
      <w:r>
        <w:rPr>
          <w:rFonts w:hint="eastAsia" w:ascii="Arial" w:hAnsi="Arial" w:cs="Arial"/>
          <w:sz w:val="24"/>
        </w:rPr>
        <w:t>仍旧</w:t>
      </w:r>
      <w:r>
        <w:rPr>
          <w:rFonts w:ascii="Arial" w:hAnsi="Arial" w:cs="Arial"/>
          <w:sz w:val="24"/>
        </w:rPr>
        <w:t>集中在质量保证 / 控制、文件体系、内部管理等层面，多为优化文本描述，对</w:t>
      </w:r>
      <w:bookmarkStart w:id="3" w:name="_GoBack"/>
      <w:r>
        <w:rPr>
          <w:rFonts w:ascii="Arial" w:hAnsi="Arial" w:cs="Arial"/>
          <w:sz w:val="24"/>
        </w:rPr>
        <w:t>产品</w:t>
      </w:r>
      <w:bookmarkEnd w:id="3"/>
      <w:r>
        <w:rPr>
          <w:rFonts w:ascii="Arial" w:hAnsi="Arial" w:cs="Arial"/>
          <w:sz w:val="24"/>
        </w:rPr>
        <w:t>安全性、有效性及质量可控性无负面影响。变更等级以微小变更为主，中等</w:t>
      </w:r>
      <w:r>
        <w:rPr>
          <w:rFonts w:hint="eastAsia" w:ascii="Arial" w:hAnsi="Arial" w:cs="Arial"/>
          <w:sz w:val="24"/>
        </w:rPr>
        <w:t>变更数量有所增加</w:t>
      </w:r>
      <w:r>
        <w:rPr>
          <w:rFonts w:ascii="Arial" w:hAnsi="Arial" w:cs="Arial"/>
          <w:sz w:val="24"/>
        </w:rPr>
        <w:t>。变更完成情况良好，</w:t>
      </w:r>
      <w:r>
        <w:rPr>
          <w:rFonts w:hint="eastAsia" w:ascii="Arial" w:hAnsi="Arial" w:cs="Arial"/>
          <w:sz w:val="24"/>
        </w:rPr>
        <w:t>公司的变更管理体系在效率与质量两个维度均取得了明显进步：效率方面，变更闭环速度加快，流程末端积压减少。质量方面，变更立项更精准，执行过程更稳健，无效投入大幅降。</w:t>
      </w:r>
      <w:r>
        <w:rPr>
          <w:rFonts w:ascii="Arial" w:hAnsi="Arial" w:cs="Arial"/>
          <w:sz w:val="24"/>
        </w:rPr>
        <w:t>变更管理体系运行</w:t>
      </w:r>
      <w:r>
        <w:rPr>
          <w:rFonts w:hint="eastAsia" w:ascii="Arial" w:hAnsi="Arial" w:cs="Arial"/>
          <w:sz w:val="24"/>
        </w:rPr>
        <w:t>逐渐进入轨道</w:t>
      </w:r>
      <w:r>
        <w:rPr>
          <w:rFonts w:ascii="Arial" w:hAnsi="Arial" w:cs="Arial"/>
          <w:sz w:val="24"/>
        </w:rPr>
        <w:t>，通过质量管理系统实现了变更管理全流程数字化，提升了审批效率，增强了合规性与风险控制。但</w:t>
      </w:r>
      <w:r>
        <w:rPr>
          <w:rFonts w:hint="eastAsia" w:ascii="Arial" w:hAnsi="Arial" w:cs="Arial"/>
          <w:sz w:val="24"/>
        </w:rPr>
        <w:t>仍</w:t>
      </w:r>
      <w:r>
        <w:rPr>
          <w:rFonts w:ascii="Arial" w:hAnsi="Arial" w:cs="Arial"/>
          <w:sz w:val="24"/>
        </w:rPr>
        <w:t>存在人员培训不足、系统功能适配性差和流程执行灵活性欠缺等问题。针对这些问题，制定了加强培训、完善系统功能和增强流程灵活性的整改措施，</w:t>
      </w:r>
      <w:r>
        <w:rPr>
          <w:rFonts w:hint="eastAsia" w:ascii="Arial" w:hAnsi="Arial" w:cs="Arial"/>
          <w:sz w:val="24"/>
        </w:rPr>
        <w:t>继续</w:t>
      </w:r>
      <w:r>
        <w:rPr>
          <w:rFonts w:ascii="Arial" w:hAnsi="Arial" w:cs="Arial"/>
          <w:sz w:val="24"/>
        </w:rPr>
        <w:t>优化2026年的变更管理工作。</w:t>
      </w:r>
    </w:p>
    <w:p w14:paraId="1814C022">
      <w:pPr>
        <w:tabs>
          <w:tab w:val="left" w:pos="6022"/>
        </w:tabs>
        <w:spacing w:line="400" w:lineRule="exact"/>
        <w:rPr>
          <w:rFonts w:ascii="Arial" w:hAnsi="Arial" w:cs="Arial"/>
          <w:sz w:val="24"/>
        </w:rPr>
      </w:pPr>
      <w:r>
        <w:rPr>
          <w:rFonts w:ascii="Arial" w:hAnsi="Arial" w:cs="Arial"/>
          <w:sz w:val="24"/>
        </w:rPr>
        <w:t>4.2.2026年改进重点</w:t>
      </w:r>
      <w:r>
        <w:rPr>
          <w:rFonts w:hint="eastAsia" w:ascii="Arial" w:hAnsi="Arial" w:cs="Arial"/>
          <w:sz w:val="24"/>
        </w:rPr>
        <w:t>：</w:t>
      </w:r>
    </w:p>
    <w:p w14:paraId="6F1B87DB">
      <w:pPr>
        <w:tabs>
          <w:tab w:val="left" w:pos="6022"/>
        </w:tabs>
        <w:spacing w:line="400" w:lineRule="exact"/>
        <w:rPr>
          <w:rFonts w:ascii="Arial" w:hAnsi="Arial" w:cs="Arial"/>
          <w:sz w:val="24"/>
        </w:rPr>
      </w:pPr>
      <w:r>
        <w:rPr>
          <w:rFonts w:ascii="Arial" w:hAnsi="Arial" w:cs="Arial"/>
          <w:sz w:val="24"/>
        </w:rPr>
        <w:t>优化QMS功能：</w:t>
      </w:r>
      <w:r>
        <w:rPr>
          <w:rFonts w:hint="eastAsia" w:ascii="Arial" w:hAnsi="Arial" w:cs="Arial"/>
          <w:sz w:val="24"/>
        </w:rPr>
        <w:t>增加数据报表配置，方便抓取数据总结分析。</w:t>
      </w:r>
      <w:r>
        <w:rPr>
          <w:rFonts w:ascii="Arial" w:hAnsi="Arial" w:cs="Arial"/>
          <w:sz w:val="24"/>
        </w:rPr>
        <w:t xml:space="preserve"> </w:t>
      </w:r>
    </w:p>
    <w:p w14:paraId="0E37BC8C">
      <w:pPr>
        <w:tabs>
          <w:tab w:val="left" w:pos="6022"/>
        </w:tabs>
        <w:spacing w:line="400" w:lineRule="exact"/>
        <w:rPr>
          <w:rFonts w:ascii="Arial" w:hAnsi="Arial" w:cs="Arial"/>
          <w:sz w:val="24"/>
        </w:rPr>
      </w:pPr>
      <w:r>
        <w:rPr>
          <w:rFonts w:hint="eastAsia" w:ascii="Arial" w:hAnsi="Arial" w:cs="Arial"/>
          <w:sz w:val="24"/>
        </w:rPr>
        <w:t>增强培训</w:t>
      </w:r>
      <w:r>
        <w:rPr>
          <w:rFonts w:ascii="Arial" w:hAnsi="Arial" w:cs="Arial"/>
          <w:sz w:val="24"/>
        </w:rPr>
        <w:t>：通过分层培训（新员工入职培训+年度</w:t>
      </w:r>
      <w:r>
        <w:rPr>
          <w:rFonts w:hint="eastAsia" w:ascii="Arial" w:hAnsi="Arial" w:cs="Arial"/>
          <w:sz w:val="24"/>
        </w:rPr>
        <w:t>培训＋非计划培训</w:t>
      </w:r>
      <w:r>
        <w:rPr>
          <w:rFonts w:ascii="Arial" w:hAnsi="Arial" w:cs="Arial"/>
          <w:sz w:val="24"/>
        </w:rPr>
        <w:t>）提升系统与法规熟悉度。</w:t>
      </w:r>
    </w:p>
    <w:p w14:paraId="1B04A367">
      <w:pPr>
        <w:tabs>
          <w:tab w:val="left" w:pos="6022"/>
        </w:tabs>
        <w:spacing w:line="400" w:lineRule="exact"/>
        <w:rPr>
          <w:rFonts w:ascii="Arial" w:hAnsi="Arial" w:cs="Arial"/>
          <w:sz w:val="24"/>
        </w:rPr>
      </w:pPr>
      <w:r>
        <w:rPr>
          <w:rFonts w:ascii="Arial" w:hAnsi="Arial" w:cs="Arial"/>
          <w:sz w:val="24"/>
        </w:rPr>
        <w:t>动态流程优化：基于问题台账与跨部门反馈，</w:t>
      </w:r>
      <w:r>
        <w:rPr>
          <w:rFonts w:hint="eastAsia" w:ascii="Arial" w:hAnsi="Arial" w:cs="Arial"/>
          <w:sz w:val="24"/>
        </w:rPr>
        <w:t>及时处理突发系统问题，汇总用户需求反哺系统功能优化</w:t>
      </w:r>
      <w:bookmarkEnd w:id="0"/>
      <w:r>
        <w:rPr>
          <w:rFonts w:hint="eastAsia" w:ascii="Arial" w:hAnsi="Arial" w:cs="Arial"/>
          <w:sz w:val="24"/>
        </w:rPr>
        <w:t>。</w:t>
      </w:r>
    </w:p>
    <w:sectPr>
      <w:headerReference r:id="rId9" w:type="default"/>
      <w:footerReference r:id="rId10" w:type="default"/>
      <w:pgSz w:w="11906" w:h="16838"/>
      <w:pgMar w:top="1701" w:right="851" w:bottom="851" w:left="1418" w:header="1871" w:footer="567" w:gutter="0"/>
      <w:pgNumType w:start="1"/>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6020C1">
    <w:pPr>
      <w:pStyle w:val="18"/>
      <w:jc w:val="center"/>
    </w:pPr>
    <w:r>
      <w:rPr>
        <w:rFonts w:hint="eastAsia"/>
      </w:rPr>
      <w:t>控制文件</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30BAD">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850769">
    <w:pPr>
      <w:pStyle w:val="1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FF6255">
    <w:pPr>
      <w:pStyle w:val="18"/>
      <w:pBdr>
        <w:top w:val="single" w:color="auto" w:sz="4" w:space="1"/>
      </w:pBdr>
      <w:wordWrap w:val="0"/>
      <w:spacing w:line="300" w:lineRule="exact"/>
      <w:jc w:val="right"/>
    </w:pPr>
    <w:r>
      <w:rPr>
        <w:rFonts w:ascii="Arial" w:hAnsi="Arial" w:cs="Arial"/>
      </w:rPr>
      <w:t xml:space="preserve">控制文件                                   </w:t>
    </w:r>
    <w:r>
      <w:rPr>
        <w:rFonts w:ascii="Arial" w:hAnsi="Arial" w:cs="Arial"/>
        <w:kern w:val="0"/>
      </w:rPr>
      <w:t xml:space="preserve">第 </w:t>
    </w:r>
    <w:r>
      <w:rPr>
        <w:rFonts w:ascii="Arial" w:hAnsi="Arial" w:cs="Arial"/>
        <w:kern w:val="0"/>
      </w:rPr>
      <w:fldChar w:fldCharType="begin"/>
    </w:r>
    <w:r>
      <w:rPr>
        <w:rFonts w:ascii="Arial" w:hAnsi="Arial" w:cs="Arial"/>
        <w:kern w:val="0"/>
      </w:rPr>
      <w:instrText xml:space="preserve"> PAGE </w:instrText>
    </w:r>
    <w:r>
      <w:rPr>
        <w:rFonts w:ascii="Arial" w:hAnsi="Arial" w:cs="Arial"/>
        <w:kern w:val="0"/>
      </w:rPr>
      <w:fldChar w:fldCharType="separate"/>
    </w:r>
    <w:r>
      <w:rPr>
        <w:rFonts w:ascii="Arial" w:hAnsi="Arial" w:cs="Arial"/>
        <w:kern w:val="0"/>
      </w:rPr>
      <w:t>8</w:t>
    </w:r>
    <w:r>
      <w:rPr>
        <w:rFonts w:ascii="Arial" w:hAnsi="Arial" w:cs="Arial"/>
        <w:kern w:val="0"/>
      </w:rPr>
      <w:fldChar w:fldCharType="end"/>
    </w:r>
    <w:r>
      <w:rPr>
        <w:rFonts w:ascii="Arial" w:hAnsi="Arial" w:cs="Arial"/>
        <w:kern w:val="0"/>
      </w:rPr>
      <w:t xml:space="preserve"> 页  共</w:t>
    </w:r>
    <w:r>
      <w:rPr>
        <w:rFonts w:hint="eastAsia" w:ascii="Arial" w:hAnsi="Arial" w:cs="Arial"/>
        <w:kern w:val="0"/>
      </w:rPr>
      <w:t xml:space="preserve"> </w:t>
    </w:r>
    <w:r>
      <w:rPr>
        <w:rFonts w:ascii="Arial" w:hAnsi="Arial" w:cs="Arial"/>
        <w:kern w:val="0"/>
      </w:rPr>
      <w:t>10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4"/>
      <w:tblW w:w="96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gridCol w:w="7939"/>
    </w:tblGrid>
    <w:tr w14:paraId="1DB23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882" w:type="pct"/>
          <w:vAlign w:val="center"/>
        </w:tcPr>
        <w:p w14:paraId="4FE54EE1">
          <w:pPr>
            <w:spacing w:line="400" w:lineRule="exact"/>
            <w:jc w:val="center"/>
            <w:rPr>
              <w:rFonts w:ascii="宋体" w:hAnsi="宋体" w:cs="Arial"/>
              <w:sz w:val="18"/>
            </w:rPr>
          </w:pPr>
          <w:bookmarkStart w:id="2" w:name="_Hlk55466297"/>
          <w:r>
            <w:rPr>
              <w:rFonts w:hint="eastAsia" w:ascii="宋体" w:hAnsi="宋体" w:cs="Arial"/>
              <w:sz w:val="18"/>
            </w:rPr>
            <w:t>文件名称</w:t>
          </w:r>
        </w:p>
      </w:tc>
      <w:tc>
        <w:tcPr>
          <w:tcW w:w="4118" w:type="pct"/>
          <w:vAlign w:val="center"/>
        </w:tcPr>
        <w:p w14:paraId="2B0FF18B">
          <w:pPr>
            <w:spacing w:line="400" w:lineRule="exact"/>
            <w:jc w:val="center"/>
            <w:rPr>
              <w:rFonts w:ascii="Arial" w:hAnsi="Arial" w:eastAsia="黑体" w:cs="Arial"/>
              <w:sz w:val="36"/>
              <w:szCs w:val="36"/>
            </w:rPr>
          </w:pPr>
          <w:r>
            <w:rPr>
              <w:rFonts w:ascii="Arial" w:hAnsi="Arial" w:eastAsia="黑体" w:cs="Arial"/>
              <w:sz w:val="36"/>
              <w:szCs w:val="36"/>
            </w:rPr>
            <w:t>2025</w:t>
          </w:r>
          <w:r>
            <w:rPr>
              <w:rFonts w:hint="eastAsia" w:ascii="黑体" w:eastAsia="黑体"/>
              <w:sz w:val="36"/>
              <w:szCs w:val="36"/>
            </w:rPr>
            <w:t>年变更年度质量回顾报告</w:t>
          </w:r>
        </w:p>
      </w:tc>
    </w:tr>
    <w:tr w14:paraId="3C8CC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882" w:type="pct"/>
          <w:vAlign w:val="center"/>
        </w:tcPr>
        <w:p w14:paraId="594AA789">
          <w:pPr>
            <w:spacing w:line="400" w:lineRule="exact"/>
            <w:jc w:val="center"/>
            <w:rPr>
              <w:rFonts w:ascii="宋体" w:hAnsi="宋体" w:cs="Arial"/>
              <w:sz w:val="18"/>
            </w:rPr>
          </w:pPr>
          <w:r>
            <w:rPr>
              <w:rFonts w:hint="eastAsia" w:ascii="宋体" w:hAnsi="宋体" w:cs="Arial"/>
              <w:sz w:val="18"/>
            </w:rPr>
            <w:t>文件编号</w:t>
          </w:r>
        </w:p>
      </w:tc>
      <w:tc>
        <w:tcPr>
          <w:tcW w:w="4118" w:type="pct"/>
          <w:vAlign w:val="center"/>
        </w:tcPr>
        <w:p w14:paraId="200A0C76">
          <w:pPr>
            <w:spacing w:line="400" w:lineRule="exact"/>
            <w:jc w:val="left"/>
            <w:rPr>
              <w:rFonts w:ascii="Arial" w:hAnsi="Arial" w:cs="Arial"/>
              <w:sz w:val="18"/>
            </w:rPr>
          </w:pPr>
          <w:r>
            <w:rPr>
              <w:rFonts w:ascii="Arial" w:hAnsi="Arial" w:cs="Arial"/>
              <w:sz w:val="18"/>
            </w:rPr>
            <w:t>GR-Q040008.04</w:t>
          </w:r>
        </w:p>
      </w:tc>
    </w:tr>
    <w:bookmarkEnd w:id="2"/>
  </w:tbl>
  <w:p w14:paraId="6A6CA5D0">
    <w:pPr>
      <w:pStyle w:val="19"/>
      <w:pBdr>
        <w:bottom w:val="none" w:color="auto" w:sz="0" w:space="0"/>
      </w:pBdr>
      <w:spacing w:line="120"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ACCD4">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AD1FFA">
    <w:pPr>
      <w:pStyle w:val="19"/>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5"/>
      <w:gridCol w:w="7782"/>
    </w:tblGrid>
    <w:tr w14:paraId="3AA21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958" w:type="pct"/>
          <w:vAlign w:val="center"/>
        </w:tcPr>
        <w:p w14:paraId="5762F234">
          <w:pPr>
            <w:spacing w:line="400" w:lineRule="exact"/>
            <w:jc w:val="center"/>
            <w:rPr>
              <w:rFonts w:ascii="宋体" w:hAnsi="宋体" w:cs="Arial"/>
              <w:sz w:val="18"/>
            </w:rPr>
          </w:pPr>
          <w:r>
            <w:rPr>
              <w:rFonts w:hint="eastAsia" w:ascii="宋体" w:hAnsi="宋体" w:cs="Arial"/>
              <w:sz w:val="18"/>
            </w:rPr>
            <w:t>文件名称</w:t>
          </w:r>
        </w:p>
      </w:tc>
      <w:tc>
        <w:tcPr>
          <w:tcW w:w="4042" w:type="pct"/>
          <w:vAlign w:val="center"/>
        </w:tcPr>
        <w:p w14:paraId="09F29746">
          <w:pPr>
            <w:spacing w:line="400" w:lineRule="exact"/>
            <w:jc w:val="center"/>
            <w:rPr>
              <w:rFonts w:ascii="Arial" w:hAnsi="Arial" w:eastAsia="黑体" w:cs="Arial"/>
              <w:sz w:val="36"/>
              <w:szCs w:val="36"/>
            </w:rPr>
          </w:pPr>
          <w:r>
            <w:rPr>
              <w:rFonts w:ascii="Arial" w:hAnsi="Arial" w:eastAsia="黑体" w:cs="Arial"/>
              <w:sz w:val="36"/>
              <w:szCs w:val="36"/>
            </w:rPr>
            <w:t>2025</w:t>
          </w:r>
          <w:r>
            <w:rPr>
              <w:rFonts w:hint="eastAsia" w:ascii="黑体" w:eastAsia="黑体"/>
              <w:sz w:val="36"/>
              <w:szCs w:val="36"/>
            </w:rPr>
            <w:t>年变更年度质量回顾报告</w:t>
          </w:r>
        </w:p>
      </w:tc>
    </w:tr>
    <w:tr w14:paraId="0747F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958" w:type="pct"/>
          <w:vAlign w:val="center"/>
        </w:tcPr>
        <w:p w14:paraId="7886D43B">
          <w:pPr>
            <w:spacing w:line="400" w:lineRule="exact"/>
            <w:jc w:val="center"/>
            <w:rPr>
              <w:rFonts w:ascii="宋体" w:hAnsi="宋体" w:cs="Arial"/>
              <w:sz w:val="18"/>
            </w:rPr>
          </w:pPr>
          <w:r>
            <w:rPr>
              <w:rFonts w:hint="eastAsia" w:ascii="宋体" w:hAnsi="宋体" w:cs="Arial"/>
              <w:sz w:val="18"/>
            </w:rPr>
            <w:t>文件编号</w:t>
          </w:r>
        </w:p>
      </w:tc>
      <w:tc>
        <w:tcPr>
          <w:tcW w:w="4042" w:type="pct"/>
          <w:vAlign w:val="center"/>
        </w:tcPr>
        <w:p w14:paraId="6788D45E">
          <w:pPr>
            <w:spacing w:line="400" w:lineRule="exact"/>
            <w:jc w:val="left"/>
            <w:rPr>
              <w:rFonts w:ascii="Arial" w:hAnsi="Arial" w:cs="Arial"/>
              <w:sz w:val="18"/>
            </w:rPr>
          </w:pPr>
          <w:r>
            <w:rPr>
              <w:rFonts w:ascii="Arial" w:hAnsi="Arial" w:cs="Arial"/>
              <w:sz w:val="18"/>
            </w:rPr>
            <w:t>GR-Q040008.04</w:t>
          </w:r>
        </w:p>
      </w:tc>
    </w:tr>
  </w:tbl>
  <w:p w14:paraId="6F64F733">
    <w:pPr>
      <w:pStyle w:val="19"/>
      <w:pBdr>
        <w:bottom w:val="none" w:color="auto" w:sz="0" w:space="0"/>
      </w:pBdr>
      <w:spacing w:line="120" w:lineRule="exact"/>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60EF"/>
    <w:rsid w:val="000018B5"/>
    <w:rsid w:val="00006889"/>
    <w:rsid w:val="000077DB"/>
    <w:rsid w:val="00011C67"/>
    <w:rsid w:val="0001219F"/>
    <w:rsid w:val="000125B4"/>
    <w:rsid w:val="00012679"/>
    <w:rsid w:val="00014615"/>
    <w:rsid w:val="00014A18"/>
    <w:rsid w:val="0001515E"/>
    <w:rsid w:val="000162A9"/>
    <w:rsid w:val="00020B05"/>
    <w:rsid w:val="00022305"/>
    <w:rsid w:val="000253A9"/>
    <w:rsid w:val="00026E84"/>
    <w:rsid w:val="0003104D"/>
    <w:rsid w:val="00031AB2"/>
    <w:rsid w:val="00032EE2"/>
    <w:rsid w:val="00036F76"/>
    <w:rsid w:val="000375B5"/>
    <w:rsid w:val="00041B45"/>
    <w:rsid w:val="000422F4"/>
    <w:rsid w:val="00042EC3"/>
    <w:rsid w:val="00043284"/>
    <w:rsid w:val="00047562"/>
    <w:rsid w:val="000518AD"/>
    <w:rsid w:val="00053B05"/>
    <w:rsid w:val="000561AD"/>
    <w:rsid w:val="000613C3"/>
    <w:rsid w:val="00061F76"/>
    <w:rsid w:val="00061F9A"/>
    <w:rsid w:val="00063B65"/>
    <w:rsid w:val="00064C4E"/>
    <w:rsid w:val="000652CA"/>
    <w:rsid w:val="000653CF"/>
    <w:rsid w:val="0006607D"/>
    <w:rsid w:val="00066751"/>
    <w:rsid w:val="0006698E"/>
    <w:rsid w:val="000671AF"/>
    <w:rsid w:val="0007183A"/>
    <w:rsid w:val="000745DC"/>
    <w:rsid w:val="00083B21"/>
    <w:rsid w:val="00083CB9"/>
    <w:rsid w:val="00086358"/>
    <w:rsid w:val="0008735F"/>
    <w:rsid w:val="000963EF"/>
    <w:rsid w:val="000A0692"/>
    <w:rsid w:val="000A2A9C"/>
    <w:rsid w:val="000A2D4D"/>
    <w:rsid w:val="000A4FD1"/>
    <w:rsid w:val="000A6F2A"/>
    <w:rsid w:val="000A7DB5"/>
    <w:rsid w:val="000A7DFD"/>
    <w:rsid w:val="000B0A4D"/>
    <w:rsid w:val="000B22D0"/>
    <w:rsid w:val="000B2830"/>
    <w:rsid w:val="000B2DEB"/>
    <w:rsid w:val="000B40B6"/>
    <w:rsid w:val="000C1C5B"/>
    <w:rsid w:val="000C37D1"/>
    <w:rsid w:val="000C5190"/>
    <w:rsid w:val="000D0E2E"/>
    <w:rsid w:val="000D1801"/>
    <w:rsid w:val="000D2453"/>
    <w:rsid w:val="000D2900"/>
    <w:rsid w:val="000D3C7D"/>
    <w:rsid w:val="000D5C19"/>
    <w:rsid w:val="000D6440"/>
    <w:rsid w:val="000E69C4"/>
    <w:rsid w:val="000E69DC"/>
    <w:rsid w:val="000E6EF2"/>
    <w:rsid w:val="000F0301"/>
    <w:rsid w:val="000F2EE9"/>
    <w:rsid w:val="000F5F02"/>
    <w:rsid w:val="000F7EC7"/>
    <w:rsid w:val="00100E27"/>
    <w:rsid w:val="001018BD"/>
    <w:rsid w:val="00102660"/>
    <w:rsid w:val="00106A15"/>
    <w:rsid w:val="0011166C"/>
    <w:rsid w:val="0011229A"/>
    <w:rsid w:val="00112FCD"/>
    <w:rsid w:val="0011336F"/>
    <w:rsid w:val="00113CB7"/>
    <w:rsid w:val="00114508"/>
    <w:rsid w:val="00116091"/>
    <w:rsid w:val="00117B92"/>
    <w:rsid w:val="0012172F"/>
    <w:rsid w:val="00122CAD"/>
    <w:rsid w:val="00123219"/>
    <w:rsid w:val="00125577"/>
    <w:rsid w:val="00127D15"/>
    <w:rsid w:val="00130D35"/>
    <w:rsid w:val="00135FB8"/>
    <w:rsid w:val="00140A0F"/>
    <w:rsid w:val="00141DDD"/>
    <w:rsid w:val="00142089"/>
    <w:rsid w:val="00142097"/>
    <w:rsid w:val="001431C4"/>
    <w:rsid w:val="001454AB"/>
    <w:rsid w:val="00147941"/>
    <w:rsid w:val="0015105E"/>
    <w:rsid w:val="00152347"/>
    <w:rsid w:val="00152768"/>
    <w:rsid w:val="001530C6"/>
    <w:rsid w:val="001649A3"/>
    <w:rsid w:val="001663F7"/>
    <w:rsid w:val="00167205"/>
    <w:rsid w:val="00175FE9"/>
    <w:rsid w:val="0018120A"/>
    <w:rsid w:val="001822FD"/>
    <w:rsid w:val="00183175"/>
    <w:rsid w:val="00191758"/>
    <w:rsid w:val="0019498E"/>
    <w:rsid w:val="00196A48"/>
    <w:rsid w:val="001A48D3"/>
    <w:rsid w:val="001A61C9"/>
    <w:rsid w:val="001A6463"/>
    <w:rsid w:val="001B30B7"/>
    <w:rsid w:val="001B3DE8"/>
    <w:rsid w:val="001B4494"/>
    <w:rsid w:val="001B4904"/>
    <w:rsid w:val="001B4D15"/>
    <w:rsid w:val="001B52DA"/>
    <w:rsid w:val="001C0530"/>
    <w:rsid w:val="001C570B"/>
    <w:rsid w:val="001D0105"/>
    <w:rsid w:val="001D4112"/>
    <w:rsid w:val="001D4305"/>
    <w:rsid w:val="001D48A5"/>
    <w:rsid w:val="001D4A63"/>
    <w:rsid w:val="001D5C01"/>
    <w:rsid w:val="001D65AB"/>
    <w:rsid w:val="001D72A5"/>
    <w:rsid w:val="001D76A4"/>
    <w:rsid w:val="001E4442"/>
    <w:rsid w:val="001E4F85"/>
    <w:rsid w:val="001E5849"/>
    <w:rsid w:val="001E5A74"/>
    <w:rsid w:val="001F0427"/>
    <w:rsid w:val="001F08AB"/>
    <w:rsid w:val="001F17DC"/>
    <w:rsid w:val="001F1FE3"/>
    <w:rsid w:val="001F30FF"/>
    <w:rsid w:val="001F694D"/>
    <w:rsid w:val="001F70E3"/>
    <w:rsid w:val="00207378"/>
    <w:rsid w:val="00210F2B"/>
    <w:rsid w:val="00211F8F"/>
    <w:rsid w:val="002121BE"/>
    <w:rsid w:val="0021330A"/>
    <w:rsid w:val="002148D1"/>
    <w:rsid w:val="00214CA4"/>
    <w:rsid w:val="00215B70"/>
    <w:rsid w:val="0022146F"/>
    <w:rsid w:val="00221F44"/>
    <w:rsid w:val="00223E8A"/>
    <w:rsid w:val="00225153"/>
    <w:rsid w:val="00226AEB"/>
    <w:rsid w:val="0022711F"/>
    <w:rsid w:val="00227B3B"/>
    <w:rsid w:val="00227E98"/>
    <w:rsid w:val="002304AA"/>
    <w:rsid w:val="00230576"/>
    <w:rsid w:val="0023203D"/>
    <w:rsid w:val="00233849"/>
    <w:rsid w:val="00233F72"/>
    <w:rsid w:val="00234C99"/>
    <w:rsid w:val="00241635"/>
    <w:rsid w:val="0024252D"/>
    <w:rsid w:val="00242573"/>
    <w:rsid w:val="00243A3C"/>
    <w:rsid w:val="00245667"/>
    <w:rsid w:val="00247089"/>
    <w:rsid w:val="00253350"/>
    <w:rsid w:val="00260226"/>
    <w:rsid w:val="00261D24"/>
    <w:rsid w:val="002632A9"/>
    <w:rsid w:val="00264131"/>
    <w:rsid w:val="002673A9"/>
    <w:rsid w:val="002678FB"/>
    <w:rsid w:val="00267EFA"/>
    <w:rsid w:val="00274779"/>
    <w:rsid w:val="00274829"/>
    <w:rsid w:val="00274D65"/>
    <w:rsid w:val="00275C57"/>
    <w:rsid w:val="002841CF"/>
    <w:rsid w:val="0029043D"/>
    <w:rsid w:val="00292790"/>
    <w:rsid w:val="00295C6D"/>
    <w:rsid w:val="00295D59"/>
    <w:rsid w:val="0029621E"/>
    <w:rsid w:val="00297117"/>
    <w:rsid w:val="002A3B85"/>
    <w:rsid w:val="002A7A1D"/>
    <w:rsid w:val="002B1EB6"/>
    <w:rsid w:val="002B338F"/>
    <w:rsid w:val="002B669F"/>
    <w:rsid w:val="002C0142"/>
    <w:rsid w:val="002C0782"/>
    <w:rsid w:val="002C1BA2"/>
    <w:rsid w:val="002C4E57"/>
    <w:rsid w:val="002C6DE8"/>
    <w:rsid w:val="002C7FA6"/>
    <w:rsid w:val="002D1D5E"/>
    <w:rsid w:val="002D57AF"/>
    <w:rsid w:val="002D7981"/>
    <w:rsid w:val="002E00C8"/>
    <w:rsid w:val="002E36E6"/>
    <w:rsid w:val="002E57C4"/>
    <w:rsid w:val="002F17EE"/>
    <w:rsid w:val="002F27FE"/>
    <w:rsid w:val="002F2ABC"/>
    <w:rsid w:val="002F3AA5"/>
    <w:rsid w:val="002F3CCE"/>
    <w:rsid w:val="002F4C95"/>
    <w:rsid w:val="00300DD2"/>
    <w:rsid w:val="00302275"/>
    <w:rsid w:val="00302D2E"/>
    <w:rsid w:val="00304917"/>
    <w:rsid w:val="00304B8A"/>
    <w:rsid w:val="00305737"/>
    <w:rsid w:val="00305CD9"/>
    <w:rsid w:val="00313275"/>
    <w:rsid w:val="0031438C"/>
    <w:rsid w:val="00316C87"/>
    <w:rsid w:val="00317B0D"/>
    <w:rsid w:val="003211E5"/>
    <w:rsid w:val="00321CBF"/>
    <w:rsid w:val="00324006"/>
    <w:rsid w:val="00324185"/>
    <w:rsid w:val="00325049"/>
    <w:rsid w:val="003256E1"/>
    <w:rsid w:val="00327029"/>
    <w:rsid w:val="0033131E"/>
    <w:rsid w:val="00331852"/>
    <w:rsid w:val="003319E3"/>
    <w:rsid w:val="00333936"/>
    <w:rsid w:val="0033570B"/>
    <w:rsid w:val="00337CA8"/>
    <w:rsid w:val="003420FD"/>
    <w:rsid w:val="00343DA0"/>
    <w:rsid w:val="003444DA"/>
    <w:rsid w:val="00344D0B"/>
    <w:rsid w:val="00345F16"/>
    <w:rsid w:val="00347760"/>
    <w:rsid w:val="003540CE"/>
    <w:rsid w:val="00355AD2"/>
    <w:rsid w:val="0036046C"/>
    <w:rsid w:val="00364512"/>
    <w:rsid w:val="00365FB8"/>
    <w:rsid w:val="003678FE"/>
    <w:rsid w:val="00370A13"/>
    <w:rsid w:val="00371D63"/>
    <w:rsid w:val="00371E47"/>
    <w:rsid w:val="00373997"/>
    <w:rsid w:val="00380680"/>
    <w:rsid w:val="00382370"/>
    <w:rsid w:val="003829F5"/>
    <w:rsid w:val="00383424"/>
    <w:rsid w:val="0038508D"/>
    <w:rsid w:val="00385F6D"/>
    <w:rsid w:val="00387693"/>
    <w:rsid w:val="003910FF"/>
    <w:rsid w:val="003933BD"/>
    <w:rsid w:val="00395A55"/>
    <w:rsid w:val="003972A5"/>
    <w:rsid w:val="003A0513"/>
    <w:rsid w:val="003A287E"/>
    <w:rsid w:val="003A2D1A"/>
    <w:rsid w:val="003A3A1F"/>
    <w:rsid w:val="003A5666"/>
    <w:rsid w:val="003A6A7E"/>
    <w:rsid w:val="003B4022"/>
    <w:rsid w:val="003C0A00"/>
    <w:rsid w:val="003C0D08"/>
    <w:rsid w:val="003C23CC"/>
    <w:rsid w:val="003C2B93"/>
    <w:rsid w:val="003C2E84"/>
    <w:rsid w:val="003C3D5F"/>
    <w:rsid w:val="003C7A07"/>
    <w:rsid w:val="003D2EA1"/>
    <w:rsid w:val="003D3096"/>
    <w:rsid w:val="003D318F"/>
    <w:rsid w:val="003D4FF7"/>
    <w:rsid w:val="003E0241"/>
    <w:rsid w:val="003E0936"/>
    <w:rsid w:val="003E2B05"/>
    <w:rsid w:val="003E4EA4"/>
    <w:rsid w:val="003E52A8"/>
    <w:rsid w:val="003F02F3"/>
    <w:rsid w:val="003F0DC1"/>
    <w:rsid w:val="003F24CC"/>
    <w:rsid w:val="003F314C"/>
    <w:rsid w:val="003F5786"/>
    <w:rsid w:val="003F6234"/>
    <w:rsid w:val="003F702D"/>
    <w:rsid w:val="00401C57"/>
    <w:rsid w:val="00404410"/>
    <w:rsid w:val="00404A0F"/>
    <w:rsid w:val="00411C3D"/>
    <w:rsid w:val="00413837"/>
    <w:rsid w:val="0041760D"/>
    <w:rsid w:val="0042030B"/>
    <w:rsid w:val="00420C44"/>
    <w:rsid w:val="00422EC4"/>
    <w:rsid w:val="0042346B"/>
    <w:rsid w:val="004243EE"/>
    <w:rsid w:val="00440A62"/>
    <w:rsid w:val="00442F23"/>
    <w:rsid w:val="00442F5C"/>
    <w:rsid w:val="00443320"/>
    <w:rsid w:val="00443A66"/>
    <w:rsid w:val="00445519"/>
    <w:rsid w:val="00455091"/>
    <w:rsid w:val="00456356"/>
    <w:rsid w:val="004600C4"/>
    <w:rsid w:val="00460CFA"/>
    <w:rsid w:val="00464BD5"/>
    <w:rsid w:val="00470DBC"/>
    <w:rsid w:val="00471655"/>
    <w:rsid w:val="0047219B"/>
    <w:rsid w:val="0047267E"/>
    <w:rsid w:val="00474DDC"/>
    <w:rsid w:val="0047634F"/>
    <w:rsid w:val="00476353"/>
    <w:rsid w:val="004806ED"/>
    <w:rsid w:val="00480F75"/>
    <w:rsid w:val="00485667"/>
    <w:rsid w:val="0048651E"/>
    <w:rsid w:val="00487AD3"/>
    <w:rsid w:val="004A04C3"/>
    <w:rsid w:val="004A282D"/>
    <w:rsid w:val="004A398C"/>
    <w:rsid w:val="004A48EB"/>
    <w:rsid w:val="004A6ECF"/>
    <w:rsid w:val="004B0464"/>
    <w:rsid w:val="004B27C4"/>
    <w:rsid w:val="004B738E"/>
    <w:rsid w:val="004C0CC5"/>
    <w:rsid w:val="004C11FF"/>
    <w:rsid w:val="004C1EAB"/>
    <w:rsid w:val="004C22B9"/>
    <w:rsid w:val="004C5910"/>
    <w:rsid w:val="004C61F8"/>
    <w:rsid w:val="004D3666"/>
    <w:rsid w:val="004D4319"/>
    <w:rsid w:val="004D500F"/>
    <w:rsid w:val="004D6E65"/>
    <w:rsid w:val="004E0151"/>
    <w:rsid w:val="004E1755"/>
    <w:rsid w:val="004E621A"/>
    <w:rsid w:val="004F04FE"/>
    <w:rsid w:val="004F433F"/>
    <w:rsid w:val="004F619E"/>
    <w:rsid w:val="004F6200"/>
    <w:rsid w:val="004F6912"/>
    <w:rsid w:val="00500030"/>
    <w:rsid w:val="00500D11"/>
    <w:rsid w:val="005029AC"/>
    <w:rsid w:val="00510139"/>
    <w:rsid w:val="00513A99"/>
    <w:rsid w:val="005143E8"/>
    <w:rsid w:val="00515FA3"/>
    <w:rsid w:val="00522DDB"/>
    <w:rsid w:val="00523863"/>
    <w:rsid w:val="00526645"/>
    <w:rsid w:val="00533AE2"/>
    <w:rsid w:val="0053493C"/>
    <w:rsid w:val="00535EDA"/>
    <w:rsid w:val="005363D0"/>
    <w:rsid w:val="00540F07"/>
    <w:rsid w:val="005414D9"/>
    <w:rsid w:val="00542DB0"/>
    <w:rsid w:val="00545556"/>
    <w:rsid w:val="00545FAA"/>
    <w:rsid w:val="00547E16"/>
    <w:rsid w:val="00551E93"/>
    <w:rsid w:val="00553E81"/>
    <w:rsid w:val="005543F4"/>
    <w:rsid w:val="00554809"/>
    <w:rsid w:val="005550AB"/>
    <w:rsid w:val="0055631C"/>
    <w:rsid w:val="00557552"/>
    <w:rsid w:val="00557F91"/>
    <w:rsid w:val="00560664"/>
    <w:rsid w:val="00562380"/>
    <w:rsid w:val="0056380D"/>
    <w:rsid w:val="00563C1C"/>
    <w:rsid w:val="00564242"/>
    <w:rsid w:val="00566731"/>
    <w:rsid w:val="0056766F"/>
    <w:rsid w:val="00572211"/>
    <w:rsid w:val="0057652F"/>
    <w:rsid w:val="00576F6D"/>
    <w:rsid w:val="00583CAD"/>
    <w:rsid w:val="005840D2"/>
    <w:rsid w:val="00584141"/>
    <w:rsid w:val="00585A2E"/>
    <w:rsid w:val="00586577"/>
    <w:rsid w:val="005868FA"/>
    <w:rsid w:val="0059019E"/>
    <w:rsid w:val="00591EC8"/>
    <w:rsid w:val="0059268F"/>
    <w:rsid w:val="005928FF"/>
    <w:rsid w:val="0059374A"/>
    <w:rsid w:val="00596220"/>
    <w:rsid w:val="005964D6"/>
    <w:rsid w:val="00596948"/>
    <w:rsid w:val="00596ABE"/>
    <w:rsid w:val="005975D4"/>
    <w:rsid w:val="005A196A"/>
    <w:rsid w:val="005A2255"/>
    <w:rsid w:val="005A6A57"/>
    <w:rsid w:val="005B1D95"/>
    <w:rsid w:val="005B2A2D"/>
    <w:rsid w:val="005B325F"/>
    <w:rsid w:val="005B792F"/>
    <w:rsid w:val="005C13B0"/>
    <w:rsid w:val="005C3556"/>
    <w:rsid w:val="005C49F7"/>
    <w:rsid w:val="005C648C"/>
    <w:rsid w:val="005C6CDC"/>
    <w:rsid w:val="005E0390"/>
    <w:rsid w:val="005E1A08"/>
    <w:rsid w:val="005E1A6C"/>
    <w:rsid w:val="005E572C"/>
    <w:rsid w:val="005E5CB1"/>
    <w:rsid w:val="005F370A"/>
    <w:rsid w:val="005F4BE9"/>
    <w:rsid w:val="005F4D1A"/>
    <w:rsid w:val="005F568F"/>
    <w:rsid w:val="005F7C83"/>
    <w:rsid w:val="006010B7"/>
    <w:rsid w:val="0060323E"/>
    <w:rsid w:val="00605C37"/>
    <w:rsid w:val="00610575"/>
    <w:rsid w:val="006112E3"/>
    <w:rsid w:val="00612E6F"/>
    <w:rsid w:val="006156EE"/>
    <w:rsid w:val="00616D2C"/>
    <w:rsid w:val="00617A16"/>
    <w:rsid w:val="00621C10"/>
    <w:rsid w:val="006224CC"/>
    <w:rsid w:val="006252F9"/>
    <w:rsid w:val="00625B49"/>
    <w:rsid w:val="00627427"/>
    <w:rsid w:val="006321E4"/>
    <w:rsid w:val="00632A12"/>
    <w:rsid w:val="00632CE2"/>
    <w:rsid w:val="0063524C"/>
    <w:rsid w:val="0063643F"/>
    <w:rsid w:val="00644569"/>
    <w:rsid w:val="006459E3"/>
    <w:rsid w:val="0064700F"/>
    <w:rsid w:val="0065347C"/>
    <w:rsid w:val="006568C8"/>
    <w:rsid w:val="006640C2"/>
    <w:rsid w:val="00666AA3"/>
    <w:rsid w:val="00672199"/>
    <w:rsid w:val="00672702"/>
    <w:rsid w:val="00673C2A"/>
    <w:rsid w:val="0067455C"/>
    <w:rsid w:val="00674F19"/>
    <w:rsid w:val="00681750"/>
    <w:rsid w:val="00682AAD"/>
    <w:rsid w:val="0068302D"/>
    <w:rsid w:val="00684281"/>
    <w:rsid w:val="00685859"/>
    <w:rsid w:val="006866FD"/>
    <w:rsid w:val="00686F7A"/>
    <w:rsid w:val="0069321E"/>
    <w:rsid w:val="00693D9F"/>
    <w:rsid w:val="00694A65"/>
    <w:rsid w:val="00696D71"/>
    <w:rsid w:val="006A02D3"/>
    <w:rsid w:val="006A23B6"/>
    <w:rsid w:val="006B13AA"/>
    <w:rsid w:val="006B1FA6"/>
    <w:rsid w:val="006B2DB9"/>
    <w:rsid w:val="006B3A4A"/>
    <w:rsid w:val="006B5339"/>
    <w:rsid w:val="006B5829"/>
    <w:rsid w:val="006B62F5"/>
    <w:rsid w:val="006C55AF"/>
    <w:rsid w:val="006C672A"/>
    <w:rsid w:val="006C7385"/>
    <w:rsid w:val="006D0504"/>
    <w:rsid w:val="006D0AAD"/>
    <w:rsid w:val="006D14F6"/>
    <w:rsid w:val="006D1DEE"/>
    <w:rsid w:val="006D5A7F"/>
    <w:rsid w:val="006D60C5"/>
    <w:rsid w:val="006D7AB4"/>
    <w:rsid w:val="006E0406"/>
    <w:rsid w:val="006E0CB5"/>
    <w:rsid w:val="006E1BFD"/>
    <w:rsid w:val="006E2C4A"/>
    <w:rsid w:val="006E5AFF"/>
    <w:rsid w:val="006E7404"/>
    <w:rsid w:val="006F2000"/>
    <w:rsid w:val="006F2D91"/>
    <w:rsid w:val="006F5960"/>
    <w:rsid w:val="006F7F4F"/>
    <w:rsid w:val="00700F12"/>
    <w:rsid w:val="007032CC"/>
    <w:rsid w:val="007056DF"/>
    <w:rsid w:val="00705831"/>
    <w:rsid w:val="00705B5B"/>
    <w:rsid w:val="00707324"/>
    <w:rsid w:val="007073B1"/>
    <w:rsid w:val="00710F6A"/>
    <w:rsid w:val="00716929"/>
    <w:rsid w:val="00720EEA"/>
    <w:rsid w:val="00721500"/>
    <w:rsid w:val="007271B8"/>
    <w:rsid w:val="007273B0"/>
    <w:rsid w:val="0073010D"/>
    <w:rsid w:val="007301E1"/>
    <w:rsid w:val="00730363"/>
    <w:rsid w:val="00730B8D"/>
    <w:rsid w:val="00731E08"/>
    <w:rsid w:val="007331AC"/>
    <w:rsid w:val="00734944"/>
    <w:rsid w:val="007352CD"/>
    <w:rsid w:val="007362E1"/>
    <w:rsid w:val="00736818"/>
    <w:rsid w:val="007464ED"/>
    <w:rsid w:val="00746514"/>
    <w:rsid w:val="0074767B"/>
    <w:rsid w:val="0075176D"/>
    <w:rsid w:val="0075286A"/>
    <w:rsid w:val="007531BF"/>
    <w:rsid w:val="007603B2"/>
    <w:rsid w:val="007648B9"/>
    <w:rsid w:val="007653B0"/>
    <w:rsid w:val="007654DA"/>
    <w:rsid w:val="00771130"/>
    <w:rsid w:val="007720D9"/>
    <w:rsid w:val="00772FBE"/>
    <w:rsid w:val="007734F0"/>
    <w:rsid w:val="007746E3"/>
    <w:rsid w:val="00775192"/>
    <w:rsid w:val="007775FF"/>
    <w:rsid w:val="007813F7"/>
    <w:rsid w:val="00781EE7"/>
    <w:rsid w:val="00783FCE"/>
    <w:rsid w:val="007866E9"/>
    <w:rsid w:val="00790735"/>
    <w:rsid w:val="00794843"/>
    <w:rsid w:val="007972AF"/>
    <w:rsid w:val="007A0AAF"/>
    <w:rsid w:val="007A14B7"/>
    <w:rsid w:val="007A2B1A"/>
    <w:rsid w:val="007A2BB4"/>
    <w:rsid w:val="007A38E4"/>
    <w:rsid w:val="007A53B2"/>
    <w:rsid w:val="007A5F6F"/>
    <w:rsid w:val="007A77A2"/>
    <w:rsid w:val="007A7DCF"/>
    <w:rsid w:val="007B27A6"/>
    <w:rsid w:val="007B4E14"/>
    <w:rsid w:val="007B579B"/>
    <w:rsid w:val="007B6C0A"/>
    <w:rsid w:val="007C32E2"/>
    <w:rsid w:val="007C3317"/>
    <w:rsid w:val="007C45AF"/>
    <w:rsid w:val="007C4DA6"/>
    <w:rsid w:val="007D054D"/>
    <w:rsid w:val="007D29F7"/>
    <w:rsid w:val="007D31B7"/>
    <w:rsid w:val="007D3BF4"/>
    <w:rsid w:val="007D3D43"/>
    <w:rsid w:val="007D54E6"/>
    <w:rsid w:val="007D61EC"/>
    <w:rsid w:val="007D655A"/>
    <w:rsid w:val="007E0DB1"/>
    <w:rsid w:val="007E17E5"/>
    <w:rsid w:val="007E4B87"/>
    <w:rsid w:val="007E5CB5"/>
    <w:rsid w:val="007E61B4"/>
    <w:rsid w:val="007F0AC1"/>
    <w:rsid w:val="007F49E9"/>
    <w:rsid w:val="007F51DB"/>
    <w:rsid w:val="007F562D"/>
    <w:rsid w:val="007F6771"/>
    <w:rsid w:val="00800534"/>
    <w:rsid w:val="00803078"/>
    <w:rsid w:val="0080403C"/>
    <w:rsid w:val="0080406C"/>
    <w:rsid w:val="008242E7"/>
    <w:rsid w:val="00827B92"/>
    <w:rsid w:val="00832662"/>
    <w:rsid w:val="00833C64"/>
    <w:rsid w:val="0083401A"/>
    <w:rsid w:val="00835B14"/>
    <w:rsid w:val="00836B77"/>
    <w:rsid w:val="0084135A"/>
    <w:rsid w:val="00841588"/>
    <w:rsid w:val="00844664"/>
    <w:rsid w:val="008468F3"/>
    <w:rsid w:val="008509CD"/>
    <w:rsid w:val="00851A87"/>
    <w:rsid w:val="00851B0C"/>
    <w:rsid w:val="00852F53"/>
    <w:rsid w:val="00853C30"/>
    <w:rsid w:val="00853E35"/>
    <w:rsid w:val="00855F21"/>
    <w:rsid w:val="00861A05"/>
    <w:rsid w:val="00861F25"/>
    <w:rsid w:val="0086272C"/>
    <w:rsid w:val="008632DC"/>
    <w:rsid w:val="00863D67"/>
    <w:rsid w:val="008710DB"/>
    <w:rsid w:val="00871B0A"/>
    <w:rsid w:val="00873389"/>
    <w:rsid w:val="008734E3"/>
    <w:rsid w:val="00873C81"/>
    <w:rsid w:val="00877A99"/>
    <w:rsid w:val="008820A1"/>
    <w:rsid w:val="008825BC"/>
    <w:rsid w:val="008827F4"/>
    <w:rsid w:val="00883349"/>
    <w:rsid w:val="00884727"/>
    <w:rsid w:val="00884FA3"/>
    <w:rsid w:val="00885FB8"/>
    <w:rsid w:val="00887A22"/>
    <w:rsid w:val="00891215"/>
    <w:rsid w:val="008941B5"/>
    <w:rsid w:val="008947DC"/>
    <w:rsid w:val="00895BBE"/>
    <w:rsid w:val="00897037"/>
    <w:rsid w:val="008A4CCF"/>
    <w:rsid w:val="008A54C6"/>
    <w:rsid w:val="008A6E16"/>
    <w:rsid w:val="008A6F27"/>
    <w:rsid w:val="008B10E0"/>
    <w:rsid w:val="008B30B2"/>
    <w:rsid w:val="008B58F9"/>
    <w:rsid w:val="008B75E8"/>
    <w:rsid w:val="008B7C2B"/>
    <w:rsid w:val="008C105C"/>
    <w:rsid w:val="008C62EC"/>
    <w:rsid w:val="008C6A2F"/>
    <w:rsid w:val="008C6DB7"/>
    <w:rsid w:val="008C76E7"/>
    <w:rsid w:val="008C7E64"/>
    <w:rsid w:val="008D22BF"/>
    <w:rsid w:val="008D60A7"/>
    <w:rsid w:val="008D6DEA"/>
    <w:rsid w:val="008D743E"/>
    <w:rsid w:val="008E1DE0"/>
    <w:rsid w:val="008E212F"/>
    <w:rsid w:val="008E3E17"/>
    <w:rsid w:val="008E4B6D"/>
    <w:rsid w:val="008F03C6"/>
    <w:rsid w:val="008F0A60"/>
    <w:rsid w:val="008F1FC1"/>
    <w:rsid w:val="008F28E0"/>
    <w:rsid w:val="008F33F1"/>
    <w:rsid w:val="008F4D5B"/>
    <w:rsid w:val="00906A09"/>
    <w:rsid w:val="00906F37"/>
    <w:rsid w:val="00907978"/>
    <w:rsid w:val="009106EA"/>
    <w:rsid w:val="00910C1A"/>
    <w:rsid w:val="0091172C"/>
    <w:rsid w:val="009117C3"/>
    <w:rsid w:val="009138DD"/>
    <w:rsid w:val="00913B66"/>
    <w:rsid w:val="00917E4F"/>
    <w:rsid w:val="009200A6"/>
    <w:rsid w:val="00920B7F"/>
    <w:rsid w:val="00921F1B"/>
    <w:rsid w:val="009274C8"/>
    <w:rsid w:val="0093049A"/>
    <w:rsid w:val="00930FF0"/>
    <w:rsid w:val="009319C4"/>
    <w:rsid w:val="00936466"/>
    <w:rsid w:val="009420D8"/>
    <w:rsid w:val="009444F8"/>
    <w:rsid w:val="009455EF"/>
    <w:rsid w:val="00946350"/>
    <w:rsid w:val="00947022"/>
    <w:rsid w:val="0095126F"/>
    <w:rsid w:val="00951816"/>
    <w:rsid w:val="00951828"/>
    <w:rsid w:val="009523BE"/>
    <w:rsid w:val="009604AF"/>
    <w:rsid w:val="00961A0F"/>
    <w:rsid w:val="0096249B"/>
    <w:rsid w:val="00964DE9"/>
    <w:rsid w:val="0096766A"/>
    <w:rsid w:val="0097327E"/>
    <w:rsid w:val="00985C4D"/>
    <w:rsid w:val="00986076"/>
    <w:rsid w:val="009864F4"/>
    <w:rsid w:val="009927EB"/>
    <w:rsid w:val="00993993"/>
    <w:rsid w:val="00994F40"/>
    <w:rsid w:val="00995762"/>
    <w:rsid w:val="00996F71"/>
    <w:rsid w:val="009970A1"/>
    <w:rsid w:val="009A32EE"/>
    <w:rsid w:val="009A32FC"/>
    <w:rsid w:val="009A33DA"/>
    <w:rsid w:val="009A4943"/>
    <w:rsid w:val="009A7E32"/>
    <w:rsid w:val="009B23A3"/>
    <w:rsid w:val="009B448D"/>
    <w:rsid w:val="009C06D3"/>
    <w:rsid w:val="009C0AAF"/>
    <w:rsid w:val="009C1528"/>
    <w:rsid w:val="009C2D34"/>
    <w:rsid w:val="009C3A3C"/>
    <w:rsid w:val="009C5FC3"/>
    <w:rsid w:val="009C7B07"/>
    <w:rsid w:val="009D4AC1"/>
    <w:rsid w:val="009D4BE1"/>
    <w:rsid w:val="009D4EBC"/>
    <w:rsid w:val="009D51A5"/>
    <w:rsid w:val="009D66C1"/>
    <w:rsid w:val="009D7C67"/>
    <w:rsid w:val="009E000B"/>
    <w:rsid w:val="009E0F92"/>
    <w:rsid w:val="009E18FD"/>
    <w:rsid w:val="009E1EFD"/>
    <w:rsid w:val="009E22E6"/>
    <w:rsid w:val="009E364D"/>
    <w:rsid w:val="009F481C"/>
    <w:rsid w:val="009F7093"/>
    <w:rsid w:val="009F7A57"/>
    <w:rsid w:val="00A00ECE"/>
    <w:rsid w:val="00A0102C"/>
    <w:rsid w:val="00A05309"/>
    <w:rsid w:val="00A17A6B"/>
    <w:rsid w:val="00A21E0B"/>
    <w:rsid w:val="00A227CE"/>
    <w:rsid w:val="00A2347F"/>
    <w:rsid w:val="00A2793B"/>
    <w:rsid w:val="00A36110"/>
    <w:rsid w:val="00A3785A"/>
    <w:rsid w:val="00A40A13"/>
    <w:rsid w:val="00A45C17"/>
    <w:rsid w:val="00A47878"/>
    <w:rsid w:val="00A513AF"/>
    <w:rsid w:val="00A51F5F"/>
    <w:rsid w:val="00A54D0A"/>
    <w:rsid w:val="00A56638"/>
    <w:rsid w:val="00A56789"/>
    <w:rsid w:val="00A60E4B"/>
    <w:rsid w:val="00A615D7"/>
    <w:rsid w:val="00A6358E"/>
    <w:rsid w:val="00A64BDE"/>
    <w:rsid w:val="00A657C6"/>
    <w:rsid w:val="00A6587A"/>
    <w:rsid w:val="00A67435"/>
    <w:rsid w:val="00A76988"/>
    <w:rsid w:val="00A801F1"/>
    <w:rsid w:val="00A8040D"/>
    <w:rsid w:val="00A819DA"/>
    <w:rsid w:val="00A84FBE"/>
    <w:rsid w:val="00A85D19"/>
    <w:rsid w:val="00AA0EBF"/>
    <w:rsid w:val="00AA3047"/>
    <w:rsid w:val="00AA38DB"/>
    <w:rsid w:val="00AA478C"/>
    <w:rsid w:val="00AA54C2"/>
    <w:rsid w:val="00AA59E9"/>
    <w:rsid w:val="00AA5C59"/>
    <w:rsid w:val="00AA61A2"/>
    <w:rsid w:val="00AB1A4D"/>
    <w:rsid w:val="00AB1C23"/>
    <w:rsid w:val="00AB2438"/>
    <w:rsid w:val="00AB312F"/>
    <w:rsid w:val="00AB3B2C"/>
    <w:rsid w:val="00AB40DE"/>
    <w:rsid w:val="00AB57B6"/>
    <w:rsid w:val="00AB5FC0"/>
    <w:rsid w:val="00AB61DE"/>
    <w:rsid w:val="00AB6A6B"/>
    <w:rsid w:val="00AC0E4F"/>
    <w:rsid w:val="00AC11A2"/>
    <w:rsid w:val="00AC1732"/>
    <w:rsid w:val="00AC3959"/>
    <w:rsid w:val="00AC4FA7"/>
    <w:rsid w:val="00AC59C7"/>
    <w:rsid w:val="00AC6340"/>
    <w:rsid w:val="00AC692A"/>
    <w:rsid w:val="00AC76E4"/>
    <w:rsid w:val="00AD17A8"/>
    <w:rsid w:val="00AD4DE6"/>
    <w:rsid w:val="00AD609A"/>
    <w:rsid w:val="00AE032D"/>
    <w:rsid w:val="00AE279A"/>
    <w:rsid w:val="00AE2CC6"/>
    <w:rsid w:val="00AE31F8"/>
    <w:rsid w:val="00AE65C7"/>
    <w:rsid w:val="00AE75FA"/>
    <w:rsid w:val="00AF0451"/>
    <w:rsid w:val="00AF2A72"/>
    <w:rsid w:val="00AF426A"/>
    <w:rsid w:val="00B007A6"/>
    <w:rsid w:val="00B029CE"/>
    <w:rsid w:val="00B0435D"/>
    <w:rsid w:val="00B07F01"/>
    <w:rsid w:val="00B1013F"/>
    <w:rsid w:val="00B106E5"/>
    <w:rsid w:val="00B13C19"/>
    <w:rsid w:val="00B1670C"/>
    <w:rsid w:val="00B16C94"/>
    <w:rsid w:val="00B21300"/>
    <w:rsid w:val="00B224CE"/>
    <w:rsid w:val="00B24313"/>
    <w:rsid w:val="00B24920"/>
    <w:rsid w:val="00B26F66"/>
    <w:rsid w:val="00B27C30"/>
    <w:rsid w:val="00B30BA7"/>
    <w:rsid w:val="00B3188F"/>
    <w:rsid w:val="00B327F4"/>
    <w:rsid w:val="00B329F2"/>
    <w:rsid w:val="00B37091"/>
    <w:rsid w:val="00B430DA"/>
    <w:rsid w:val="00B46900"/>
    <w:rsid w:val="00B5117D"/>
    <w:rsid w:val="00B53A2A"/>
    <w:rsid w:val="00B542DB"/>
    <w:rsid w:val="00B57B22"/>
    <w:rsid w:val="00B705A8"/>
    <w:rsid w:val="00B764C9"/>
    <w:rsid w:val="00B76AAF"/>
    <w:rsid w:val="00B80349"/>
    <w:rsid w:val="00B8205D"/>
    <w:rsid w:val="00B8336C"/>
    <w:rsid w:val="00B8368E"/>
    <w:rsid w:val="00B85C7A"/>
    <w:rsid w:val="00B9024C"/>
    <w:rsid w:val="00B91BED"/>
    <w:rsid w:val="00B92079"/>
    <w:rsid w:val="00B940CC"/>
    <w:rsid w:val="00B95751"/>
    <w:rsid w:val="00BA051B"/>
    <w:rsid w:val="00BA12C3"/>
    <w:rsid w:val="00BA2019"/>
    <w:rsid w:val="00BA442B"/>
    <w:rsid w:val="00BA5DEB"/>
    <w:rsid w:val="00BA6318"/>
    <w:rsid w:val="00BB17D1"/>
    <w:rsid w:val="00BB1801"/>
    <w:rsid w:val="00BB2528"/>
    <w:rsid w:val="00BB26AE"/>
    <w:rsid w:val="00BB2D40"/>
    <w:rsid w:val="00BB6914"/>
    <w:rsid w:val="00BC2767"/>
    <w:rsid w:val="00BC355C"/>
    <w:rsid w:val="00BC3855"/>
    <w:rsid w:val="00BD0012"/>
    <w:rsid w:val="00BD05C4"/>
    <w:rsid w:val="00BD0BA8"/>
    <w:rsid w:val="00BD0C51"/>
    <w:rsid w:val="00BD1136"/>
    <w:rsid w:val="00BD1909"/>
    <w:rsid w:val="00BD1A16"/>
    <w:rsid w:val="00BD23A3"/>
    <w:rsid w:val="00BD2ABD"/>
    <w:rsid w:val="00BD44FA"/>
    <w:rsid w:val="00BD7088"/>
    <w:rsid w:val="00BE01F9"/>
    <w:rsid w:val="00BE089D"/>
    <w:rsid w:val="00BE7FE7"/>
    <w:rsid w:val="00BF14CA"/>
    <w:rsid w:val="00BF3A99"/>
    <w:rsid w:val="00BF42A8"/>
    <w:rsid w:val="00BF5BA2"/>
    <w:rsid w:val="00C0275B"/>
    <w:rsid w:val="00C02D64"/>
    <w:rsid w:val="00C04D06"/>
    <w:rsid w:val="00C053C2"/>
    <w:rsid w:val="00C06291"/>
    <w:rsid w:val="00C0662B"/>
    <w:rsid w:val="00C07F3F"/>
    <w:rsid w:val="00C1089E"/>
    <w:rsid w:val="00C1117E"/>
    <w:rsid w:val="00C122CD"/>
    <w:rsid w:val="00C12489"/>
    <w:rsid w:val="00C12711"/>
    <w:rsid w:val="00C147D3"/>
    <w:rsid w:val="00C17282"/>
    <w:rsid w:val="00C24AC1"/>
    <w:rsid w:val="00C262CB"/>
    <w:rsid w:val="00C26502"/>
    <w:rsid w:val="00C26D7E"/>
    <w:rsid w:val="00C30032"/>
    <w:rsid w:val="00C323D9"/>
    <w:rsid w:val="00C3291A"/>
    <w:rsid w:val="00C33FC6"/>
    <w:rsid w:val="00C406EC"/>
    <w:rsid w:val="00C424B3"/>
    <w:rsid w:val="00C4456E"/>
    <w:rsid w:val="00C45D5B"/>
    <w:rsid w:val="00C46EAB"/>
    <w:rsid w:val="00C4750D"/>
    <w:rsid w:val="00C4797F"/>
    <w:rsid w:val="00C50EFE"/>
    <w:rsid w:val="00C50F58"/>
    <w:rsid w:val="00C517CA"/>
    <w:rsid w:val="00C51832"/>
    <w:rsid w:val="00C53E53"/>
    <w:rsid w:val="00C6175E"/>
    <w:rsid w:val="00C62EE8"/>
    <w:rsid w:val="00C62F96"/>
    <w:rsid w:val="00C73644"/>
    <w:rsid w:val="00C73BCE"/>
    <w:rsid w:val="00C775F6"/>
    <w:rsid w:val="00C80653"/>
    <w:rsid w:val="00C82B22"/>
    <w:rsid w:val="00C831EF"/>
    <w:rsid w:val="00C859AC"/>
    <w:rsid w:val="00C91049"/>
    <w:rsid w:val="00C91A9A"/>
    <w:rsid w:val="00C91DBC"/>
    <w:rsid w:val="00C92E5C"/>
    <w:rsid w:val="00C93958"/>
    <w:rsid w:val="00C966EE"/>
    <w:rsid w:val="00C97F27"/>
    <w:rsid w:val="00CA030C"/>
    <w:rsid w:val="00CA165A"/>
    <w:rsid w:val="00CA1D35"/>
    <w:rsid w:val="00CA2239"/>
    <w:rsid w:val="00CA2468"/>
    <w:rsid w:val="00CA423B"/>
    <w:rsid w:val="00CA72CC"/>
    <w:rsid w:val="00CA7389"/>
    <w:rsid w:val="00CB1589"/>
    <w:rsid w:val="00CB1B4F"/>
    <w:rsid w:val="00CB1D66"/>
    <w:rsid w:val="00CB4545"/>
    <w:rsid w:val="00CB5A12"/>
    <w:rsid w:val="00CB6D32"/>
    <w:rsid w:val="00CB7BB4"/>
    <w:rsid w:val="00CC0B26"/>
    <w:rsid w:val="00CC2091"/>
    <w:rsid w:val="00CC41D0"/>
    <w:rsid w:val="00CC4F5B"/>
    <w:rsid w:val="00CD3B76"/>
    <w:rsid w:val="00CD5B31"/>
    <w:rsid w:val="00CD730C"/>
    <w:rsid w:val="00CE3A66"/>
    <w:rsid w:val="00CE6626"/>
    <w:rsid w:val="00CF051E"/>
    <w:rsid w:val="00CF1141"/>
    <w:rsid w:val="00CF1340"/>
    <w:rsid w:val="00CF4432"/>
    <w:rsid w:val="00CF6950"/>
    <w:rsid w:val="00CF7349"/>
    <w:rsid w:val="00CF7B4E"/>
    <w:rsid w:val="00D00159"/>
    <w:rsid w:val="00D014E7"/>
    <w:rsid w:val="00D01EF0"/>
    <w:rsid w:val="00D02BFC"/>
    <w:rsid w:val="00D06679"/>
    <w:rsid w:val="00D073C0"/>
    <w:rsid w:val="00D07ACF"/>
    <w:rsid w:val="00D11CFA"/>
    <w:rsid w:val="00D11D85"/>
    <w:rsid w:val="00D167B0"/>
    <w:rsid w:val="00D21D1C"/>
    <w:rsid w:val="00D2459A"/>
    <w:rsid w:val="00D25E31"/>
    <w:rsid w:val="00D33012"/>
    <w:rsid w:val="00D40099"/>
    <w:rsid w:val="00D409EB"/>
    <w:rsid w:val="00D40D1E"/>
    <w:rsid w:val="00D45C0A"/>
    <w:rsid w:val="00D460BE"/>
    <w:rsid w:val="00D47DB9"/>
    <w:rsid w:val="00D5015F"/>
    <w:rsid w:val="00D51933"/>
    <w:rsid w:val="00D51F0C"/>
    <w:rsid w:val="00D5693A"/>
    <w:rsid w:val="00D61904"/>
    <w:rsid w:val="00D626BE"/>
    <w:rsid w:val="00D661F2"/>
    <w:rsid w:val="00D66701"/>
    <w:rsid w:val="00D66F70"/>
    <w:rsid w:val="00D67C29"/>
    <w:rsid w:val="00D67CA2"/>
    <w:rsid w:val="00D70AAD"/>
    <w:rsid w:val="00D70F28"/>
    <w:rsid w:val="00D7101B"/>
    <w:rsid w:val="00D712A3"/>
    <w:rsid w:val="00D72429"/>
    <w:rsid w:val="00D72E31"/>
    <w:rsid w:val="00D73A05"/>
    <w:rsid w:val="00D77A0B"/>
    <w:rsid w:val="00D805D7"/>
    <w:rsid w:val="00D80670"/>
    <w:rsid w:val="00D81C81"/>
    <w:rsid w:val="00D8218D"/>
    <w:rsid w:val="00D82516"/>
    <w:rsid w:val="00D82913"/>
    <w:rsid w:val="00D8300E"/>
    <w:rsid w:val="00D90410"/>
    <w:rsid w:val="00D93382"/>
    <w:rsid w:val="00D95DD6"/>
    <w:rsid w:val="00D96849"/>
    <w:rsid w:val="00DA13F0"/>
    <w:rsid w:val="00DA2A64"/>
    <w:rsid w:val="00DA3078"/>
    <w:rsid w:val="00DA3EF0"/>
    <w:rsid w:val="00DA4251"/>
    <w:rsid w:val="00DA4478"/>
    <w:rsid w:val="00DB15C1"/>
    <w:rsid w:val="00DB1DF7"/>
    <w:rsid w:val="00DB4EA8"/>
    <w:rsid w:val="00DB7828"/>
    <w:rsid w:val="00DC1222"/>
    <w:rsid w:val="00DC284E"/>
    <w:rsid w:val="00DC65B6"/>
    <w:rsid w:val="00DC6CB5"/>
    <w:rsid w:val="00DC7AC1"/>
    <w:rsid w:val="00DD4839"/>
    <w:rsid w:val="00DD4D7A"/>
    <w:rsid w:val="00DD5933"/>
    <w:rsid w:val="00DD623D"/>
    <w:rsid w:val="00DD7C41"/>
    <w:rsid w:val="00DE0181"/>
    <w:rsid w:val="00DE01E8"/>
    <w:rsid w:val="00DE3F2A"/>
    <w:rsid w:val="00DE648C"/>
    <w:rsid w:val="00DE7980"/>
    <w:rsid w:val="00DF4EEC"/>
    <w:rsid w:val="00DF50F9"/>
    <w:rsid w:val="00DF5ED7"/>
    <w:rsid w:val="00DF6018"/>
    <w:rsid w:val="00DF60EF"/>
    <w:rsid w:val="00E05011"/>
    <w:rsid w:val="00E10303"/>
    <w:rsid w:val="00E14E9C"/>
    <w:rsid w:val="00E153E6"/>
    <w:rsid w:val="00E203EC"/>
    <w:rsid w:val="00E20A56"/>
    <w:rsid w:val="00E22704"/>
    <w:rsid w:val="00E22A27"/>
    <w:rsid w:val="00E22A99"/>
    <w:rsid w:val="00E22CBA"/>
    <w:rsid w:val="00E239EE"/>
    <w:rsid w:val="00E23EA1"/>
    <w:rsid w:val="00E25285"/>
    <w:rsid w:val="00E26DAC"/>
    <w:rsid w:val="00E3438E"/>
    <w:rsid w:val="00E35F4C"/>
    <w:rsid w:val="00E3665D"/>
    <w:rsid w:val="00E37251"/>
    <w:rsid w:val="00E448FF"/>
    <w:rsid w:val="00E44F51"/>
    <w:rsid w:val="00E4663F"/>
    <w:rsid w:val="00E46687"/>
    <w:rsid w:val="00E466EC"/>
    <w:rsid w:val="00E51B67"/>
    <w:rsid w:val="00E56037"/>
    <w:rsid w:val="00E60476"/>
    <w:rsid w:val="00E61F4E"/>
    <w:rsid w:val="00E63D51"/>
    <w:rsid w:val="00E65BB0"/>
    <w:rsid w:val="00E66104"/>
    <w:rsid w:val="00E67588"/>
    <w:rsid w:val="00E7363C"/>
    <w:rsid w:val="00E76563"/>
    <w:rsid w:val="00E84779"/>
    <w:rsid w:val="00E8483A"/>
    <w:rsid w:val="00E8673D"/>
    <w:rsid w:val="00E91D5B"/>
    <w:rsid w:val="00E94012"/>
    <w:rsid w:val="00E97116"/>
    <w:rsid w:val="00E97775"/>
    <w:rsid w:val="00E977E3"/>
    <w:rsid w:val="00EA0863"/>
    <w:rsid w:val="00EA0BEF"/>
    <w:rsid w:val="00EA1BA3"/>
    <w:rsid w:val="00EA28D3"/>
    <w:rsid w:val="00EA4A66"/>
    <w:rsid w:val="00EA5310"/>
    <w:rsid w:val="00EA53C0"/>
    <w:rsid w:val="00EA53F2"/>
    <w:rsid w:val="00EA63A4"/>
    <w:rsid w:val="00EB0E5F"/>
    <w:rsid w:val="00EB3424"/>
    <w:rsid w:val="00EB5C65"/>
    <w:rsid w:val="00EB76DD"/>
    <w:rsid w:val="00EC37EF"/>
    <w:rsid w:val="00EC489F"/>
    <w:rsid w:val="00EC54F4"/>
    <w:rsid w:val="00EC59C7"/>
    <w:rsid w:val="00EC5B23"/>
    <w:rsid w:val="00EC5CAB"/>
    <w:rsid w:val="00EC6DE3"/>
    <w:rsid w:val="00EC72A9"/>
    <w:rsid w:val="00EC74D4"/>
    <w:rsid w:val="00EC7DC4"/>
    <w:rsid w:val="00ED00AF"/>
    <w:rsid w:val="00ED1BD3"/>
    <w:rsid w:val="00ED26D8"/>
    <w:rsid w:val="00ED2C15"/>
    <w:rsid w:val="00ED42FF"/>
    <w:rsid w:val="00ED43A0"/>
    <w:rsid w:val="00EE0D6A"/>
    <w:rsid w:val="00EE1B4D"/>
    <w:rsid w:val="00EE541F"/>
    <w:rsid w:val="00EF01BD"/>
    <w:rsid w:val="00EF1936"/>
    <w:rsid w:val="00EF21FE"/>
    <w:rsid w:val="00EF2869"/>
    <w:rsid w:val="00EF4F98"/>
    <w:rsid w:val="00F00D9E"/>
    <w:rsid w:val="00F01B33"/>
    <w:rsid w:val="00F0207E"/>
    <w:rsid w:val="00F04384"/>
    <w:rsid w:val="00F04CE1"/>
    <w:rsid w:val="00F04E38"/>
    <w:rsid w:val="00F055BA"/>
    <w:rsid w:val="00F0563D"/>
    <w:rsid w:val="00F11B50"/>
    <w:rsid w:val="00F17E78"/>
    <w:rsid w:val="00F2154E"/>
    <w:rsid w:val="00F22BF1"/>
    <w:rsid w:val="00F23632"/>
    <w:rsid w:val="00F24740"/>
    <w:rsid w:val="00F274DC"/>
    <w:rsid w:val="00F31FEC"/>
    <w:rsid w:val="00F32B78"/>
    <w:rsid w:val="00F4191E"/>
    <w:rsid w:val="00F438D4"/>
    <w:rsid w:val="00F43E79"/>
    <w:rsid w:val="00F447E2"/>
    <w:rsid w:val="00F4544B"/>
    <w:rsid w:val="00F45E7F"/>
    <w:rsid w:val="00F45E90"/>
    <w:rsid w:val="00F45E97"/>
    <w:rsid w:val="00F465F3"/>
    <w:rsid w:val="00F46AAF"/>
    <w:rsid w:val="00F4792D"/>
    <w:rsid w:val="00F50B18"/>
    <w:rsid w:val="00F5371F"/>
    <w:rsid w:val="00F54EF8"/>
    <w:rsid w:val="00F56B0B"/>
    <w:rsid w:val="00F60044"/>
    <w:rsid w:val="00F627AD"/>
    <w:rsid w:val="00F6698B"/>
    <w:rsid w:val="00F66B2F"/>
    <w:rsid w:val="00F67892"/>
    <w:rsid w:val="00F7037E"/>
    <w:rsid w:val="00F72DC8"/>
    <w:rsid w:val="00F744FC"/>
    <w:rsid w:val="00F773A0"/>
    <w:rsid w:val="00F8045D"/>
    <w:rsid w:val="00F84A57"/>
    <w:rsid w:val="00F8690F"/>
    <w:rsid w:val="00F8740A"/>
    <w:rsid w:val="00F907A1"/>
    <w:rsid w:val="00F9401F"/>
    <w:rsid w:val="00FA43A8"/>
    <w:rsid w:val="00FA490C"/>
    <w:rsid w:val="00FB28A2"/>
    <w:rsid w:val="00FB4942"/>
    <w:rsid w:val="00FB4DC6"/>
    <w:rsid w:val="00FB69F9"/>
    <w:rsid w:val="00FC040C"/>
    <w:rsid w:val="00FC0AF7"/>
    <w:rsid w:val="00FC532F"/>
    <w:rsid w:val="00FC6CAD"/>
    <w:rsid w:val="00FC6FEF"/>
    <w:rsid w:val="00FD2013"/>
    <w:rsid w:val="00FD568B"/>
    <w:rsid w:val="00FE021B"/>
    <w:rsid w:val="00FE1DAC"/>
    <w:rsid w:val="00FE4061"/>
    <w:rsid w:val="00FE4C7E"/>
    <w:rsid w:val="00FE6425"/>
    <w:rsid w:val="00FE728E"/>
    <w:rsid w:val="00FE7C20"/>
    <w:rsid w:val="00FF2A9C"/>
    <w:rsid w:val="00FF3A83"/>
    <w:rsid w:val="00FF5033"/>
    <w:rsid w:val="00FF5F20"/>
    <w:rsid w:val="1C2E6D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qFormat="1" w:unhideWhenUsed="0" w:uiPriority="0" w:semiHidden="0" w:name="List 2"/>
    <w:lsdException w:qFormat="1" w:unhideWhenUsed="0" w:uiPriority="0" w:semiHidden="0"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7"/>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38"/>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39"/>
    <w:qFormat/>
    <w:uiPriority w:val="0"/>
    <w:pPr>
      <w:keepNext/>
      <w:keepLines/>
      <w:spacing w:before="260" w:after="260" w:line="416" w:lineRule="auto"/>
      <w:outlineLvl w:val="2"/>
    </w:pPr>
    <w:rPr>
      <w:b/>
      <w:bCs/>
      <w:sz w:val="32"/>
      <w:szCs w:val="32"/>
    </w:rPr>
  </w:style>
  <w:style w:type="paragraph" w:styleId="5">
    <w:name w:val="heading 4"/>
    <w:basedOn w:val="1"/>
    <w:next w:val="1"/>
    <w:link w:val="40"/>
    <w:qFormat/>
    <w:uiPriority w:val="0"/>
    <w:pPr>
      <w:keepNext/>
      <w:keepLines/>
      <w:spacing w:before="280" w:after="290" w:line="376" w:lineRule="auto"/>
      <w:outlineLvl w:val="3"/>
    </w:pPr>
    <w:rPr>
      <w:rFonts w:ascii="Arial" w:hAnsi="Arial" w:eastAsia="黑体"/>
      <w:b/>
      <w:bCs/>
      <w:sz w:val="28"/>
      <w:szCs w:val="28"/>
    </w:rPr>
  </w:style>
  <w:style w:type="paragraph" w:styleId="6">
    <w:name w:val="heading 5"/>
    <w:basedOn w:val="1"/>
    <w:next w:val="1"/>
    <w:link w:val="41"/>
    <w:qFormat/>
    <w:uiPriority w:val="0"/>
    <w:pPr>
      <w:keepNext/>
      <w:keepLines/>
      <w:spacing w:before="280" w:after="290" w:line="376" w:lineRule="auto"/>
      <w:outlineLvl w:val="4"/>
    </w:pPr>
    <w:rPr>
      <w:b/>
      <w:bCs/>
      <w:sz w:val="28"/>
      <w:szCs w:val="28"/>
    </w:rPr>
  </w:style>
  <w:style w:type="paragraph" w:styleId="7">
    <w:name w:val="heading 6"/>
    <w:basedOn w:val="1"/>
    <w:next w:val="1"/>
    <w:link w:val="42"/>
    <w:qFormat/>
    <w:uiPriority w:val="0"/>
    <w:pPr>
      <w:keepNext/>
      <w:keepLines/>
      <w:spacing w:before="240" w:after="64" w:line="320" w:lineRule="auto"/>
      <w:outlineLvl w:val="5"/>
    </w:pPr>
    <w:rPr>
      <w:rFonts w:ascii="Arial" w:hAnsi="Arial" w:eastAsia="黑体"/>
      <w:b/>
      <w:bCs/>
      <w:sz w:val="24"/>
    </w:rPr>
  </w:style>
  <w:style w:type="paragraph" w:styleId="8">
    <w:name w:val="heading 7"/>
    <w:basedOn w:val="1"/>
    <w:next w:val="1"/>
    <w:link w:val="43"/>
    <w:qFormat/>
    <w:uiPriority w:val="0"/>
    <w:pPr>
      <w:keepNext/>
      <w:keepLines/>
      <w:spacing w:before="240" w:after="64" w:line="320" w:lineRule="auto"/>
      <w:outlineLvl w:val="6"/>
    </w:pPr>
    <w:rPr>
      <w:b/>
      <w:bCs/>
      <w:sz w:val="24"/>
    </w:rPr>
  </w:style>
  <w:style w:type="paragraph" w:styleId="9">
    <w:name w:val="heading 8"/>
    <w:basedOn w:val="1"/>
    <w:next w:val="1"/>
    <w:link w:val="44"/>
    <w:qFormat/>
    <w:uiPriority w:val="0"/>
    <w:pPr>
      <w:keepNext/>
      <w:keepLines/>
      <w:spacing w:before="240" w:after="64" w:line="320" w:lineRule="auto"/>
      <w:outlineLvl w:val="7"/>
    </w:pPr>
    <w:rPr>
      <w:rFonts w:ascii="Arial" w:hAnsi="Arial" w:eastAsia="黑体"/>
      <w:sz w:val="24"/>
    </w:rPr>
  </w:style>
  <w:style w:type="paragraph" w:styleId="10">
    <w:name w:val="heading 9"/>
    <w:basedOn w:val="1"/>
    <w:next w:val="1"/>
    <w:link w:val="45"/>
    <w:qFormat/>
    <w:uiPriority w:val="0"/>
    <w:pPr>
      <w:keepNext/>
      <w:keepLines/>
      <w:spacing w:before="240" w:after="64" w:line="320" w:lineRule="auto"/>
      <w:outlineLvl w:val="8"/>
    </w:pPr>
    <w:rPr>
      <w:rFonts w:ascii="Arial" w:hAnsi="Arial" w:eastAsia="黑体"/>
      <w:szCs w:val="21"/>
    </w:rPr>
  </w:style>
  <w:style w:type="character" w:default="1" w:styleId="26">
    <w:name w:val="Default Paragraph Font"/>
    <w:semiHidden/>
    <w:unhideWhenUsed/>
    <w:qFormat/>
    <w:uiPriority w:val="1"/>
  </w:style>
  <w:style w:type="table" w:default="1" w:styleId="24">
    <w:name w:val="Normal Table"/>
    <w:semiHidden/>
    <w:unhideWhenUsed/>
    <w:uiPriority w:val="99"/>
    <w:tblPr>
      <w:tblCellMar>
        <w:top w:w="0" w:type="dxa"/>
        <w:left w:w="108" w:type="dxa"/>
        <w:bottom w:w="0" w:type="dxa"/>
        <w:right w:w="108" w:type="dxa"/>
      </w:tblCellMar>
    </w:tblPr>
  </w:style>
  <w:style w:type="paragraph" w:styleId="11">
    <w:name w:val="List 3"/>
    <w:basedOn w:val="1"/>
    <w:qFormat/>
    <w:uiPriority w:val="0"/>
    <w:pPr>
      <w:ind w:left="100" w:leftChars="400" w:hanging="200" w:hangingChars="200"/>
    </w:pPr>
  </w:style>
  <w:style w:type="paragraph" w:styleId="12">
    <w:name w:val="annotation text"/>
    <w:basedOn w:val="1"/>
    <w:link w:val="34"/>
    <w:qFormat/>
    <w:uiPriority w:val="0"/>
    <w:pPr>
      <w:jc w:val="left"/>
    </w:pPr>
  </w:style>
  <w:style w:type="paragraph" w:styleId="13">
    <w:name w:val="Body Text"/>
    <w:basedOn w:val="1"/>
    <w:link w:val="47"/>
    <w:qFormat/>
    <w:uiPriority w:val="0"/>
    <w:pPr>
      <w:spacing w:after="120"/>
    </w:pPr>
  </w:style>
  <w:style w:type="paragraph" w:styleId="14">
    <w:name w:val="List 2"/>
    <w:basedOn w:val="1"/>
    <w:qFormat/>
    <w:uiPriority w:val="0"/>
    <w:pPr>
      <w:ind w:left="100" w:leftChars="200" w:hanging="200" w:hangingChars="200"/>
    </w:pPr>
  </w:style>
  <w:style w:type="paragraph" w:styleId="15">
    <w:name w:val="Plain Text"/>
    <w:basedOn w:val="1"/>
    <w:link w:val="36"/>
    <w:qFormat/>
    <w:uiPriority w:val="0"/>
    <w:rPr>
      <w:rFonts w:ascii="宋体" w:hAnsi="Courier New"/>
      <w:szCs w:val="20"/>
    </w:rPr>
  </w:style>
  <w:style w:type="paragraph" w:styleId="16">
    <w:name w:val="Date"/>
    <w:basedOn w:val="1"/>
    <w:next w:val="1"/>
    <w:link w:val="46"/>
    <w:qFormat/>
    <w:uiPriority w:val="0"/>
    <w:pPr>
      <w:ind w:left="100" w:leftChars="2500"/>
    </w:pPr>
    <w:rPr>
      <w:b/>
      <w:bCs/>
      <w:sz w:val="24"/>
    </w:rPr>
  </w:style>
  <w:style w:type="paragraph" w:styleId="17">
    <w:name w:val="Balloon Text"/>
    <w:basedOn w:val="1"/>
    <w:link w:val="35"/>
    <w:semiHidden/>
    <w:unhideWhenUsed/>
    <w:qFormat/>
    <w:uiPriority w:val="99"/>
    <w:rPr>
      <w:sz w:val="18"/>
      <w:szCs w:val="18"/>
    </w:rPr>
  </w:style>
  <w:style w:type="paragraph" w:styleId="18">
    <w:name w:val="footer"/>
    <w:basedOn w:val="1"/>
    <w:link w:val="32"/>
    <w:unhideWhenUsed/>
    <w:qFormat/>
    <w:uiPriority w:val="0"/>
    <w:pPr>
      <w:tabs>
        <w:tab w:val="center" w:pos="4153"/>
        <w:tab w:val="right" w:pos="8306"/>
      </w:tabs>
      <w:snapToGrid w:val="0"/>
      <w:jc w:val="left"/>
    </w:pPr>
    <w:rPr>
      <w:rFonts w:asciiTheme="minorHAnsi" w:hAnsiTheme="minorHAnsi" w:eastAsiaTheme="minorEastAsia" w:cstheme="minorBidi"/>
      <w:sz w:val="18"/>
      <w:szCs w:val="18"/>
    </w:rPr>
  </w:style>
  <w:style w:type="paragraph" w:styleId="19">
    <w:name w:val="header"/>
    <w:basedOn w:val="1"/>
    <w:link w:val="31"/>
    <w:unhideWhenUsed/>
    <w:uiPriority w:val="0"/>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20">
    <w:name w:val="toc 1"/>
    <w:basedOn w:val="1"/>
    <w:next w:val="1"/>
    <w:autoRedefine/>
    <w:semiHidden/>
    <w:qFormat/>
    <w:uiPriority w:val="0"/>
  </w:style>
  <w:style w:type="paragraph" w:styleId="21">
    <w:name w:val="List"/>
    <w:basedOn w:val="1"/>
    <w:qFormat/>
    <w:uiPriority w:val="0"/>
    <w:pPr>
      <w:ind w:left="200" w:hanging="200" w:hangingChars="200"/>
    </w:pPr>
  </w:style>
  <w:style w:type="paragraph" w:styleId="22">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23">
    <w:name w:val="annotation subject"/>
    <w:basedOn w:val="12"/>
    <w:next w:val="12"/>
    <w:link w:val="52"/>
    <w:semiHidden/>
    <w:unhideWhenUsed/>
    <w:qFormat/>
    <w:uiPriority w:val="99"/>
    <w:rPr>
      <w:b/>
      <w:bCs/>
    </w:rPr>
  </w:style>
  <w:style w:type="table" w:styleId="25">
    <w:name w:val="Table Grid"/>
    <w:basedOn w:val="24"/>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27">
    <w:name w:val="Strong"/>
    <w:basedOn w:val="26"/>
    <w:qFormat/>
    <w:uiPriority w:val="22"/>
    <w:rPr>
      <w:b/>
      <w:bCs/>
    </w:rPr>
  </w:style>
  <w:style w:type="character" w:styleId="28">
    <w:name w:val="page number"/>
    <w:basedOn w:val="26"/>
    <w:qFormat/>
    <w:uiPriority w:val="99"/>
  </w:style>
  <w:style w:type="character" w:styleId="29">
    <w:name w:val="Hyperlink"/>
    <w:basedOn w:val="26"/>
    <w:qFormat/>
    <w:uiPriority w:val="0"/>
    <w:rPr>
      <w:color w:val="0000FF"/>
      <w:u w:val="single"/>
    </w:rPr>
  </w:style>
  <w:style w:type="character" w:styleId="30">
    <w:name w:val="annotation reference"/>
    <w:basedOn w:val="26"/>
    <w:qFormat/>
    <w:uiPriority w:val="0"/>
    <w:rPr>
      <w:sz w:val="21"/>
      <w:szCs w:val="21"/>
    </w:rPr>
  </w:style>
  <w:style w:type="character" w:customStyle="1" w:styleId="31">
    <w:name w:val="页眉 字符"/>
    <w:basedOn w:val="26"/>
    <w:link w:val="19"/>
    <w:semiHidden/>
    <w:qFormat/>
    <w:uiPriority w:val="99"/>
    <w:rPr>
      <w:sz w:val="18"/>
      <w:szCs w:val="18"/>
    </w:rPr>
  </w:style>
  <w:style w:type="character" w:customStyle="1" w:styleId="32">
    <w:name w:val="页脚 字符"/>
    <w:basedOn w:val="26"/>
    <w:link w:val="18"/>
    <w:qFormat/>
    <w:uiPriority w:val="0"/>
    <w:rPr>
      <w:sz w:val="18"/>
      <w:szCs w:val="18"/>
    </w:rPr>
  </w:style>
  <w:style w:type="paragraph" w:styleId="33">
    <w:name w:val="List Paragraph"/>
    <w:basedOn w:val="1"/>
    <w:qFormat/>
    <w:uiPriority w:val="34"/>
    <w:pPr>
      <w:ind w:firstLine="420" w:firstLineChars="200"/>
    </w:pPr>
  </w:style>
  <w:style w:type="character" w:customStyle="1" w:styleId="34">
    <w:name w:val="批注文字 字符"/>
    <w:basedOn w:val="26"/>
    <w:link w:val="12"/>
    <w:qFormat/>
    <w:uiPriority w:val="0"/>
    <w:rPr>
      <w:rFonts w:ascii="Times New Roman" w:hAnsi="Times New Roman" w:eastAsia="宋体" w:cs="Times New Roman"/>
      <w:szCs w:val="24"/>
    </w:rPr>
  </w:style>
  <w:style w:type="character" w:customStyle="1" w:styleId="35">
    <w:name w:val="批注框文本 字符"/>
    <w:basedOn w:val="26"/>
    <w:link w:val="17"/>
    <w:semiHidden/>
    <w:qFormat/>
    <w:uiPriority w:val="99"/>
    <w:rPr>
      <w:rFonts w:ascii="Times New Roman" w:hAnsi="Times New Roman" w:eastAsia="宋体" w:cs="Times New Roman"/>
      <w:sz w:val="18"/>
      <w:szCs w:val="18"/>
    </w:rPr>
  </w:style>
  <w:style w:type="character" w:customStyle="1" w:styleId="36">
    <w:name w:val="纯文本 字符"/>
    <w:basedOn w:val="26"/>
    <w:link w:val="15"/>
    <w:qFormat/>
    <w:uiPriority w:val="0"/>
    <w:rPr>
      <w:rFonts w:ascii="宋体" w:hAnsi="Courier New" w:eastAsia="宋体" w:cs="Times New Roman"/>
      <w:szCs w:val="20"/>
    </w:rPr>
  </w:style>
  <w:style w:type="character" w:customStyle="1" w:styleId="37">
    <w:name w:val="标题 1 字符"/>
    <w:basedOn w:val="26"/>
    <w:link w:val="2"/>
    <w:qFormat/>
    <w:uiPriority w:val="0"/>
    <w:rPr>
      <w:rFonts w:ascii="Times New Roman" w:hAnsi="Times New Roman" w:eastAsia="宋体" w:cs="Times New Roman"/>
      <w:b/>
      <w:bCs/>
      <w:kern w:val="44"/>
      <w:sz w:val="44"/>
      <w:szCs w:val="44"/>
    </w:rPr>
  </w:style>
  <w:style w:type="character" w:customStyle="1" w:styleId="38">
    <w:name w:val="标题 2 字符"/>
    <w:basedOn w:val="26"/>
    <w:link w:val="3"/>
    <w:qFormat/>
    <w:uiPriority w:val="0"/>
    <w:rPr>
      <w:rFonts w:ascii="Arial" w:hAnsi="Arial" w:eastAsia="黑体" w:cs="Times New Roman"/>
      <w:b/>
      <w:bCs/>
      <w:sz w:val="32"/>
      <w:szCs w:val="32"/>
    </w:rPr>
  </w:style>
  <w:style w:type="character" w:customStyle="1" w:styleId="39">
    <w:name w:val="标题 3 字符"/>
    <w:basedOn w:val="26"/>
    <w:link w:val="4"/>
    <w:qFormat/>
    <w:uiPriority w:val="0"/>
    <w:rPr>
      <w:rFonts w:ascii="Times New Roman" w:hAnsi="Times New Roman" w:eastAsia="宋体" w:cs="Times New Roman"/>
      <w:b/>
      <w:bCs/>
      <w:sz w:val="32"/>
      <w:szCs w:val="32"/>
    </w:rPr>
  </w:style>
  <w:style w:type="character" w:customStyle="1" w:styleId="40">
    <w:name w:val="标题 4 字符"/>
    <w:basedOn w:val="26"/>
    <w:link w:val="5"/>
    <w:qFormat/>
    <w:uiPriority w:val="0"/>
    <w:rPr>
      <w:rFonts w:ascii="Arial" w:hAnsi="Arial" w:eastAsia="黑体" w:cs="Times New Roman"/>
      <w:b/>
      <w:bCs/>
      <w:sz w:val="28"/>
      <w:szCs w:val="28"/>
    </w:rPr>
  </w:style>
  <w:style w:type="character" w:customStyle="1" w:styleId="41">
    <w:name w:val="标题 5 字符"/>
    <w:basedOn w:val="26"/>
    <w:link w:val="6"/>
    <w:qFormat/>
    <w:uiPriority w:val="0"/>
    <w:rPr>
      <w:rFonts w:ascii="Times New Roman" w:hAnsi="Times New Roman" w:eastAsia="宋体" w:cs="Times New Roman"/>
      <w:b/>
      <w:bCs/>
      <w:sz w:val="28"/>
      <w:szCs w:val="28"/>
    </w:rPr>
  </w:style>
  <w:style w:type="character" w:customStyle="1" w:styleId="42">
    <w:name w:val="标题 6 字符"/>
    <w:basedOn w:val="26"/>
    <w:link w:val="7"/>
    <w:qFormat/>
    <w:uiPriority w:val="0"/>
    <w:rPr>
      <w:rFonts w:ascii="Arial" w:hAnsi="Arial" w:eastAsia="黑体" w:cs="Times New Roman"/>
      <w:b/>
      <w:bCs/>
      <w:sz w:val="24"/>
      <w:szCs w:val="24"/>
    </w:rPr>
  </w:style>
  <w:style w:type="character" w:customStyle="1" w:styleId="43">
    <w:name w:val="标题 7 字符"/>
    <w:basedOn w:val="26"/>
    <w:link w:val="8"/>
    <w:qFormat/>
    <w:uiPriority w:val="0"/>
    <w:rPr>
      <w:rFonts w:ascii="Times New Roman" w:hAnsi="Times New Roman" w:eastAsia="宋体" w:cs="Times New Roman"/>
      <w:b/>
      <w:bCs/>
      <w:sz w:val="24"/>
      <w:szCs w:val="24"/>
    </w:rPr>
  </w:style>
  <w:style w:type="character" w:customStyle="1" w:styleId="44">
    <w:name w:val="标题 8 字符"/>
    <w:basedOn w:val="26"/>
    <w:link w:val="9"/>
    <w:qFormat/>
    <w:uiPriority w:val="0"/>
    <w:rPr>
      <w:rFonts w:ascii="Arial" w:hAnsi="Arial" w:eastAsia="黑体" w:cs="Times New Roman"/>
      <w:sz w:val="24"/>
      <w:szCs w:val="24"/>
    </w:rPr>
  </w:style>
  <w:style w:type="character" w:customStyle="1" w:styleId="45">
    <w:name w:val="标题 9 字符"/>
    <w:basedOn w:val="26"/>
    <w:link w:val="10"/>
    <w:qFormat/>
    <w:uiPriority w:val="0"/>
    <w:rPr>
      <w:rFonts w:ascii="Arial" w:hAnsi="Arial" w:eastAsia="黑体" w:cs="Times New Roman"/>
      <w:szCs w:val="21"/>
    </w:rPr>
  </w:style>
  <w:style w:type="character" w:customStyle="1" w:styleId="46">
    <w:name w:val="日期 字符"/>
    <w:basedOn w:val="26"/>
    <w:link w:val="16"/>
    <w:qFormat/>
    <w:uiPriority w:val="0"/>
    <w:rPr>
      <w:rFonts w:ascii="Times New Roman" w:hAnsi="Times New Roman" w:eastAsia="宋体" w:cs="Times New Roman"/>
      <w:b/>
      <w:bCs/>
      <w:sz w:val="24"/>
      <w:szCs w:val="24"/>
    </w:rPr>
  </w:style>
  <w:style w:type="character" w:customStyle="1" w:styleId="47">
    <w:name w:val="正文文本 字符"/>
    <w:basedOn w:val="26"/>
    <w:link w:val="13"/>
    <w:qFormat/>
    <w:uiPriority w:val="0"/>
    <w:rPr>
      <w:rFonts w:ascii="Times New Roman" w:hAnsi="Times New Roman" w:eastAsia="宋体" w:cs="Times New Roman"/>
      <w:szCs w:val="24"/>
    </w:rPr>
  </w:style>
  <w:style w:type="character" w:customStyle="1" w:styleId="48">
    <w:name w:val="wbtr_snp1"/>
    <w:basedOn w:val="26"/>
    <w:qFormat/>
    <w:uiPriority w:val="0"/>
    <w:rPr>
      <w:rFonts w:hint="default" w:ascii="Arial" w:hAnsi="Arial" w:cs="Arial"/>
      <w:color w:val="676767"/>
      <w:sz w:val="22"/>
      <w:szCs w:val="22"/>
    </w:rPr>
  </w:style>
  <w:style w:type="character" w:customStyle="1" w:styleId="49">
    <w:name w:val="mn"/>
    <w:basedOn w:val="26"/>
    <w:qFormat/>
    <w:uiPriority w:val="0"/>
    <w:rPr>
      <w:rFonts w:hint="default" w:ascii="Arial" w:hAnsi="Arial" w:cs="Arial"/>
    </w:rPr>
  </w:style>
  <w:style w:type="paragraph" w:customStyle="1" w:styleId="50">
    <w:name w:val="样式1"/>
    <w:basedOn w:val="20"/>
    <w:qFormat/>
    <w:uiPriority w:val="0"/>
    <w:pPr>
      <w:outlineLvl w:val="0"/>
    </w:pPr>
    <w:rPr>
      <w:b/>
      <w:bCs/>
      <w:kern w:val="0"/>
      <w:sz w:val="28"/>
      <w:szCs w:val="28"/>
    </w:rPr>
  </w:style>
  <w:style w:type="paragraph" w:customStyle="1" w:styleId="51">
    <w:name w:val="默认段落字体 Para Char Char Char1 Char"/>
    <w:basedOn w:val="1"/>
    <w:qFormat/>
    <w:uiPriority w:val="0"/>
    <w:rPr>
      <w:szCs w:val="21"/>
    </w:rPr>
  </w:style>
  <w:style w:type="character" w:customStyle="1" w:styleId="52">
    <w:name w:val="批注主题 字符"/>
    <w:basedOn w:val="34"/>
    <w:link w:val="23"/>
    <w:semiHidden/>
    <w:qFormat/>
    <w:uiPriority w:val="99"/>
    <w:rPr>
      <w:rFonts w:ascii="Times New Roman" w:hAnsi="Times New Roman" w:eastAsia="宋体" w:cs="Times New Roman"/>
      <w:b/>
      <w:bCs/>
      <w:szCs w:val="24"/>
    </w:rPr>
  </w:style>
  <w:style w:type="paragraph" w:styleId="53">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customStyle="1" w:styleId="54">
    <w:name w:val="页脚 字符3"/>
    <w:qFormat/>
    <w:uiPriority w:val="0"/>
    <w:rPr>
      <w:rFonts w:ascii="Times New Roman" w:hAnsi="Times New Roman" w:eastAsia="宋体" w:cs="Times New Roman"/>
      <w:sz w:val="18"/>
      <w:szCs w:val="18"/>
    </w:rPr>
  </w:style>
  <w:style w:type="paragraph" w:customStyle="1" w:styleId="55">
    <w:name w:val="Revision"/>
    <w:hidden/>
    <w:semiHidden/>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chart" Target="charts/chart6.xml"/><Relationship Id="rId16" Type="http://schemas.openxmlformats.org/officeDocument/2006/relationships/chart" Target="charts/chart5.xml"/><Relationship Id="rId15" Type="http://schemas.openxmlformats.org/officeDocument/2006/relationships/chart" Target="charts/chart4.xml"/><Relationship Id="rId14" Type="http://schemas.openxmlformats.org/officeDocument/2006/relationships/chart" Target="charts/chart3.xml"/><Relationship Id="rId13" Type="http://schemas.openxmlformats.org/officeDocument/2006/relationships/chart" Target="charts/chart2.xml"/><Relationship Id="rId12" Type="http://schemas.openxmlformats.org/officeDocument/2006/relationships/chart" Target="charts/chart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D:\backup\moyuanjiang\&#26700;&#38754;\2024&#21464;&#26356;&#25968;&#25454;&#32479;&#35745;&#21450;&#23545;&#27604;&#22270;%20(version%201).xlsb"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D:\backup\moyuanjiang\&#26700;&#38754;\2024&#21464;&#26356;&#25968;&#25454;&#32479;&#35745;&#21450;&#23545;&#27604;&#22270;%20(version%201).xlsb"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D:\backup\moyuanjiang\&#26700;&#38754;\2024&#21464;&#26356;&#25968;&#25454;&#32479;&#35745;&#21450;&#23545;&#27604;&#22270;%20(version%201).xlsb"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D:\backup\moyuanjiang\&#26700;&#38754;\2025&#21464;&#26356;&#25968;&#25454;&#32479;&#35745;&#21450;&#23545;&#27604;&#22270;%20(version%201).xlsb"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package" Target="../embeddings/Workbook2.xlsx"/></Relationships>
</file>

<file path=word/charts/_rels/chart6.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t>年度变更数量对比图</a:t>
            </a:r>
            <a:endParaRPr lang="zh-CN"/>
          </a:p>
        </c:rich>
      </c:tx>
      <c:layout/>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p>
            </c:txPr>
            <c:dLblPos val="in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'2025'!$D$131:$E$131</c:f>
              <c:strCache>
                <c:ptCount val="2"/>
                <c:pt idx="0">
                  <c:v>2024年变更数量</c:v>
                </c:pt>
                <c:pt idx="1">
                  <c:v>2025年变更数量</c:v>
                </c:pt>
              </c:strCache>
            </c:strRef>
          </c:cat>
          <c:val>
            <c:numRef>
              <c:f>'2025'!$D$132:$E$132</c:f>
              <c:numCache>
                <c:formatCode>General</c:formatCode>
                <c:ptCount val="2"/>
                <c:pt idx="0">
                  <c:v>541</c:v>
                </c:pt>
                <c:pt idx="1">
                  <c:v>720</c:v>
                </c:pt>
              </c:numCache>
            </c:numRef>
          </c:val>
        </c:ser>
        <c:dLbls>
          <c:showLegendKey val="0"/>
          <c:showVal val="1"/>
          <c:showCatName val="0"/>
          <c:showSerName val="0"/>
          <c:showPercent val="0"/>
          <c:showBubbleSize val="0"/>
        </c:dLbls>
        <c:gapWidth val="219"/>
        <c:overlap val="-27"/>
        <c:axId val="480541423"/>
        <c:axId val="480544335"/>
      </c:barChart>
      <c:catAx>
        <c:axId val="480541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0544335"/>
        <c:crosses val="autoZero"/>
        <c:auto val="1"/>
        <c:lblAlgn val="ctr"/>
        <c:lblOffset val="100"/>
        <c:noMultiLvlLbl val="0"/>
      </c:catAx>
      <c:valAx>
        <c:axId val="48054433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0541423"/>
        <c:crosses val="autoZero"/>
        <c:crossBetween val="between"/>
      </c:valAx>
      <c:spPr>
        <a:noFill/>
        <a:ln>
          <a:noFill/>
        </a:ln>
        <a:effectLst/>
      </c:spPr>
    </c:plotArea>
    <c:plotVisOnly val="1"/>
    <c:dispBlanksAs val="gap"/>
    <c:showDLblsOverMax val="0"/>
    <c:extLst>
      <c:ext uri="{0b15fc19-7d7d-44ad-8c2d-2c3a37ce22c3}">
        <chartProps xmlns="https://web.wps.cn/et/2018/main" chartId="{8d23bc7b-d012-418f-9959-22aae4a12581}"/>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主要变更部门占比图</a:t>
            </a:r>
            <a:endParaRPr lang="zh-CN" altLang="en-US"/>
          </a:p>
        </c:rich>
      </c:tx>
      <c:layout/>
      <c:overlay val="0"/>
      <c:spPr>
        <a:noFill/>
        <a:ln>
          <a:noFill/>
        </a:ln>
        <a:effectLst/>
      </c:spPr>
    </c:title>
    <c:autoTitleDeleted val="0"/>
    <c:view3D>
      <c:rotX val="30"/>
      <c:rotY val="0"/>
      <c:depthPercent val="100"/>
      <c:rAngAx val="0"/>
    </c:view3D>
    <c:floor>
      <c:thickness val="0"/>
      <c:spPr>
        <a:noFill/>
        <a:ln>
          <a:noFill/>
        </a:ln>
        <a:effectLst/>
      </c:spPr>
    </c:floor>
    <c:sideWall>
      <c:thickness val="0"/>
      <c:spPr>
        <a:noFill/>
        <a:ln>
          <a:noFill/>
        </a:ln>
        <a:effectLst/>
      </c:spPr>
    </c:sideWall>
    <c:backWall>
      <c:thickness val="0"/>
      <c:spPr>
        <a:noFill/>
        <a:ln>
          <a:noFill/>
        </a:ln>
        <a:effectLst/>
      </c:spPr>
    </c:backWall>
    <c:plotArea>
      <c:layout>
        <c:manualLayout>
          <c:layoutTarget val="inner"/>
          <c:xMode val="edge"/>
          <c:yMode val="edge"/>
          <c:x val="0.0902777777777778"/>
          <c:y val="0.300761919323191"/>
          <c:w val="0.813888888888889"/>
          <c:h val="0.674484961224507"/>
        </c:manualLayout>
      </c:layout>
      <c:pie3DChart>
        <c:varyColors val="1"/>
        <c:ser>
          <c:idx val="0"/>
          <c:order val="0"/>
          <c:spPr/>
          <c:explosion val="0"/>
          <c:dPt>
            <c:idx val="0"/>
            <c:bubble3D val="0"/>
            <c:spPr>
              <a:solidFill>
                <a:schemeClr val="accent1"/>
              </a:solidFill>
              <a:ln w="25400">
                <a:solidFill>
                  <a:schemeClr val="lt1"/>
                </a:solidFill>
              </a:ln>
              <a:effectLst/>
              <a:scene3d>
                <a:camera prst="orthographicFront"/>
                <a:lightRig rig="threePt" dir="t"/>
              </a:scene3d>
              <a:sp3d contourW="25400">
                <a:contourClr>
                  <a:schemeClr val="lt1"/>
                </a:contourClr>
              </a:sp3d>
            </c:spPr>
          </c:dPt>
          <c:dPt>
            <c:idx val="1"/>
            <c:bubble3D val="0"/>
            <c:spPr>
              <a:solidFill>
                <a:schemeClr val="accent2"/>
              </a:solidFill>
              <a:ln w="25400">
                <a:solidFill>
                  <a:schemeClr val="lt1"/>
                </a:solidFill>
              </a:ln>
              <a:effectLst/>
              <a:scene3d>
                <a:camera prst="orthographicFront"/>
                <a:lightRig rig="threePt" dir="t"/>
              </a:scene3d>
              <a:sp3d contourW="25400">
                <a:contourClr>
                  <a:schemeClr val="lt1"/>
                </a:contourClr>
              </a:sp3d>
            </c:spPr>
          </c:dPt>
          <c:dPt>
            <c:idx val="2"/>
            <c:bubble3D val="0"/>
            <c:spPr>
              <a:solidFill>
                <a:schemeClr val="accent3"/>
              </a:solidFill>
              <a:ln w="25400">
                <a:solidFill>
                  <a:schemeClr val="lt1"/>
                </a:solidFill>
              </a:ln>
              <a:effectLst/>
              <a:scene3d>
                <a:camera prst="orthographicFront"/>
                <a:lightRig rig="threePt" dir="t"/>
              </a:scene3d>
              <a:sp3d contourW="25400">
                <a:contourClr>
                  <a:schemeClr val="lt1"/>
                </a:contourClr>
              </a:sp3d>
            </c:spPr>
          </c:dPt>
          <c:dPt>
            <c:idx val="3"/>
            <c:bubble3D val="0"/>
            <c:spPr>
              <a:solidFill>
                <a:schemeClr val="accent4"/>
              </a:solidFill>
              <a:ln w="25400">
                <a:solidFill>
                  <a:schemeClr val="lt1"/>
                </a:solidFill>
              </a:ln>
              <a:effectLst/>
              <a:scene3d>
                <a:camera prst="orthographicFront"/>
                <a:lightRig rig="threePt" dir="t"/>
              </a:scene3d>
              <a:sp3d contourW="25400">
                <a:contourClr>
                  <a:schemeClr val="lt1"/>
                </a:contourClr>
              </a:sp3d>
            </c:spPr>
          </c:dPt>
          <c:dPt>
            <c:idx val="4"/>
            <c:bubble3D val="0"/>
            <c:spPr>
              <a:solidFill>
                <a:schemeClr val="accent5"/>
              </a:solidFill>
              <a:ln w="25400">
                <a:solidFill>
                  <a:schemeClr val="lt1"/>
                </a:solidFill>
              </a:ln>
              <a:effectLst/>
              <a:scene3d>
                <a:camera prst="orthographicFront"/>
                <a:lightRig rig="threePt" dir="t"/>
              </a:scene3d>
              <a:sp3d contourW="25400">
                <a:contourClr>
                  <a:schemeClr val="lt1"/>
                </a:contourClr>
              </a:sp3d>
            </c:spPr>
          </c:dPt>
          <c:dPt>
            <c:idx val="5"/>
            <c:bubble3D val="0"/>
            <c:spPr>
              <a:solidFill>
                <a:schemeClr val="accent6"/>
              </a:solidFill>
              <a:ln w="25400">
                <a:solidFill>
                  <a:schemeClr val="lt1"/>
                </a:solidFill>
              </a:ln>
              <a:effectLst/>
              <a:scene3d>
                <a:camera prst="orthographicFront"/>
                <a:lightRig rig="threePt" dir="t"/>
              </a:scene3d>
              <a:sp3d contourW="25400">
                <a:contourClr>
                  <a:schemeClr val="lt1"/>
                </a:contourClr>
              </a:sp3d>
            </c:spPr>
          </c:dPt>
          <c:dPt>
            <c:idx val="6"/>
            <c:bubble3D val="0"/>
            <c:spPr>
              <a:solidFill>
                <a:schemeClr val="accent1">
                  <a:lumMod val="60000"/>
                </a:schemeClr>
              </a:solidFill>
              <a:ln w="25400">
                <a:solidFill>
                  <a:schemeClr val="lt1"/>
                </a:solidFill>
              </a:ln>
              <a:effectLst/>
              <a:scene3d>
                <a:camera prst="orthographicFront"/>
                <a:lightRig rig="threePt" dir="t"/>
              </a:scene3d>
              <a:sp3d contourW="25400">
                <a:contourClr>
                  <a:schemeClr val="lt1"/>
                </a:contourClr>
              </a:sp3d>
            </c:spPr>
          </c:dPt>
          <c:dPt>
            <c:idx val="7"/>
            <c:bubble3D val="0"/>
            <c:spPr>
              <a:solidFill>
                <a:schemeClr val="accent2">
                  <a:lumMod val="60000"/>
                </a:schemeClr>
              </a:solidFill>
              <a:ln w="25400">
                <a:solidFill>
                  <a:schemeClr val="lt1"/>
                </a:solidFill>
              </a:ln>
              <a:effectLst/>
              <a:scene3d>
                <a:camera prst="orthographicFront"/>
                <a:lightRig rig="threePt" dir="t"/>
              </a:scene3d>
              <a:sp3d contourW="25400">
                <a:contourClr>
                  <a:schemeClr val="lt1"/>
                </a:contourClr>
              </a:sp3d>
            </c:spPr>
          </c:dPt>
          <c:dLbls>
            <c:dLbl>
              <c:idx val="0"/>
              <c:layout>
                <c:manualLayout>
                  <c:x val="0.0489595363079615"/>
                  <c:y val="-0.0553579760863225"/>
                </c:manualLayout>
              </c:layout>
              <c:dLblPos val="bestFit"/>
              <c:showLegendKey val="0"/>
              <c:showVal val="0"/>
              <c:showCatName val="1"/>
              <c:showSerName val="0"/>
              <c:showPercent val="1"/>
              <c:showBubbleSize val="0"/>
              <c:separator>
</c:separator>
              <c:extLst>
                <c:ext xmlns:c15="http://schemas.microsoft.com/office/drawing/2012/chart" uri="{CE6537A1-D6FC-4f65-9D91-7224C49458BB}">
                  <c15:layout/>
                </c:ext>
              </c:extLst>
            </c:dLbl>
            <c:dLbl>
              <c:idx val="1"/>
              <c:layout>
                <c:manualLayout>
                  <c:x val="0.0376666666666667"/>
                  <c:y val="-0.0843795567220764"/>
                </c:manualLayout>
              </c:layout>
              <c:dLblPos val="bestFit"/>
              <c:showLegendKey val="0"/>
              <c:showVal val="0"/>
              <c:showCatName val="1"/>
              <c:showSerName val="0"/>
              <c:showPercent val="1"/>
              <c:showBubbleSize val="0"/>
              <c:separator>
</c:separator>
              <c:extLst>
                <c:ext xmlns:c15="http://schemas.microsoft.com/office/drawing/2012/chart" uri="{CE6537A1-D6FC-4f65-9D91-7224C49458BB}">
                  <c15:layout/>
                </c:ext>
              </c:extLst>
            </c:dLbl>
            <c:dLbl>
              <c:idx val="3"/>
              <c:layout>
                <c:manualLayout>
                  <c:x val="-0.0109884854265435"/>
                  <c:y val="0.0470137349336187"/>
                </c:manualLayout>
              </c:layout>
              <c:dLblPos val="bestFit"/>
              <c:showLegendKey val="0"/>
              <c:showVal val="0"/>
              <c:showCatName val="1"/>
              <c:showSerName val="0"/>
              <c:showPercent val="1"/>
              <c:showBubbleSize val="0"/>
              <c:separator>
</c:separator>
              <c:extLst>
                <c:ext xmlns:c15="http://schemas.microsoft.com/office/drawing/2012/chart" uri="{CE6537A1-D6FC-4f65-9D91-7224C49458BB}">
                  <c15:layout/>
                </c:ext>
              </c:extLst>
            </c:dLbl>
            <c:dLbl>
              <c:idx val="4"/>
              <c:layout>
                <c:manualLayout>
                  <c:x val="-0.116261049579182"/>
                  <c:y val="0.0167285885380832"/>
                </c:manualLayout>
              </c:layout>
              <c:dLblPos val="bestFit"/>
              <c:showLegendKey val="0"/>
              <c:showVal val="0"/>
              <c:showCatName val="1"/>
              <c:showSerName val="0"/>
              <c:showPercent val="1"/>
              <c:showBubbleSize val="0"/>
              <c:separator>
</c:separator>
              <c:extLst>
                <c:ext xmlns:c15="http://schemas.microsoft.com/office/drawing/2012/chart" uri="{CE6537A1-D6FC-4f65-9D91-7224C49458BB}">
                  <c15:layout/>
                </c:ext>
              </c:extLst>
            </c:dLbl>
            <c:dLbl>
              <c:idx val="5"/>
              <c:layout>
                <c:manualLayout>
                  <c:x val="-0.0661941663382112"/>
                  <c:y val="-0.0391597652235218"/>
                </c:manualLayout>
              </c:layout>
              <c:dLblPos val="bestFit"/>
              <c:showLegendKey val="0"/>
              <c:showVal val="0"/>
              <c:showCatName val="1"/>
              <c:showSerName val="0"/>
              <c:showPercent val="1"/>
              <c:showBubbleSize val="0"/>
              <c:separator>
</c:separator>
              <c:extLst>
                <c:ext xmlns:c15="http://schemas.microsoft.com/office/drawing/2012/chart" uri="{CE6537A1-D6FC-4f65-9D91-7224C49458BB}">
                  <c15:layout>
                    <c:manualLayout>
                      <c:w val="0.123402673609574"/>
                      <c:h val="0.114026280695496"/>
                    </c:manualLayout>
                  </c15:layout>
                </c:ext>
              </c:extLst>
            </c:dLbl>
            <c:dLbl>
              <c:idx val="6"/>
              <c:layout>
                <c:manualLayout>
                  <c:x val="0.0532800476919356"/>
                  <c:y val="-0.0725418545982723"/>
                </c:manualLayout>
              </c:layout>
              <c:dLblPos val="bestFit"/>
              <c:showLegendKey val="0"/>
              <c:showVal val="0"/>
              <c:showCatName val="1"/>
              <c:showSerName val="0"/>
              <c:showPercent val="1"/>
              <c:showBubbleSize val="0"/>
              <c:separator>
</c:separator>
              <c:extLst>
                <c:ext xmlns:c15="http://schemas.microsoft.com/office/drawing/2012/chart" uri="{CE6537A1-D6FC-4f65-9D91-7224C49458BB}">
                  <c15:layout>
                    <c:manualLayout>
                      <c:w val="0.166494904938116"/>
                      <c:h val="0.114026280695496"/>
                    </c:manualLayout>
                  </c15:layout>
                </c:ext>
              </c:extLst>
            </c:dLbl>
            <c:dLbl>
              <c:idx val="7"/>
              <c:layout>
                <c:manualLayout>
                  <c:x val="0.11164917899432"/>
                  <c:y val="-0.0299586338115503"/>
                </c:manualLayout>
              </c:layout>
              <c:dLblPos val="bestFit"/>
              <c:showLegendKey val="0"/>
              <c:showVal val="0"/>
              <c:showCatName val="1"/>
              <c:showSerName val="0"/>
              <c:showPercent val="1"/>
              <c:showBubbleSize val="0"/>
              <c:separator>
</c:separator>
              <c:extLst>
                <c:ext xmlns:c15="http://schemas.microsoft.com/office/drawing/2012/chart" uri="{CE6537A1-D6FC-4f65-9D91-7224C49458BB}">
                  <c15:layout/>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lang="zh-CN" sz="900" b="0" i="0" u="none" strike="noStrike" kern="1200" baseline="0">
                    <a:solidFill>
                      <a:schemeClr val="dk1">
                        <a:lumMod val="65000"/>
                        <a:lumOff val="35000"/>
                      </a:schemeClr>
                    </a:solidFill>
                    <a:latin typeface="+mn-lt"/>
                    <a:ea typeface="+mn-ea"/>
                    <a:cs typeface="+mn-cs"/>
                  </a:defRPr>
                </a:pPr>
              </a:p>
            </c:txPr>
            <c:dLblPos val="bestFit"/>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layout/>
                <c15:showLeaderLines val="0"/>
                <c15:leaderLines>
                  <c:spPr>
                    <a:ln w="9525" cap="flat" cmpd="sng" algn="ctr">
                      <a:solidFill>
                        <a:schemeClr val="tx1">
                          <a:lumMod val="35000"/>
                          <a:lumOff val="65000"/>
                        </a:schemeClr>
                      </a:solidFill>
                      <a:round/>
                    </a:ln>
                    <a:effectLst/>
                  </c:spPr>
                </c15:leaderLines>
              </c:ext>
            </c:extLst>
          </c:dLbls>
          <c:cat>
            <c:strRef>
              <c:f>'2025'!$A$24:$A$31</c:f>
              <c:strCache>
                <c:ptCount val="8"/>
                <c:pt idx="0">
                  <c:v>一车间</c:v>
                </c:pt>
                <c:pt idx="1">
                  <c:v>合成车间</c:v>
                </c:pt>
                <c:pt idx="2">
                  <c:v>质检部</c:v>
                </c:pt>
                <c:pt idx="3">
                  <c:v>质量保证部</c:v>
                </c:pt>
                <c:pt idx="4">
                  <c:v>药物警戒部</c:v>
                </c:pt>
                <c:pt idx="5">
                  <c:v>物控部</c:v>
                </c:pt>
                <c:pt idx="6">
                  <c:v>工程设备部</c:v>
                </c:pt>
                <c:pt idx="7">
                  <c:v>其他</c:v>
                </c:pt>
              </c:strCache>
            </c:strRef>
          </c:cat>
          <c:val>
            <c:numRef>
              <c:f>'2025'!$B$24:$B$31</c:f>
              <c:numCache>
                <c:formatCode>General</c:formatCode>
                <c:ptCount val="8"/>
                <c:pt idx="0">
                  <c:v>100</c:v>
                </c:pt>
                <c:pt idx="1">
                  <c:v>22</c:v>
                </c:pt>
                <c:pt idx="2">
                  <c:v>379</c:v>
                </c:pt>
                <c:pt idx="3">
                  <c:v>121</c:v>
                </c:pt>
                <c:pt idx="4">
                  <c:v>28</c:v>
                </c:pt>
                <c:pt idx="5">
                  <c:v>35</c:v>
                </c:pt>
                <c:pt idx="6">
                  <c:v>16</c:v>
                </c:pt>
                <c:pt idx="7">
                  <c:v>19</c:v>
                </c:pt>
              </c:numCache>
            </c:numRef>
          </c:val>
        </c:ser>
        <c:dLbls>
          <c:showLegendKey val="0"/>
          <c:showVal val="0"/>
          <c:showCatName val="0"/>
          <c:showSerName val="0"/>
          <c:showPercent val="0"/>
          <c:showBubbleSize val="0"/>
        </c:dLbls>
      </c:pie3DChart>
      <c:spPr>
        <a:noFill/>
        <a:ln>
          <a:noFill/>
        </a:ln>
        <a:effectLst/>
      </c:spPr>
    </c:plotArea>
    <c:plotVisOnly val="1"/>
    <c:dispBlanksAs val="gap"/>
    <c:showDLblsOverMax val="0"/>
    <c:extLst>
      <c:ext uri="{0b15fc19-7d7d-44ad-8c2d-2c3a37ce22c3}">
        <chartProps xmlns="https://web.wps.cn/et/2018/main" chartId="{0428cc7e-e6c0-4f3f-b54a-702cdd71c5fa}"/>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600" b="1" i="0" u="none" strike="noStrike" kern="1200" baseline="0">
                <a:solidFill>
                  <a:schemeClr val="tx1">
                    <a:lumMod val="65000"/>
                    <a:lumOff val="35000"/>
                  </a:schemeClr>
                </a:solidFill>
                <a:latin typeface="+mn-lt"/>
                <a:ea typeface="+mn-ea"/>
                <a:cs typeface="+mn-cs"/>
              </a:defRPr>
            </a:pPr>
            <a:r>
              <a:rPr lang="zh-CN"/>
              <a:t>部门变更数量对比图</a:t>
            </a:r>
            <a:endParaRPr lang="zh-CN"/>
          </a:p>
        </c:rich>
      </c:tx>
      <c:layout/>
      <c:overlay val="0"/>
      <c:spPr>
        <a:noFill/>
        <a:ln>
          <a:noFill/>
        </a:ln>
        <a:effectLst/>
      </c:spPr>
    </c:title>
    <c:autoTitleDeleted val="0"/>
    <c:plotArea>
      <c:layout/>
      <c:barChart>
        <c:barDir val="col"/>
        <c:grouping val="clustered"/>
        <c:varyColors val="0"/>
        <c:ser>
          <c:idx val="0"/>
          <c:order val="0"/>
          <c:tx>
            <c:strRef>
              <c:f>'2025'!$B$3</c:f>
              <c:strCache>
                <c:ptCount val="1"/>
                <c:pt idx="0">
                  <c:v>2024年变更数量</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'2025'!$A$4:$A$16</c:f>
              <c:strCache>
                <c:ptCount val="13"/>
                <c:pt idx="0">
                  <c:v>采供部</c:v>
                </c:pt>
                <c:pt idx="1">
                  <c:v>一车间</c:v>
                </c:pt>
                <c:pt idx="2">
                  <c:v>物控部</c:v>
                </c:pt>
                <c:pt idx="3">
                  <c:v>质检部</c:v>
                </c:pt>
                <c:pt idx="4">
                  <c:v>质量保证部</c:v>
                </c:pt>
                <c:pt idx="5">
                  <c:v>数字化管理部</c:v>
                </c:pt>
                <c:pt idx="6">
                  <c:v>合成车间</c:v>
                </c:pt>
                <c:pt idx="7">
                  <c:v>工程设备部</c:v>
                </c:pt>
                <c:pt idx="8">
                  <c:v>药物警戒部</c:v>
                </c:pt>
                <c:pt idx="9">
                  <c:v>质量研究部</c:v>
                </c:pt>
                <c:pt idx="10">
                  <c:v>人力行政管理部</c:v>
                </c:pt>
                <c:pt idx="11">
                  <c:v>301车间</c:v>
                </c:pt>
                <c:pt idx="12">
                  <c:v>技术转移部</c:v>
                </c:pt>
              </c:strCache>
            </c:strRef>
          </c:cat>
          <c:val>
            <c:numRef>
              <c:f>'2025'!$B$4:$B$16</c:f>
              <c:numCache>
                <c:formatCode>General</c:formatCode>
                <c:ptCount val="13"/>
                <c:pt idx="0">
                  <c:v>3</c:v>
                </c:pt>
                <c:pt idx="1">
                  <c:v>67</c:v>
                </c:pt>
                <c:pt idx="2">
                  <c:v>16</c:v>
                </c:pt>
                <c:pt idx="3">
                  <c:v>281</c:v>
                </c:pt>
                <c:pt idx="4">
                  <c:v>115</c:v>
                </c:pt>
                <c:pt idx="5">
                  <c:v>3</c:v>
                </c:pt>
                <c:pt idx="6">
                  <c:v>23</c:v>
                </c:pt>
                <c:pt idx="7">
                  <c:v>16</c:v>
                </c:pt>
                <c:pt idx="8">
                  <c:v>12</c:v>
                </c:pt>
                <c:pt idx="9">
                  <c:v>1</c:v>
                </c:pt>
                <c:pt idx="10">
                  <c:v>3</c:v>
                </c:pt>
                <c:pt idx="11">
                  <c:v>0</c:v>
                </c:pt>
                <c:pt idx="12">
                  <c:v>1</c:v>
                </c:pt>
              </c:numCache>
            </c:numRef>
          </c:val>
        </c:ser>
        <c:ser>
          <c:idx val="1"/>
          <c:order val="1"/>
          <c:tx>
            <c:strRef>
              <c:f>'2025'!$C$3</c:f>
              <c:strCache>
                <c:ptCount val="1"/>
                <c:pt idx="0">
                  <c:v>2025年变更数量</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'2025'!$A$4:$A$16</c:f>
              <c:strCache>
                <c:ptCount val="13"/>
                <c:pt idx="0">
                  <c:v>采供部</c:v>
                </c:pt>
                <c:pt idx="1">
                  <c:v>一车间</c:v>
                </c:pt>
                <c:pt idx="2">
                  <c:v>物控部</c:v>
                </c:pt>
                <c:pt idx="3">
                  <c:v>质检部</c:v>
                </c:pt>
                <c:pt idx="4">
                  <c:v>质量保证部</c:v>
                </c:pt>
                <c:pt idx="5">
                  <c:v>数字化管理部</c:v>
                </c:pt>
                <c:pt idx="6">
                  <c:v>合成车间</c:v>
                </c:pt>
                <c:pt idx="7">
                  <c:v>工程设备部</c:v>
                </c:pt>
                <c:pt idx="8">
                  <c:v>药物警戒部</c:v>
                </c:pt>
                <c:pt idx="9">
                  <c:v>质量研究部</c:v>
                </c:pt>
                <c:pt idx="10">
                  <c:v>人力行政管理部</c:v>
                </c:pt>
                <c:pt idx="11">
                  <c:v>301车间</c:v>
                </c:pt>
                <c:pt idx="12">
                  <c:v>技术转移部</c:v>
                </c:pt>
              </c:strCache>
            </c:strRef>
          </c:cat>
          <c:val>
            <c:numRef>
              <c:f>'2025'!$C$4:$C$16</c:f>
              <c:numCache>
                <c:formatCode>General</c:formatCode>
                <c:ptCount val="13"/>
                <c:pt idx="0">
                  <c:v>7</c:v>
                </c:pt>
                <c:pt idx="1">
                  <c:v>100</c:v>
                </c:pt>
                <c:pt idx="2">
                  <c:v>35</c:v>
                </c:pt>
                <c:pt idx="3">
                  <c:v>379</c:v>
                </c:pt>
                <c:pt idx="4">
                  <c:v>121</c:v>
                </c:pt>
                <c:pt idx="5">
                  <c:v>6</c:v>
                </c:pt>
                <c:pt idx="6">
                  <c:v>22</c:v>
                </c:pt>
                <c:pt idx="7">
                  <c:v>16</c:v>
                </c:pt>
                <c:pt idx="8">
                  <c:v>28</c:v>
                </c:pt>
                <c:pt idx="9">
                  <c:v>0</c:v>
                </c:pt>
                <c:pt idx="10">
                  <c:v>1</c:v>
                </c:pt>
                <c:pt idx="11">
                  <c:v>4</c:v>
                </c:pt>
                <c:pt idx="12">
                  <c:v>1</c:v>
                </c:pt>
              </c:numCache>
            </c:numRef>
          </c:val>
        </c:ser>
        <c:dLbls>
          <c:showLegendKey val="0"/>
          <c:showVal val="1"/>
          <c:showCatName val="0"/>
          <c:showSerName val="0"/>
          <c:showPercent val="0"/>
          <c:showBubbleSize val="0"/>
        </c:dLbls>
        <c:gapWidth val="100"/>
        <c:overlap val="-24"/>
        <c:axId val="382033807"/>
        <c:axId val="382018415"/>
      </c:barChart>
      <c:catAx>
        <c:axId val="382033807"/>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82018415"/>
        <c:crosses val="autoZero"/>
        <c:auto val="1"/>
        <c:lblAlgn val="ctr"/>
        <c:lblOffset val="100"/>
        <c:noMultiLvlLbl val="0"/>
      </c:catAx>
      <c:valAx>
        <c:axId val="3820184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82033807"/>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f28f2bc1-e2be-44ce-99b9-f6555bb748bd}"/>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600" b="1" i="0" u="none" strike="noStrike" kern="1200" baseline="0">
                <a:solidFill>
                  <a:schemeClr val="tx1">
                    <a:lumMod val="65000"/>
                    <a:lumOff val="35000"/>
                  </a:schemeClr>
                </a:solidFill>
                <a:latin typeface="+mn-lt"/>
                <a:ea typeface="+mn-ea"/>
                <a:cs typeface="+mn-cs"/>
              </a:defRPr>
            </a:pPr>
            <a:r>
              <a:rPr lang="zh-CN"/>
              <a:t>年度变更类别对比图</a:t>
            </a:r>
            <a:endParaRPr lang="zh-CN"/>
          </a:p>
        </c:rich>
      </c:tx>
      <c:layout/>
      <c:overlay val="0"/>
      <c:spPr>
        <a:noFill/>
        <a:ln>
          <a:noFill/>
        </a:ln>
        <a:effectLst/>
      </c:spPr>
    </c:title>
    <c:autoTitleDeleted val="0"/>
    <c:plotArea>
      <c:layout>
        <c:manualLayout>
          <c:layoutTarget val="inner"/>
          <c:xMode val="edge"/>
          <c:yMode val="edge"/>
          <c:x val="0.0669697977893608"/>
          <c:y val="0.133984376213328"/>
          <c:w val="0.907208605966508"/>
          <c:h val="0.549071114631381"/>
        </c:manualLayout>
      </c:layout>
      <c:barChart>
        <c:barDir val="col"/>
        <c:grouping val="clustered"/>
        <c:varyColors val="0"/>
        <c:ser>
          <c:idx val="0"/>
          <c:order val="0"/>
          <c:tx>
            <c:strRef>
              <c:f>'2025'!$A$48</c:f>
              <c:strCache>
                <c:ptCount val="1"/>
                <c:pt idx="0">
                  <c:v>2024年变更数量</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'2025'!$B$47:$Q$47</c:f>
              <c:strCache>
                <c:ptCount val="16"/>
                <c:pt idx="0">
                  <c:v>文件</c:v>
                </c:pt>
                <c:pt idx="1">
                  <c:v>操作规程</c:v>
                </c:pt>
                <c:pt idx="2">
                  <c:v>检验方法</c:v>
                </c:pt>
                <c:pt idx="3">
                  <c:v>质量标准</c:v>
                </c:pt>
                <c:pt idx="4">
                  <c:v>计算机化系统</c:v>
                </c:pt>
                <c:pt idx="5">
                  <c:v>贮存/有效期</c:v>
                </c:pt>
                <c:pt idx="6">
                  <c:v>厂房设施/设备</c:v>
                </c:pt>
                <c:pt idx="7">
                  <c:v>包材/耗材</c:v>
                </c:pt>
                <c:pt idx="8">
                  <c:v>供应商</c:v>
                </c:pt>
                <c:pt idx="9">
                  <c:v>人员</c:v>
                </c:pt>
                <c:pt idx="10">
                  <c:v>场地</c:v>
                </c:pt>
                <c:pt idx="11">
                  <c:v>生产工艺</c:v>
                </c:pt>
                <c:pt idx="12">
                  <c:v>规模/规格</c:v>
                </c:pt>
                <c:pt idx="13">
                  <c:v>表达载体/种子</c:v>
                </c:pt>
                <c:pt idx="14">
                  <c:v>稳定性</c:v>
                </c:pt>
                <c:pt idx="15">
                  <c:v>其它</c:v>
                </c:pt>
              </c:strCache>
            </c:strRef>
          </c:cat>
          <c:val>
            <c:numRef>
              <c:f>'2025'!$B$48:$Q$48</c:f>
              <c:numCache>
                <c:formatCode>General</c:formatCode>
                <c:ptCount val="16"/>
                <c:pt idx="0">
                  <c:v>200</c:v>
                </c:pt>
                <c:pt idx="1">
                  <c:v>149</c:v>
                </c:pt>
                <c:pt idx="2">
                  <c:v>48</c:v>
                </c:pt>
                <c:pt idx="3">
                  <c:v>25</c:v>
                </c:pt>
                <c:pt idx="4">
                  <c:v>9</c:v>
                </c:pt>
                <c:pt idx="5">
                  <c:v>6</c:v>
                </c:pt>
                <c:pt idx="6">
                  <c:v>24</c:v>
                </c:pt>
                <c:pt idx="7">
                  <c:v>3</c:v>
                </c:pt>
                <c:pt idx="8">
                  <c:v>17</c:v>
                </c:pt>
                <c:pt idx="9">
                  <c:v>2</c:v>
                </c:pt>
                <c:pt idx="10">
                  <c:v>5</c:v>
                </c:pt>
                <c:pt idx="11">
                  <c:v>3</c:v>
                </c:pt>
                <c:pt idx="12">
                  <c:v>3</c:v>
                </c:pt>
                <c:pt idx="13">
                  <c:v>1</c:v>
                </c:pt>
                <c:pt idx="14">
                  <c:v>1</c:v>
                </c:pt>
                <c:pt idx="15">
                  <c:v>45</c:v>
                </c:pt>
              </c:numCache>
            </c:numRef>
          </c:val>
        </c:ser>
        <c:ser>
          <c:idx val="1"/>
          <c:order val="1"/>
          <c:tx>
            <c:strRef>
              <c:f>'2025'!$A$49</c:f>
              <c:strCache>
                <c:ptCount val="1"/>
                <c:pt idx="0">
                  <c:v>2025年变更数量</c:v>
                </c:pt>
              </c:strCache>
            </c:strRef>
          </c:tx>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'2025'!$B$47:$Q$47</c:f>
              <c:strCache>
                <c:ptCount val="16"/>
                <c:pt idx="0">
                  <c:v>文件</c:v>
                </c:pt>
                <c:pt idx="1">
                  <c:v>操作规程</c:v>
                </c:pt>
                <c:pt idx="2">
                  <c:v>检验方法</c:v>
                </c:pt>
                <c:pt idx="3">
                  <c:v>质量标准</c:v>
                </c:pt>
                <c:pt idx="4">
                  <c:v>计算机化系统</c:v>
                </c:pt>
                <c:pt idx="5">
                  <c:v>贮存/有效期</c:v>
                </c:pt>
                <c:pt idx="6">
                  <c:v>厂房设施/设备</c:v>
                </c:pt>
                <c:pt idx="7">
                  <c:v>包材/耗材</c:v>
                </c:pt>
                <c:pt idx="8">
                  <c:v>供应商</c:v>
                </c:pt>
                <c:pt idx="9">
                  <c:v>人员</c:v>
                </c:pt>
                <c:pt idx="10">
                  <c:v>场地</c:v>
                </c:pt>
                <c:pt idx="11">
                  <c:v>生产工艺</c:v>
                </c:pt>
                <c:pt idx="12">
                  <c:v>规模/规格</c:v>
                </c:pt>
                <c:pt idx="13">
                  <c:v>表达载体/种子</c:v>
                </c:pt>
                <c:pt idx="14">
                  <c:v>稳定性</c:v>
                </c:pt>
                <c:pt idx="15">
                  <c:v>其它</c:v>
                </c:pt>
              </c:strCache>
            </c:strRef>
          </c:cat>
          <c:val>
            <c:numRef>
              <c:f>'2025'!$B$49:$Q$49</c:f>
              <c:numCache>
                <c:formatCode>General</c:formatCode>
                <c:ptCount val="16"/>
                <c:pt idx="0">
                  <c:v>261</c:v>
                </c:pt>
                <c:pt idx="1">
                  <c:v>138</c:v>
                </c:pt>
                <c:pt idx="2">
                  <c:v>86</c:v>
                </c:pt>
                <c:pt idx="3">
                  <c:v>46</c:v>
                </c:pt>
                <c:pt idx="4">
                  <c:v>25</c:v>
                </c:pt>
                <c:pt idx="5">
                  <c:v>6</c:v>
                </c:pt>
                <c:pt idx="6">
                  <c:v>57</c:v>
                </c:pt>
                <c:pt idx="7">
                  <c:v>5</c:v>
                </c:pt>
                <c:pt idx="8">
                  <c:v>23</c:v>
                </c:pt>
                <c:pt idx="9">
                  <c:v>1</c:v>
                </c:pt>
                <c:pt idx="10">
                  <c:v>9</c:v>
                </c:pt>
                <c:pt idx="11">
                  <c:v>5</c:v>
                </c:pt>
                <c:pt idx="12">
                  <c:v>4</c:v>
                </c:pt>
                <c:pt idx="13">
                  <c:v>3</c:v>
                </c:pt>
                <c:pt idx="14">
                  <c:v>0</c:v>
                </c:pt>
                <c:pt idx="15">
                  <c:v>51</c:v>
                </c:pt>
              </c:numCache>
            </c:numRef>
          </c:val>
        </c:ser>
        <c:dLbls>
          <c:showLegendKey val="0"/>
          <c:showVal val="1"/>
          <c:showCatName val="0"/>
          <c:showSerName val="0"/>
          <c:showPercent val="0"/>
          <c:showBubbleSize val="0"/>
        </c:dLbls>
        <c:gapWidth val="100"/>
        <c:overlap val="-24"/>
        <c:axId val="1316101232"/>
        <c:axId val="1316110800"/>
      </c:barChart>
      <c:catAx>
        <c:axId val="1316101232"/>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316110800"/>
        <c:crosses val="autoZero"/>
        <c:auto val="1"/>
        <c:lblAlgn val="ctr"/>
        <c:lblOffset val="100"/>
        <c:noMultiLvlLbl val="0"/>
      </c:catAx>
      <c:valAx>
        <c:axId val="13161108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316101232"/>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e2721286-c6e4-4a3e-b79f-3d37dd5d6a1d}"/>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600" b="1" i="0" u="none" strike="noStrike" kern="1200" baseline="0">
                <a:solidFill>
                  <a:schemeClr val="tx1">
                    <a:lumMod val="65000"/>
                    <a:lumOff val="35000"/>
                  </a:schemeClr>
                </a:solidFill>
                <a:latin typeface="+mn-lt"/>
                <a:ea typeface="+mn-ea"/>
                <a:cs typeface="+mn-cs"/>
              </a:defRPr>
            </a:pPr>
            <a:r>
              <a:rPr lang="zh-CN"/>
              <a:t>变更等级对比图</a:t>
            </a:r>
            <a:endParaRPr lang="zh-CN"/>
          </a:p>
        </c:rich>
      </c:tx>
      <c:layout/>
      <c:overlay val="0"/>
      <c:spPr>
        <a:noFill/>
        <a:ln>
          <a:noFill/>
        </a:ln>
        <a:effectLst/>
      </c:spPr>
    </c:title>
    <c:autoTitleDeleted val="0"/>
    <c:plotArea>
      <c:layout/>
      <c:barChart>
        <c:barDir val="col"/>
        <c:grouping val="clustered"/>
        <c:varyColors val="0"/>
        <c:ser>
          <c:idx val="0"/>
          <c:order val="0"/>
          <c:tx>
            <c:strRef>
              <c:f>'2025'!$M$26</c:f>
              <c:strCache>
                <c:ptCount val="1"/>
                <c:pt idx="0">
                  <c:v>2025数量</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dLbl>
              <c:idx val="0"/>
              <c:layout/>
              <c:tx>
                <c:rich>
                  <a:bodyPr rot="0" spcFirstLastPara="1"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r>
                      <a:rPr lang="en-US" altLang="zh-CN"/>
                      <a:t>97.3%</a:t>
                    </a:r>
                    <a:endParaRPr lang="en-US" altLang="zh-CN"/>
                  </a:p>
                </c:rich>
              </c:tx>
              <c:dLblPos val="outEnd"/>
              <c:showLegendKey val="0"/>
              <c:showVal val="1"/>
              <c:showCatName val="0"/>
              <c:showSerName val="0"/>
              <c:showPercent val="0"/>
              <c:showBubbleSize val="0"/>
              <c:extLst>
                <c:ext xmlns:c15="http://schemas.microsoft.com/office/drawing/2012/chart" uri="{CE6537A1-D6FC-4f65-9D91-7224C49458BB}"/>
              </c:extLst>
            </c:dLbl>
            <c:dLbl>
              <c:idx val="1"/>
              <c:layout/>
              <c:tx>
                <c:rich>
                  <a:bodyPr rot="0" spcFirstLastPara="1"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r>
                      <a:rPr lang="en-US" altLang="zh-CN"/>
                      <a:t>2.4%</a:t>
                    </a:r>
                    <a:endParaRPr lang="en-US" altLang="zh-CN"/>
                  </a:p>
                </c:rich>
              </c:tx>
              <c:dLblPos val="outEnd"/>
              <c:showLegendKey val="0"/>
              <c:showVal val="1"/>
              <c:showCatName val="0"/>
              <c:showSerName val="0"/>
              <c:showPercent val="0"/>
              <c:showBubbleSize val="0"/>
              <c:extLst>
                <c:ext xmlns:c15="http://schemas.microsoft.com/office/drawing/2012/chart" uri="{CE6537A1-D6FC-4f65-9D91-7224C49458BB}"/>
              </c:extLst>
            </c:dLbl>
            <c:dLbl>
              <c:idx val="2"/>
              <c:layout/>
              <c:tx>
                <c:rich>
                  <a:bodyPr rot="0" spcFirstLastPara="1"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r>
                      <a:rPr lang="en-US" altLang="zh-CN"/>
                      <a:t>0.3%</a:t>
                    </a:r>
                    <a:endParaRPr lang="en-US" altLang="zh-CN"/>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'2025'!$L$27:$L$29</c:f>
              <c:strCache>
                <c:ptCount val="3"/>
                <c:pt idx="0">
                  <c:v>微小</c:v>
                </c:pt>
                <c:pt idx="1">
                  <c:v>中等</c:v>
                </c:pt>
                <c:pt idx="2">
                  <c:v>重大</c:v>
                </c:pt>
              </c:strCache>
            </c:strRef>
          </c:cat>
          <c:val>
            <c:numRef>
              <c:f>'2025'!$M$27:$M$29</c:f>
              <c:numCache>
                <c:formatCode>General</c:formatCode>
                <c:ptCount val="3"/>
                <c:pt idx="0">
                  <c:v>661</c:v>
                </c:pt>
                <c:pt idx="1">
                  <c:v>16</c:v>
                </c:pt>
                <c:pt idx="2">
                  <c:v>2</c:v>
                </c:pt>
              </c:numCache>
            </c:numRef>
          </c:val>
        </c:ser>
        <c:ser>
          <c:idx val="1"/>
          <c:order val="1"/>
          <c:tx>
            <c:strRef>
              <c:f>'2025'!$N$26</c:f>
              <c:strCache>
                <c:ptCount val="1"/>
                <c:pt idx="0">
                  <c:v>2024数量</c:v>
                </c:pt>
              </c:strCache>
            </c:strRef>
          </c:tx>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dLbl>
              <c:idx val="0"/>
              <c:layout/>
              <c:tx>
                <c:rich>
                  <a:bodyPr rot="0" spcFirstLastPara="1"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r>
                      <a:rPr lang="en-US" altLang="zh-CN"/>
                      <a:t>97.9%</a:t>
                    </a:r>
                    <a:endParaRPr lang="en-US" altLang="zh-CN"/>
                  </a:p>
                </c:rich>
              </c:tx>
              <c:dLblPos val="outEnd"/>
              <c:showLegendKey val="0"/>
              <c:showVal val="1"/>
              <c:showCatName val="0"/>
              <c:showSerName val="0"/>
              <c:showPercent val="0"/>
              <c:showBubbleSize val="0"/>
              <c:extLst>
                <c:ext xmlns:c15="http://schemas.microsoft.com/office/drawing/2012/chart" uri="{CE6537A1-D6FC-4f65-9D91-7224C49458BB}"/>
              </c:extLst>
            </c:dLbl>
            <c:dLbl>
              <c:idx val="1"/>
              <c:layout/>
              <c:tx>
                <c:rich>
                  <a:bodyPr rot="0" spcFirstLastPara="1"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r>
                      <a:rPr lang="en-US" altLang="zh-CN"/>
                      <a:t>1.7%</a:t>
                    </a:r>
                    <a:endParaRPr lang="en-US" altLang="zh-CN"/>
                  </a:p>
                </c:rich>
              </c:tx>
              <c:dLblPos val="outEnd"/>
              <c:showLegendKey val="0"/>
              <c:showVal val="1"/>
              <c:showCatName val="0"/>
              <c:showSerName val="0"/>
              <c:showPercent val="0"/>
              <c:showBubbleSize val="0"/>
              <c:extLst>
                <c:ext xmlns:c15="http://schemas.microsoft.com/office/drawing/2012/chart" uri="{CE6537A1-D6FC-4f65-9D91-7224C49458BB}"/>
              </c:extLst>
            </c:dLbl>
            <c:dLbl>
              <c:idx val="2"/>
              <c:layout/>
              <c:tx>
                <c:rich>
                  <a:bodyPr rot="0" spcFirstLastPara="1"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r>
                      <a:rPr lang="en-US" altLang="zh-CN"/>
                      <a:t>0.4%</a:t>
                    </a:r>
                    <a:endParaRPr lang="en-US" altLang="zh-CN"/>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'2025'!$L$27:$L$29</c:f>
              <c:strCache>
                <c:ptCount val="3"/>
                <c:pt idx="0">
                  <c:v>微小</c:v>
                </c:pt>
                <c:pt idx="1">
                  <c:v>中等</c:v>
                </c:pt>
                <c:pt idx="2">
                  <c:v>重大</c:v>
                </c:pt>
              </c:strCache>
            </c:strRef>
          </c:cat>
          <c:val>
            <c:numRef>
              <c:f>'2025'!$N$27:$N$29</c:f>
              <c:numCache>
                <c:formatCode>General</c:formatCode>
                <c:ptCount val="3"/>
                <c:pt idx="0">
                  <c:v>465</c:v>
                </c:pt>
                <c:pt idx="1">
                  <c:v>8</c:v>
                </c:pt>
                <c:pt idx="2">
                  <c:v>2</c:v>
                </c:pt>
              </c:numCache>
            </c:numRef>
          </c:val>
        </c:ser>
        <c:dLbls>
          <c:showLegendKey val="0"/>
          <c:showVal val="1"/>
          <c:showCatName val="0"/>
          <c:showSerName val="0"/>
          <c:showPercent val="0"/>
          <c:showBubbleSize val="0"/>
        </c:dLbls>
        <c:gapWidth val="100"/>
        <c:overlap val="-24"/>
        <c:axId val="700447967"/>
        <c:axId val="700442143"/>
      </c:barChart>
      <c:catAx>
        <c:axId val="700447967"/>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00442143"/>
        <c:crosses val="autoZero"/>
        <c:auto val="1"/>
        <c:lblAlgn val="ctr"/>
        <c:lblOffset val="100"/>
        <c:noMultiLvlLbl val="0"/>
      </c:catAx>
      <c:valAx>
        <c:axId val="70044214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00447967"/>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dTable>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18944a11-2f96-445e-999d-755dde637703}"/>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600" b="1" i="0" u="none" strike="noStrike" kern="1200" baseline="0">
                <a:solidFill>
                  <a:schemeClr val="tx1">
                    <a:lumMod val="65000"/>
                    <a:lumOff val="35000"/>
                  </a:schemeClr>
                </a:solidFill>
                <a:latin typeface="+mn-lt"/>
                <a:ea typeface="+mn-ea"/>
                <a:cs typeface="+mn-cs"/>
              </a:defRPr>
            </a:pPr>
            <a:r>
              <a:rPr lang="zh-CN"/>
              <a:t>年度变更流程完成情况对比图</a:t>
            </a:r>
            <a:endParaRPr lang="zh-CN"/>
          </a:p>
        </c:rich>
      </c:tx>
      <c:layout/>
      <c:overlay val="0"/>
      <c:spPr>
        <a:noFill/>
        <a:ln>
          <a:noFill/>
        </a:ln>
        <a:effectLst/>
      </c:spPr>
    </c:title>
    <c:autoTitleDeleted val="0"/>
    <c:plotArea>
      <c:layout/>
      <c:barChart>
        <c:barDir val="col"/>
        <c:grouping val="clustered"/>
        <c:varyColors val="0"/>
        <c:ser>
          <c:idx val="0"/>
          <c:order val="0"/>
          <c:tx>
            <c:strRef>
              <c:f>'2025'!$G$74</c:f>
              <c:strCache>
                <c:ptCount val="1"/>
                <c:pt idx="0">
                  <c:v>2024</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dLbl>
              <c:idx val="0"/>
              <c:layout/>
              <c:tx>
                <c:rich>
                  <a:bodyPr rot="0" spcFirstLastPara="1"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r>
                      <a:rPr lang="en-US" altLang="zh-CN"/>
                      <a:t>3.1%</a:t>
                    </a:r>
                    <a:endParaRPr lang="en-US" altLang="zh-CN"/>
                  </a:p>
                </c:rich>
              </c:tx>
              <c:dLblPos val="outEnd"/>
              <c:showLegendKey val="0"/>
              <c:showVal val="1"/>
              <c:showCatName val="0"/>
              <c:showSerName val="0"/>
              <c:showPercent val="0"/>
              <c:showBubbleSize val="0"/>
              <c:extLst>
                <c:ext xmlns:c15="http://schemas.microsoft.com/office/drawing/2012/chart" uri="{CE6537A1-D6FC-4f65-9D91-7224C49458BB}"/>
              </c:extLst>
            </c:dLbl>
            <c:dLbl>
              <c:idx val="1"/>
              <c:layout/>
              <c:tx>
                <c:rich>
                  <a:bodyPr rot="0" spcFirstLastPara="1"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r>
                      <a:rPr lang="en-US" altLang="zh-CN"/>
                      <a:t>16.8%</a:t>
                    </a:r>
                    <a:endParaRPr lang="en-US" altLang="zh-CN"/>
                  </a:p>
                </c:rich>
              </c:tx>
              <c:dLblPos val="outEnd"/>
              <c:showLegendKey val="0"/>
              <c:showVal val="1"/>
              <c:showCatName val="0"/>
              <c:showSerName val="0"/>
              <c:showPercent val="0"/>
              <c:showBubbleSize val="0"/>
              <c:extLst>
                <c:ext xmlns:c15="http://schemas.microsoft.com/office/drawing/2012/chart" uri="{CE6537A1-D6FC-4f65-9D91-7224C49458BB}"/>
              </c:extLst>
            </c:dLbl>
            <c:dLbl>
              <c:idx val="2"/>
              <c:layout/>
              <c:tx>
                <c:rich>
                  <a:bodyPr rot="0" spcFirstLastPara="1"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r>
                      <a:rPr lang="en-US" altLang="zh-CN"/>
                      <a:t>8.3%</a:t>
                    </a:r>
                    <a:endParaRPr lang="en-US" altLang="zh-CN"/>
                  </a:p>
                </c:rich>
              </c:tx>
              <c:dLblPos val="outEnd"/>
              <c:showLegendKey val="0"/>
              <c:showVal val="1"/>
              <c:showCatName val="0"/>
              <c:showSerName val="0"/>
              <c:showPercent val="0"/>
              <c:showBubbleSize val="0"/>
              <c:extLst>
                <c:ext xmlns:c15="http://schemas.microsoft.com/office/drawing/2012/chart" uri="{CE6537A1-D6FC-4f65-9D91-7224C49458BB}"/>
              </c:extLst>
            </c:dLbl>
            <c:dLbl>
              <c:idx val="3"/>
              <c:layout/>
              <c:tx>
                <c:rich>
                  <a:bodyPr rot="0" spcFirstLastPara="1"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r>
                      <a:rPr lang="en-US" altLang="zh-CN"/>
                      <a:t>62.7%</a:t>
                    </a:r>
                    <a:endParaRPr lang="en-US" altLang="zh-CN"/>
                  </a:p>
                </c:rich>
              </c:tx>
              <c:dLblPos val="outEnd"/>
              <c:showLegendKey val="0"/>
              <c:showVal val="1"/>
              <c:showCatName val="0"/>
              <c:showSerName val="0"/>
              <c:showPercent val="0"/>
              <c:showBubbleSize val="0"/>
              <c:extLst>
                <c:ext xmlns:c15="http://schemas.microsoft.com/office/drawing/2012/chart" uri="{CE6537A1-D6FC-4f65-9D91-7224C49458BB}"/>
              </c:extLst>
            </c:dLbl>
            <c:dLbl>
              <c:idx val="4"/>
              <c:layout/>
              <c:tx>
                <c:rich>
                  <a:bodyPr rot="0" spcFirstLastPara="1"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r>
                      <a:rPr lang="en-US" altLang="zh-CN"/>
                      <a:t>9.1%</a:t>
                    </a:r>
                    <a:endParaRPr lang="en-US" altLang="zh-CN"/>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'2025'!$H$73:$L$73</c:f>
              <c:strCache>
                <c:ptCount val="5"/>
                <c:pt idx="0">
                  <c:v>审批中</c:v>
                </c:pt>
                <c:pt idx="1">
                  <c:v>执行中</c:v>
                </c:pt>
                <c:pt idx="2">
                  <c:v>待关闭</c:v>
                </c:pt>
                <c:pt idx="3">
                  <c:v>已关闭</c:v>
                </c:pt>
                <c:pt idx="4">
                  <c:v>已终止</c:v>
                </c:pt>
              </c:strCache>
            </c:strRef>
          </c:cat>
          <c:val>
            <c:numRef>
              <c:f>'2025'!$H$74:$L$74</c:f>
              <c:numCache>
                <c:formatCode>General</c:formatCode>
                <c:ptCount val="5"/>
                <c:pt idx="0">
                  <c:v>17</c:v>
                </c:pt>
                <c:pt idx="1">
                  <c:v>91</c:v>
                </c:pt>
                <c:pt idx="2">
                  <c:v>45</c:v>
                </c:pt>
                <c:pt idx="3">
                  <c:v>339</c:v>
                </c:pt>
                <c:pt idx="4">
                  <c:v>49</c:v>
                </c:pt>
              </c:numCache>
            </c:numRef>
          </c:val>
        </c:ser>
        <c:ser>
          <c:idx val="1"/>
          <c:order val="1"/>
          <c:tx>
            <c:strRef>
              <c:f>'2025'!$G$75</c:f>
              <c:strCache>
                <c:ptCount val="1"/>
                <c:pt idx="0">
                  <c:v>2025</c:v>
                </c:pt>
              </c:strCache>
            </c:strRef>
          </c:tx>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dLbl>
              <c:idx val="0"/>
              <c:layout/>
              <c:tx>
                <c:rich>
                  <a:bodyPr rot="0" spcFirstLastPara="1"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r>
                      <a:rPr lang="en-US" altLang="zh-CN"/>
                      <a:t>2.5%</a:t>
                    </a:r>
                    <a:endParaRPr lang="en-US" altLang="zh-CN"/>
                  </a:p>
                </c:rich>
              </c:tx>
              <c:dLblPos val="outEnd"/>
              <c:showLegendKey val="0"/>
              <c:showVal val="1"/>
              <c:showCatName val="0"/>
              <c:showSerName val="0"/>
              <c:showPercent val="0"/>
              <c:showBubbleSize val="0"/>
              <c:extLst>
                <c:ext xmlns:c15="http://schemas.microsoft.com/office/drawing/2012/chart" uri="{CE6537A1-D6FC-4f65-9D91-7224C49458BB}"/>
              </c:extLst>
            </c:dLbl>
            <c:dLbl>
              <c:idx val="1"/>
              <c:layout/>
              <c:tx>
                <c:rich>
                  <a:bodyPr rot="0" spcFirstLastPara="1"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r>
                      <a:rPr lang="en-US" altLang="zh-CN"/>
                      <a:t>15.35</a:t>
                    </a:r>
                    <a:endParaRPr lang="en-US" altLang="zh-CN"/>
                  </a:p>
                </c:rich>
              </c:tx>
              <c:dLblPos val="outEnd"/>
              <c:showLegendKey val="0"/>
              <c:showVal val="1"/>
              <c:showCatName val="0"/>
              <c:showSerName val="0"/>
              <c:showPercent val="0"/>
              <c:showBubbleSize val="0"/>
              <c:extLst>
                <c:ext xmlns:c15="http://schemas.microsoft.com/office/drawing/2012/chart" uri="{CE6537A1-D6FC-4f65-9D91-7224C49458BB}"/>
              </c:extLst>
            </c:dLbl>
            <c:dLbl>
              <c:idx val="2"/>
              <c:layout/>
              <c:tx>
                <c:rich>
                  <a:bodyPr rot="0" spcFirstLastPara="1"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r>
                      <a:rPr lang="en-US" altLang="zh-CN"/>
                      <a:t>6.5%</a:t>
                    </a:r>
                    <a:endParaRPr lang="en-US" altLang="zh-CN"/>
                  </a:p>
                </c:rich>
              </c:tx>
              <c:dLblPos val="outEnd"/>
              <c:showLegendKey val="0"/>
              <c:showVal val="1"/>
              <c:showCatName val="0"/>
              <c:showSerName val="0"/>
              <c:showPercent val="0"/>
              <c:showBubbleSize val="0"/>
              <c:extLst>
                <c:ext xmlns:c15="http://schemas.microsoft.com/office/drawing/2012/chart" uri="{CE6537A1-D6FC-4f65-9D91-7224C49458BB}"/>
              </c:extLst>
            </c:dLbl>
            <c:dLbl>
              <c:idx val="3"/>
              <c:layout/>
              <c:tx>
                <c:rich>
                  <a:bodyPr rot="0" spcFirstLastPara="1"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r>
                      <a:rPr lang="en-US" altLang="zh-CN"/>
                      <a:t>72.2%</a:t>
                    </a:r>
                    <a:endParaRPr lang="en-US" altLang="zh-CN"/>
                  </a:p>
                </c:rich>
              </c:tx>
              <c:dLblPos val="outEnd"/>
              <c:showLegendKey val="0"/>
              <c:showVal val="1"/>
              <c:showCatName val="0"/>
              <c:showSerName val="0"/>
              <c:showPercent val="0"/>
              <c:showBubbleSize val="0"/>
              <c:extLst>
                <c:ext xmlns:c15="http://schemas.microsoft.com/office/drawing/2012/chart" uri="{CE6537A1-D6FC-4f65-9D91-7224C49458BB}"/>
              </c:extLst>
            </c:dLbl>
            <c:dLbl>
              <c:idx val="4"/>
              <c:layout/>
              <c:tx>
                <c:rich>
                  <a:bodyPr rot="0" spcFirstLastPara="1"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r>
                      <a:rPr lang="en-US" altLang="zh-CN"/>
                      <a:t>3.5%</a:t>
                    </a:r>
                    <a:endParaRPr lang="en-US" altLang="zh-CN"/>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'2025'!$H$73:$L$73</c:f>
              <c:strCache>
                <c:ptCount val="5"/>
                <c:pt idx="0">
                  <c:v>审批中</c:v>
                </c:pt>
                <c:pt idx="1">
                  <c:v>执行中</c:v>
                </c:pt>
                <c:pt idx="2">
                  <c:v>待关闭</c:v>
                </c:pt>
                <c:pt idx="3">
                  <c:v>已关闭</c:v>
                </c:pt>
                <c:pt idx="4">
                  <c:v>已终止</c:v>
                </c:pt>
              </c:strCache>
            </c:strRef>
          </c:cat>
          <c:val>
            <c:numRef>
              <c:f>'2025'!$H$75:$L$75</c:f>
              <c:numCache>
                <c:formatCode>General</c:formatCode>
                <c:ptCount val="5"/>
                <c:pt idx="0">
                  <c:v>18</c:v>
                </c:pt>
                <c:pt idx="1">
                  <c:v>110</c:v>
                </c:pt>
                <c:pt idx="2">
                  <c:v>47</c:v>
                </c:pt>
                <c:pt idx="3">
                  <c:v>520</c:v>
                </c:pt>
                <c:pt idx="4">
                  <c:v>25</c:v>
                </c:pt>
              </c:numCache>
            </c:numRef>
          </c:val>
        </c:ser>
        <c:dLbls>
          <c:showLegendKey val="0"/>
          <c:showVal val="1"/>
          <c:showCatName val="0"/>
          <c:showSerName val="0"/>
          <c:showPercent val="0"/>
          <c:showBubbleSize val="0"/>
        </c:dLbls>
        <c:gapWidth val="100"/>
        <c:overlap val="-24"/>
        <c:axId val="399374799"/>
        <c:axId val="399367727"/>
      </c:barChart>
      <c:catAx>
        <c:axId val="399374799"/>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99367727"/>
        <c:crosses val="autoZero"/>
        <c:auto val="1"/>
        <c:lblAlgn val="ctr"/>
        <c:lblOffset val="100"/>
        <c:noMultiLvlLbl val="0"/>
      </c:catAx>
      <c:valAx>
        <c:axId val="39936772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99374799"/>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dTable>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644da156-8dd6-4593-8e37-9aa40164297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3.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4.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D44990-2727-4307-A159-915ACFC79881}">
  <ds:schemaRefs/>
</ds:datastoreItem>
</file>

<file path=docProps/app.xml><?xml version="1.0" encoding="utf-8"?>
<Properties xmlns="http://schemas.openxmlformats.org/officeDocument/2006/extended-properties" xmlns:vt="http://schemas.openxmlformats.org/officeDocument/2006/docPropsVTypes">
  <Template>Normal.dotm</Template>
  <Pages>9</Pages>
  <Words>395</Words>
  <Characters>411</Characters>
  <Lines>27</Lines>
  <Paragraphs>7</Paragraphs>
  <TotalTime>3802</TotalTime>
  <ScaleCrop>false</ScaleCrop>
  <LinksUpToDate>false</LinksUpToDate>
  <CharactersWithSpaces>417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2025-02-07T05:59:00Z</dcterms:created>
  <dc:creator>bo_liang</dc:creator>
  <cp:lastModifiedBy>YU</cp:lastModifiedBy>
  <cp:lastPrinted>2024-03-09T06:32:00Z</cp:lastPrinted>
  <dcterms:modified xsi:type="dcterms:W3CDTF">2026-04-30T07:21:27Z</dcterms:modified>
  <cp:revision>111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eyJoZGlkIjoiYjBkNzAxYzA3ODU3NzUzYThjYmIyMDMyNzA1MmYwODYiLCJ1c2VySWQiOiI4NzM2ODM2MDIifQ==</vt:lpwstr>
  </property>
  <property fmtid="{D5CDD505-2E9C-101B-9397-08002B2CF9AE}" pid="3" name="KSOProductBuildVer">
    <vt:lpwstr>2052-12.1.0.25865</vt:lpwstr>
  </property>
  <property fmtid="{D5CDD505-2E9C-101B-9397-08002B2CF9AE}" pid="4" name="ICV">
    <vt:lpwstr>0A9AAD05C68C4868987BA9A542FF2056_12</vt:lpwstr>
  </property>
</Properties>
</file>