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C78F7">
      <w:pPr>
        <w:spacing w:line="440" w:lineRule="exact"/>
        <w:jc w:val="center"/>
        <w:rPr>
          <w:rFonts w:ascii="Arial" w:hAnsi="Arial" w:cs="Arial"/>
          <w:sz w:val="24"/>
          <w:u w:val="single"/>
        </w:rPr>
      </w:pPr>
    </w:p>
    <w:p w14:paraId="7F052138">
      <w:pPr>
        <w:spacing w:line="440" w:lineRule="exact"/>
        <w:jc w:val="center"/>
        <w:rPr>
          <w:rFonts w:ascii="Arial" w:hAnsi="Arial" w:cs="Arial"/>
          <w:sz w:val="24"/>
        </w:rPr>
      </w:pPr>
    </w:p>
    <w:p w14:paraId="2A36BD6A">
      <w:pPr>
        <w:spacing w:line="440" w:lineRule="exact"/>
        <w:jc w:val="center"/>
        <w:rPr>
          <w:rFonts w:ascii="Arial" w:hAnsi="Arial" w:cs="Arial"/>
          <w:sz w:val="24"/>
        </w:rPr>
      </w:pPr>
    </w:p>
    <w:p w14:paraId="518BEDD0">
      <w:pPr>
        <w:spacing w:line="440" w:lineRule="exact"/>
        <w:jc w:val="center"/>
        <w:rPr>
          <w:rFonts w:ascii="Arial" w:hAnsi="Arial" w:cs="Arial"/>
          <w:sz w:val="24"/>
        </w:rPr>
      </w:pPr>
    </w:p>
    <w:p w14:paraId="7D31CE98">
      <w:pPr>
        <w:spacing w:line="440" w:lineRule="exact"/>
        <w:jc w:val="center"/>
        <w:rPr>
          <w:rFonts w:ascii="Arial" w:hAnsi="Arial" w:cs="Arial"/>
          <w:sz w:val="24"/>
        </w:rPr>
      </w:pPr>
    </w:p>
    <w:p w14:paraId="3F5D9131">
      <w:pPr>
        <w:spacing w:line="440" w:lineRule="exact"/>
        <w:jc w:val="center"/>
        <w:rPr>
          <w:rFonts w:ascii="Arial" w:hAnsi="Arial" w:cs="Arial"/>
          <w:sz w:val="24"/>
        </w:rPr>
      </w:pPr>
    </w:p>
    <w:p w14:paraId="4B42DF6C">
      <w:pPr>
        <w:spacing w:line="440" w:lineRule="exact"/>
        <w:jc w:val="center"/>
        <w:rPr>
          <w:rFonts w:ascii="Arial" w:hAnsi="Arial" w:cs="Arial"/>
          <w:sz w:val="24"/>
        </w:rPr>
      </w:pPr>
    </w:p>
    <w:p w14:paraId="1083A6C0">
      <w:pPr>
        <w:spacing w:line="440" w:lineRule="exact"/>
        <w:jc w:val="center"/>
        <w:rPr>
          <w:rFonts w:ascii="Arial" w:hAnsi="Arial" w:cs="Arial"/>
          <w:sz w:val="24"/>
        </w:rPr>
      </w:pPr>
    </w:p>
    <w:tbl>
      <w:tblPr>
        <w:tblStyle w:val="24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453"/>
        <w:gridCol w:w="3067"/>
      </w:tblGrid>
      <w:tr w14:paraId="02ED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shd w:val="clear" w:color="auto" w:fill="auto"/>
            <w:vAlign w:val="center"/>
          </w:tcPr>
          <w:p w14:paraId="59FD2CE4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bookmarkStart w:id="0" w:name="_Hlk59788560"/>
            <w:r>
              <w:rPr>
                <w:rFonts w:ascii="Arial" w:hAnsi="Arial" w:cs="Arial"/>
                <w:sz w:val="24"/>
              </w:rPr>
              <w:t>起草人/日期</w:t>
            </w:r>
          </w:p>
        </w:tc>
        <w:tc>
          <w:tcPr>
            <w:tcW w:w="1791" w:type="pct"/>
            <w:shd w:val="clear" w:color="auto" w:fill="auto"/>
            <w:vAlign w:val="center"/>
          </w:tcPr>
          <w:p w14:paraId="60B009E2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审核人/日期</w:t>
            </w:r>
          </w:p>
        </w:tc>
        <w:tc>
          <w:tcPr>
            <w:tcW w:w="1591" w:type="pct"/>
            <w:shd w:val="clear" w:color="auto" w:fill="auto"/>
            <w:vAlign w:val="center"/>
          </w:tcPr>
          <w:p w14:paraId="5C7801E2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批准人/日期</w:t>
            </w:r>
          </w:p>
        </w:tc>
      </w:tr>
      <w:tr w14:paraId="60CF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restart"/>
            <w:shd w:val="clear" w:color="auto" w:fill="auto"/>
            <w:vAlign w:val="center"/>
          </w:tcPr>
          <w:p w14:paraId="60BE5FE1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27121B2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restart"/>
            <w:shd w:val="clear" w:color="auto" w:fill="auto"/>
            <w:vAlign w:val="center"/>
          </w:tcPr>
          <w:p w14:paraId="492663CF">
            <w:pPr>
              <w:spacing w:line="3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5365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A218314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2AE6937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8071961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1E6C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44C6D95E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B8DB64E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69788EF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458E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29BBFAD4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B925A87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8A7B9C5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3A4D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58A0D1DA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C9F7568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7C67EF1E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4B80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77FC6A1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4BF3BE5E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60DAF89C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4C99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2BD45C3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229F9DF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1F63A40D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6DB0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C57799C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2E0FCA3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5C48BE13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2A3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70DD097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807DCC4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0AD0F9D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22D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07EC1FB7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88975D8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1C7A8217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tr w14:paraId="6F5A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2139857C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6C2ACB5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65685A3E">
            <w:pPr>
              <w:spacing w:line="300" w:lineRule="exact"/>
              <w:rPr>
                <w:rFonts w:ascii="Arial" w:hAnsi="Arial" w:cs="Arial"/>
                <w:sz w:val="24"/>
              </w:rPr>
            </w:pPr>
          </w:p>
        </w:tc>
      </w:tr>
      <w:bookmarkEnd w:id="0"/>
    </w:tbl>
    <w:p w14:paraId="2391F922">
      <w:pPr>
        <w:spacing w:line="300" w:lineRule="exact"/>
        <w:rPr>
          <w:rFonts w:ascii="Arial" w:hAnsi="Arial" w:cs="Arial"/>
          <w:sz w:val="24"/>
        </w:rPr>
      </w:pPr>
    </w:p>
    <w:p w14:paraId="3894CD68">
      <w:pPr>
        <w:rPr>
          <w:rFonts w:ascii="Arial" w:hAnsi="Arial" w:cs="Arial"/>
          <w:sz w:val="24"/>
        </w:rPr>
      </w:pPr>
    </w:p>
    <w:p w14:paraId="669FBEC3">
      <w:pPr>
        <w:rPr>
          <w:rFonts w:ascii="Arial" w:hAnsi="Arial" w:cs="Arial"/>
          <w:sz w:val="24"/>
        </w:rPr>
      </w:pPr>
    </w:p>
    <w:p w14:paraId="1E4B0ED1">
      <w:pPr>
        <w:rPr>
          <w:rFonts w:ascii="Arial" w:hAnsi="Arial" w:cs="Arial"/>
          <w:sz w:val="24"/>
        </w:rPr>
      </w:pPr>
    </w:p>
    <w:p w14:paraId="248F21FB">
      <w:pPr>
        <w:rPr>
          <w:rFonts w:ascii="Arial" w:hAnsi="Arial" w:cs="Arial"/>
          <w:sz w:val="24"/>
        </w:rPr>
      </w:pPr>
    </w:p>
    <w:p w14:paraId="407B4157">
      <w:pPr>
        <w:rPr>
          <w:rFonts w:ascii="Arial" w:hAnsi="Arial" w:cs="Arial"/>
          <w:sz w:val="24"/>
        </w:rPr>
      </w:pPr>
    </w:p>
    <w:p w14:paraId="72F6FEF8">
      <w:pPr>
        <w:rPr>
          <w:rFonts w:ascii="Arial" w:hAnsi="Arial" w:cs="Arial"/>
          <w:sz w:val="24"/>
        </w:rPr>
      </w:pPr>
    </w:p>
    <w:p w14:paraId="0C8296A3">
      <w:pPr>
        <w:rPr>
          <w:rFonts w:ascii="Arial" w:hAnsi="Arial" w:cs="Arial"/>
          <w:sz w:val="24"/>
        </w:rPr>
      </w:pPr>
    </w:p>
    <w:p w14:paraId="01991475">
      <w:pPr>
        <w:rPr>
          <w:rFonts w:ascii="Arial" w:hAnsi="Arial" w:cs="Arial"/>
          <w:bCs/>
          <w:sz w:val="24"/>
        </w:rPr>
      </w:pPr>
    </w:p>
    <w:p w14:paraId="0B5CF6DB">
      <w:pPr>
        <w:rPr>
          <w:rFonts w:ascii="Arial" w:hAnsi="Arial" w:cs="Arial"/>
          <w:bCs/>
          <w:sz w:val="24"/>
        </w:rPr>
      </w:pPr>
    </w:p>
    <w:p w14:paraId="5B285A3B">
      <w:pPr>
        <w:jc w:val="center"/>
        <w:rPr>
          <w:rFonts w:ascii="Arial" w:hAnsi="Arial" w:cs="Arial"/>
          <w:sz w:val="24"/>
        </w:rPr>
        <w:sectPr>
          <w:headerReference r:id="rId3" w:type="default"/>
          <w:footerReference r:id="rId4" w:type="default"/>
          <w:pgSz w:w="11906" w:h="16838"/>
          <w:pgMar w:top="1701" w:right="1134" w:bottom="851" w:left="1418" w:header="1871" w:footer="737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Arial"/>
          <w:bCs/>
          <w:sz w:val="24"/>
          <w:lang w:val="en-US" w:eastAsia="zh-CN"/>
        </w:rPr>
        <w:t>Xxxx</w:t>
      </w:r>
      <w:r>
        <w:rPr>
          <w:rFonts w:ascii="黑体" w:hAnsi="黑体" w:eastAsia="黑体" w:cs="Arial"/>
          <w:bCs/>
          <w:sz w:val="24"/>
        </w:rPr>
        <w:t>有限公司</w:t>
      </w:r>
    </w:p>
    <w:p w14:paraId="19715833">
      <w:pPr>
        <w:pStyle w:val="2"/>
        <w:keepLines w:val="0"/>
        <w:numPr>
          <w:ilvl w:val="0"/>
          <w:numId w:val="1"/>
        </w:numPr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概述</w:t>
      </w:r>
    </w:p>
    <w:p w14:paraId="392EEBFB">
      <w:pPr>
        <w:spacing w:line="400" w:lineRule="exact"/>
        <w:ind w:left="420" w:leftChars="200" w:firstLine="522" w:firstLineChars="225"/>
        <w:rPr>
          <w:rFonts w:ascii="Arial" w:hAnsi="Arial" w:cs="Arial"/>
          <w:sz w:val="24"/>
          <w:shd w:val="clear" w:color="auto" w:fill="FFFFFF"/>
        </w:rPr>
      </w:pPr>
      <w:r>
        <w:rPr>
          <w:rFonts w:ascii="Arial" w:hAnsi="Arial" w:cs="Arial"/>
          <w:spacing w:val="-4"/>
          <w:sz w:val="24"/>
        </w:rPr>
        <w:t>2025年1月1日至2025年12月31日，公司所有车间/部门共计发生偏差/</w:t>
      </w:r>
      <w:r>
        <w:rPr>
          <w:rFonts w:hint="eastAsia" w:ascii="Arial" w:hAnsi="Arial" w:cs="Arial"/>
          <w:spacing w:val="-4"/>
          <w:sz w:val="24"/>
        </w:rPr>
        <w:t>缺陷</w:t>
      </w:r>
      <w:r>
        <w:rPr>
          <w:rFonts w:ascii="Arial" w:hAnsi="Arial" w:cs="Arial"/>
          <w:spacing w:val="-4"/>
          <w:sz w:val="24"/>
        </w:rPr>
        <w:t>405次，来自于常规偏差、检验异常、自检、官方检查。</w:t>
      </w:r>
      <w:r>
        <w:rPr>
          <w:rFonts w:ascii="Arial" w:hAnsi="Arial" w:cs="Arial"/>
          <w:sz w:val="24"/>
          <w:shd w:val="clear" w:color="auto" w:fill="FFFFFF"/>
        </w:rPr>
        <w:t>偏差管理是药企质量管理体系中的关键环节，对于确保药品质量和生产过程的稳定性至关重要。</w:t>
      </w:r>
      <w:r>
        <w:rPr>
          <w:rFonts w:hint="eastAsia" w:ascii="Arial" w:hAnsi="Arial" w:cs="Arial"/>
          <w:sz w:val="24"/>
          <w:shd w:val="clear" w:color="auto" w:fill="FFFFFF"/>
        </w:rPr>
        <w:t xml:space="preserve"> </w:t>
      </w:r>
    </w:p>
    <w:p w14:paraId="6151C7B6">
      <w:pPr>
        <w:spacing w:line="400" w:lineRule="exact"/>
        <w:ind w:left="420" w:leftChars="200" w:firstLine="540" w:firstLineChars="225"/>
        <w:rPr>
          <w:rFonts w:ascii="Arial" w:hAnsi="Arial" w:cs="Arial"/>
          <w:spacing w:val="-4"/>
          <w:sz w:val="24"/>
        </w:rPr>
      </w:pPr>
      <w:r>
        <w:rPr>
          <w:rFonts w:ascii="Arial" w:hAnsi="Arial" w:cs="Arial"/>
          <w:sz w:val="24"/>
          <w:shd w:val="clear" w:color="auto" w:fill="FFFFFF"/>
        </w:rPr>
        <w:t>本报告旨在对2025年全公司范围内发生的偏差进行系统回顾、分析与总结</w:t>
      </w:r>
      <w:r>
        <w:rPr>
          <w:rFonts w:hint="eastAsia" w:ascii="Arial" w:hAnsi="Arial" w:cs="Arial"/>
          <w:sz w:val="24"/>
          <w:shd w:val="clear" w:color="auto" w:fill="FFFFFF"/>
        </w:rPr>
        <w:t>。</w:t>
      </w:r>
      <w:r>
        <w:rPr>
          <w:rFonts w:ascii="Arial" w:hAnsi="Arial" w:cs="Arial"/>
          <w:sz w:val="24"/>
          <w:shd w:val="clear" w:color="auto" w:fill="FFFFFF"/>
        </w:rPr>
        <w:t>评估偏差管理系统的有效性，</w:t>
      </w:r>
      <w:r>
        <w:rPr>
          <w:rFonts w:hint="eastAsia" w:ascii="Arial" w:hAnsi="Arial" w:cs="Arial"/>
          <w:sz w:val="24"/>
          <w:shd w:val="clear" w:color="auto" w:fill="FFFFFF"/>
        </w:rPr>
        <w:t>总结偏差管理系统运行状态，指出存在的系统性问题，</w:t>
      </w:r>
      <w:r>
        <w:rPr>
          <w:rFonts w:ascii="Arial" w:hAnsi="Arial" w:cs="Arial"/>
          <w:sz w:val="24"/>
          <w:shd w:val="clear" w:color="auto" w:fill="FFFFFF"/>
        </w:rPr>
        <w:t>并提出针对性的改进措施，</w:t>
      </w:r>
      <w:r>
        <w:rPr>
          <w:rFonts w:hint="eastAsia" w:ascii="Arial" w:hAnsi="Arial" w:cs="Arial"/>
          <w:sz w:val="24"/>
          <w:shd w:val="clear" w:color="auto" w:fill="FFFFFF"/>
        </w:rPr>
        <w:t>明确下一年度偏差防控的改进方向，</w:t>
      </w:r>
      <w:r>
        <w:rPr>
          <w:rFonts w:ascii="Arial" w:hAnsi="Arial" w:cs="Arial"/>
          <w:sz w:val="24"/>
          <w:shd w:val="clear" w:color="auto" w:fill="FFFFFF"/>
        </w:rPr>
        <w:t>为未来的质量管理工作提供依据。</w:t>
      </w:r>
    </w:p>
    <w:p w14:paraId="3874DB4B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2  2025年度偏差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/缺陷数据汇总</w:t>
      </w: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分析</w:t>
      </w:r>
    </w:p>
    <w:p w14:paraId="2593CCF6">
      <w:pPr>
        <w:pStyle w:val="33"/>
        <w:numPr>
          <w:ilvl w:val="1"/>
          <w:numId w:val="2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208280</wp:posOffset>
                </wp:positionV>
                <wp:extent cx="468630" cy="2940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2E424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年份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15pt;margin-top:16.4pt;height:23.15pt;width:36.9pt;z-index:251659264;mso-width-relative:page;mso-height-relative:page;" filled="f" stroked="f" coordsize="21600,21600" o:gfxdata="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bPuaXbAAAACQEAAA8AAAAAAAAAAQAgAAAAIgAAAGRy&#10;cy9kb3ducmV2LnhtbFBLAQIUABQAAAAIAIdO4kArDH9H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2E424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年份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黑体" w:cs="Arial"/>
          <w:color w:val="000000"/>
          <w:sz w:val="24"/>
        </w:rPr>
        <w:t xml:space="preserve"> 2025年偏差/缺陷的来源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557"/>
        <w:gridCol w:w="2383"/>
      </w:tblGrid>
      <w:tr w14:paraId="52FEEE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tcBorders>
              <w:tl2br w:val="single" w:color="auto" w:sz="4" w:space="0"/>
            </w:tcBorders>
            <w:vAlign w:val="center"/>
          </w:tcPr>
          <w:p w14:paraId="539CF6B1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67945</wp:posOffset>
                      </wp:positionV>
                      <wp:extent cx="468630" cy="294005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0E10B3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来源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9pt;margin-top:5.35pt;height:23.15pt;width:36.9pt;z-index:251661312;mso-width-relative:page;mso-height-relative:page;" filled="f" stroked="f" coordsize="21600,21600" o:gfxdata="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3BEiTYAAAABwEAAA8AAAAAAAAAAQAgAAAAIgAAAGRycy9k&#10;b3ducmV2LnhtbFBLAQIUABQAAAAIAIdO4kBxc7yvOwIAAGcEAAAOAAAAAAAAAAEAIAAAACcBAABk&#10;cnMvZTJvRG9jLnhtbFBLBQYAAAAABgAGAFkBAADU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80E10B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来源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7" w:type="dxa"/>
            <w:vAlign w:val="center"/>
          </w:tcPr>
          <w:p w14:paraId="47B0D4D8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2024</w:t>
            </w:r>
          </w:p>
        </w:tc>
        <w:tc>
          <w:tcPr>
            <w:tcW w:w="2383" w:type="dxa"/>
            <w:vAlign w:val="center"/>
          </w:tcPr>
          <w:p w14:paraId="65E23590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2025</w:t>
            </w:r>
          </w:p>
        </w:tc>
      </w:tr>
      <w:tr w14:paraId="7E0D16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191F9CFD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常规偏差</w:t>
            </w:r>
          </w:p>
        </w:tc>
        <w:tc>
          <w:tcPr>
            <w:tcW w:w="2557" w:type="dxa"/>
            <w:vAlign w:val="center"/>
          </w:tcPr>
          <w:p w14:paraId="6CD6488F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73AA8E0E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7C868B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571D53A6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检验异常</w:t>
            </w:r>
          </w:p>
        </w:tc>
        <w:tc>
          <w:tcPr>
            <w:tcW w:w="2557" w:type="dxa"/>
            <w:vAlign w:val="center"/>
          </w:tcPr>
          <w:p w14:paraId="1B1EF2D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0D567B99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4915EE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128239EA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自检</w:t>
            </w:r>
          </w:p>
        </w:tc>
        <w:tc>
          <w:tcPr>
            <w:tcW w:w="2557" w:type="dxa"/>
            <w:vAlign w:val="center"/>
          </w:tcPr>
          <w:p w14:paraId="28F48087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46F38F90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1D937E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50B53E2E">
            <w:pPr>
              <w:spacing w:before="93" w:beforeLines="30" w:line="4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官方检查</w:t>
            </w:r>
          </w:p>
        </w:tc>
        <w:tc>
          <w:tcPr>
            <w:tcW w:w="2557" w:type="dxa"/>
            <w:vAlign w:val="center"/>
          </w:tcPr>
          <w:p w14:paraId="541F3976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4CEC3A09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7879CE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79B8CD75">
            <w:pPr>
              <w:spacing w:before="93" w:beforeLines="30" w:line="4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客户审计</w:t>
            </w:r>
          </w:p>
        </w:tc>
        <w:tc>
          <w:tcPr>
            <w:tcW w:w="2557" w:type="dxa"/>
            <w:vAlign w:val="center"/>
          </w:tcPr>
          <w:p w14:paraId="41AEF558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700703E9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439947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830" w:type="dxa"/>
            <w:vAlign w:val="center"/>
          </w:tcPr>
          <w:p w14:paraId="73AAECEA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总计</w:t>
            </w:r>
          </w:p>
        </w:tc>
        <w:tc>
          <w:tcPr>
            <w:tcW w:w="2557" w:type="dxa"/>
            <w:vAlign w:val="center"/>
          </w:tcPr>
          <w:p w14:paraId="7F4FC75D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383" w:type="dxa"/>
            <w:vAlign w:val="center"/>
          </w:tcPr>
          <w:p w14:paraId="32A02C7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6EB1176F">
      <w:pPr>
        <w:spacing w:line="300" w:lineRule="auto"/>
        <w:ind w:left="708" w:leftChars="337"/>
        <w:rPr>
          <w:rFonts w:ascii="Arial" w:hAnsi="Arial" w:cs="Arial"/>
          <w:color w:val="000000"/>
          <w:sz w:val="24"/>
        </w:rPr>
      </w:pPr>
      <w:r>
        <w:drawing>
          <wp:inline distT="0" distB="0" distL="0" distR="0">
            <wp:extent cx="5077460" cy="2743200"/>
            <wp:effectExtent l="0" t="0" r="889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55C8EFB">
      <w:pPr>
        <w:pStyle w:val="12"/>
        <w:spacing w:line="400" w:lineRule="exact"/>
        <w:ind w:left="720" w:hanging="720" w:hangingChars="300"/>
        <w:jc w:val="both"/>
        <w:rPr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小结：从上表/图可知，</w:t>
      </w:r>
      <w:r>
        <w:rPr>
          <w:rFonts w:ascii="Arial" w:hAnsi="Arial" w:cs="Arial"/>
          <w:sz w:val="24"/>
          <w:shd w:val="clear" w:color="auto" w:fill="FFFFFF"/>
        </w:rPr>
        <w:t>2024年偏差/缺陷的总计数量为304</w:t>
      </w:r>
      <w:r>
        <w:rPr>
          <w:rFonts w:hint="eastAsia" w:ascii="Arial" w:hAnsi="Arial" w:cs="Arial"/>
          <w:sz w:val="24"/>
          <w:shd w:val="clear" w:color="auto" w:fill="FFFFFF"/>
        </w:rPr>
        <w:t>起</w:t>
      </w:r>
      <w:r>
        <w:rPr>
          <w:rFonts w:ascii="Arial" w:hAnsi="Arial" w:cs="Arial"/>
          <w:sz w:val="24"/>
          <w:shd w:val="clear" w:color="auto" w:fill="FFFFFF"/>
        </w:rPr>
        <w:t>，2025年的</w:t>
      </w:r>
      <w:r>
        <w:rPr>
          <w:rFonts w:hint="eastAsia" w:ascii="Arial" w:hAnsi="Arial" w:cs="Arial"/>
          <w:sz w:val="24"/>
          <w:shd w:val="clear" w:color="auto" w:fill="FFFFFF"/>
        </w:rPr>
        <w:t>偏差总数为</w:t>
      </w:r>
      <w:r>
        <w:rPr>
          <w:rFonts w:ascii="Arial" w:hAnsi="Arial" w:cs="Arial"/>
          <w:sz w:val="24"/>
          <w:shd w:val="clear" w:color="auto" w:fill="FFFFFF"/>
        </w:rPr>
        <w:t>405</w:t>
      </w:r>
      <w:r>
        <w:rPr>
          <w:rFonts w:hint="eastAsia" w:ascii="Arial" w:hAnsi="Arial" w:cs="Arial"/>
          <w:sz w:val="24"/>
          <w:shd w:val="clear" w:color="auto" w:fill="FFFFFF"/>
        </w:rPr>
        <w:t>起，2</w:t>
      </w:r>
      <w:r>
        <w:rPr>
          <w:rFonts w:ascii="Arial" w:hAnsi="Arial" w:cs="Arial"/>
          <w:sz w:val="24"/>
          <w:shd w:val="clear" w:color="auto" w:fill="FFFFFF"/>
        </w:rPr>
        <w:t>025</w:t>
      </w:r>
      <w:r>
        <w:rPr>
          <w:rFonts w:hint="eastAsia" w:ascii="Arial" w:hAnsi="Arial" w:cs="Arial"/>
          <w:sz w:val="24"/>
          <w:shd w:val="clear" w:color="auto" w:fill="FFFFFF"/>
        </w:rPr>
        <w:t>年总数量略有上升，</w:t>
      </w:r>
      <w:bookmarkStart w:id="1" w:name="_Hlk219386846"/>
      <w:r>
        <w:rPr>
          <w:rFonts w:hint="eastAsia" w:ascii="Arial" w:hAnsi="Arial" w:cs="Arial"/>
          <w:sz w:val="24"/>
          <w:shd w:val="clear" w:color="auto" w:fill="FFFFFF"/>
        </w:rPr>
        <w:t>主要体现在</w:t>
      </w:r>
      <w:r>
        <w:rPr>
          <w:rFonts w:hint="eastAsia"/>
          <w:sz w:val="24"/>
        </w:rPr>
        <w:t xml:space="preserve">常规偏差这一来源。 </w:t>
      </w:r>
      <w:r>
        <w:rPr>
          <w:rFonts w:hint="eastAsia" w:ascii="Arial" w:hAnsi="Arial" w:cs="Arial"/>
          <w:sz w:val="24"/>
          <w:shd w:val="clear" w:color="auto" w:fill="FFFFFF"/>
        </w:rPr>
        <w:t>2</w:t>
      </w:r>
      <w:r>
        <w:rPr>
          <w:rFonts w:ascii="Arial" w:hAnsi="Arial" w:cs="Arial"/>
          <w:sz w:val="24"/>
          <w:shd w:val="clear" w:color="auto" w:fill="FFFFFF"/>
        </w:rPr>
        <w:t>025.03</w:t>
      </w:r>
      <w:r>
        <w:rPr>
          <w:rFonts w:hint="eastAsia" w:ascii="Arial" w:hAnsi="Arial" w:cs="Arial"/>
          <w:sz w:val="24"/>
          <w:shd w:val="clear" w:color="auto" w:fill="FFFFFF"/>
        </w:rPr>
        <w:t>拿</w:t>
      </w:r>
      <w:r>
        <w:rPr>
          <w:rFonts w:hint="eastAsia" w:asciiTheme="minorEastAsia" w:hAnsiTheme="minorEastAsia" w:eastAsiaTheme="minorEastAsia"/>
          <w:sz w:val="24"/>
        </w:rPr>
        <w:t>到</w:t>
      </w:r>
      <w:r>
        <w:rPr>
          <w:rFonts w:hint="eastAsia" w:eastAsiaTheme="minorEastAsia"/>
          <w:sz w:val="24"/>
          <w:lang w:eastAsia="zh-CN"/>
        </w:rPr>
        <w:t>产品名（ll）</w:t>
      </w:r>
      <w:r>
        <w:rPr>
          <w:rFonts w:hint="eastAsia"/>
          <w:sz w:val="24"/>
        </w:rPr>
        <w:t>注射液的注册批件，各车间</w:t>
      </w:r>
      <w:r>
        <w:rPr>
          <w:rFonts w:hint="eastAsia"/>
          <w:sz w:val="24"/>
          <w:lang w:eastAsia="zh-CN"/>
        </w:rPr>
        <w:t>产品名（ll）</w:t>
      </w:r>
      <w:r>
        <w:rPr>
          <w:rFonts w:hint="eastAsia"/>
          <w:sz w:val="24"/>
        </w:rPr>
        <w:t>活化物、</w:t>
      </w:r>
      <w:r>
        <w:rPr>
          <w:rFonts w:hint="eastAsia"/>
          <w:sz w:val="24"/>
          <w:lang w:eastAsia="zh-CN"/>
        </w:rPr>
        <w:t>产品名（ll）</w:t>
      </w:r>
      <w:r>
        <w:rPr>
          <w:rFonts w:hint="eastAsia"/>
          <w:sz w:val="24"/>
        </w:rPr>
        <w:t>原料、</w:t>
      </w:r>
      <w:r>
        <w:rPr>
          <w:rFonts w:hint="eastAsia"/>
          <w:sz w:val="24"/>
          <w:lang w:eastAsia="zh-CN"/>
        </w:rPr>
        <w:t>产品名（ll）</w:t>
      </w:r>
      <w:bookmarkStart w:id="3" w:name="_GoBack"/>
      <w:r>
        <w:rPr>
          <w:rFonts w:hint="eastAsia"/>
          <w:sz w:val="24"/>
        </w:rPr>
        <w:t>注射液</w:t>
      </w:r>
      <w:bookmarkEnd w:id="3"/>
      <w:r>
        <w:rPr>
          <w:rFonts w:hint="eastAsia"/>
          <w:sz w:val="24"/>
        </w:rPr>
        <w:t>生产批次增加，因此质检部物料/成品的检测频次也随之增加，发生的偏差概率增大。</w:t>
      </w:r>
      <w:bookmarkEnd w:id="1"/>
    </w:p>
    <w:p w14:paraId="0E850F0D">
      <w:pPr>
        <w:pStyle w:val="33"/>
        <w:numPr>
          <w:ilvl w:val="1"/>
          <w:numId w:val="2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2025年度</w:t>
      </w:r>
      <w:r>
        <w:rPr>
          <w:rFonts w:hint="eastAsia" w:ascii="Arial" w:hAnsi="Arial" w:eastAsia="黑体" w:cs="Arial"/>
          <w:color w:val="000000"/>
          <w:sz w:val="24"/>
        </w:rPr>
        <w:t>常规</w:t>
      </w:r>
      <w:r>
        <w:rPr>
          <w:rFonts w:ascii="Arial" w:hAnsi="Arial" w:eastAsia="黑体" w:cs="Arial"/>
          <w:color w:val="000000"/>
          <w:sz w:val="24"/>
        </w:rPr>
        <w:t>偏差分析</w:t>
      </w:r>
    </w:p>
    <w:p w14:paraId="5CD086B8">
      <w:pPr>
        <w:spacing w:line="400" w:lineRule="exact"/>
        <w:ind w:left="600" w:hanging="600" w:hangingChars="250"/>
        <w:rPr>
          <w:rFonts w:ascii="Arial" w:hAnsi="Arial" w:cs="Arial"/>
          <w:color w:val="000000"/>
          <w:sz w:val="24"/>
        </w:rPr>
      </w:pPr>
      <w:r>
        <w:rPr>
          <w:rFonts w:hint="cs"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       2025.01.01-2025.12.31</w:t>
      </w:r>
      <w:r>
        <w:rPr>
          <w:rFonts w:hint="eastAsia" w:ascii="Arial" w:hAnsi="Arial" w:cs="Arial"/>
          <w:color w:val="000000"/>
          <w:sz w:val="24"/>
        </w:rPr>
        <w:t>，公司发生常规偏差共计xxx起，通过对每季度偏差数量，各部门偏差占比、偏差原因分类、偏差等级及重复性偏差进行分析，了解本年度偏差的情况。</w:t>
      </w:r>
    </w:p>
    <w:p w14:paraId="1264DD4F">
      <w:pPr>
        <w:pStyle w:val="33"/>
        <w:numPr>
          <w:ilvl w:val="2"/>
          <w:numId w:val="3"/>
        </w:numPr>
        <w:spacing w:line="400" w:lineRule="exact"/>
        <w:ind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每季度常规偏差数量分析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81"/>
        <w:gridCol w:w="1728"/>
        <w:gridCol w:w="1728"/>
        <w:gridCol w:w="1728"/>
      </w:tblGrid>
      <w:tr w14:paraId="7A4934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334921CC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季度</w:t>
            </w:r>
          </w:p>
        </w:tc>
        <w:tc>
          <w:tcPr>
            <w:tcW w:w="1481" w:type="dxa"/>
          </w:tcPr>
          <w:p w14:paraId="26BCC31F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发起数量</w:t>
            </w:r>
          </w:p>
        </w:tc>
        <w:tc>
          <w:tcPr>
            <w:tcW w:w="1728" w:type="dxa"/>
          </w:tcPr>
          <w:p w14:paraId="0324FFB0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终止数量</w:t>
            </w:r>
          </w:p>
        </w:tc>
        <w:tc>
          <w:tcPr>
            <w:tcW w:w="1728" w:type="dxa"/>
            <w:vAlign w:val="center"/>
          </w:tcPr>
          <w:p w14:paraId="17A24DC1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实际</w:t>
            </w:r>
            <w:r>
              <w:rPr>
                <w:rFonts w:ascii="Arial" w:hAnsi="Arial" w:cs="Arial"/>
                <w:color w:val="000000"/>
                <w:sz w:val="24"/>
              </w:rPr>
              <w:t>数量</w:t>
            </w:r>
          </w:p>
        </w:tc>
        <w:tc>
          <w:tcPr>
            <w:tcW w:w="1728" w:type="dxa"/>
            <w:vAlign w:val="center"/>
          </w:tcPr>
          <w:p w14:paraId="488D92E5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占比（%）</w:t>
            </w:r>
          </w:p>
        </w:tc>
      </w:tr>
      <w:tr w14:paraId="020DA9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656A66BD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第一季度</w:t>
            </w:r>
          </w:p>
        </w:tc>
        <w:tc>
          <w:tcPr>
            <w:tcW w:w="1481" w:type="dxa"/>
          </w:tcPr>
          <w:p w14:paraId="47788E69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</w:tcPr>
          <w:p w14:paraId="4CA276F0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DF45F37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62F592CD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25DF02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6137E37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第二季度</w:t>
            </w:r>
          </w:p>
        </w:tc>
        <w:tc>
          <w:tcPr>
            <w:tcW w:w="1481" w:type="dxa"/>
          </w:tcPr>
          <w:p w14:paraId="40C07048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</w:tcPr>
          <w:p w14:paraId="635F5B7C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81DCC02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6A2844A9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304162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777872A8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第三季度</w:t>
            </w:r>
          </w:p>
        </w:tc>
        <w:tc>
          <w:tcPr>
            <w:tcW w:w="1481" w:type="dxa"/>
          </w:tcPr>
          <w:p w14:paraId="707DDB6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</w:tcPr>
          <w:p w14:paraId="7664C0CC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62D3961C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6A328C68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69524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57715CBB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第四季度</w:t>
            </w:r>
          </w:p>
        </w:tc>
        <w:tc>
          <w:tcPr>
            <w:tcW w:w="1481" w:type="dxa"/>
          </w:tcPr>
          <w:p w14:paraId="3B0356E2">
            <w:pPr>
              <w:spacing w:before="93" w:beforeLines="30" w:line="4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28" w:type="dxa"/>
          </w:tcPr>
          <w:p w14:paraId="09AA0AD9">
            <w:pPr>
              <w:spacing w:before="93" w:beforeLines="30" w:line="4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2FF4C26">
            <w:pPr>
              <w:spacing w:before="93" w:beforeLines="30" w:line="4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07191BF5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4D092A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2031D4A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总计</w:t>
            </w:r>
          </w:p>
        </w:tc>
        <w:tc>
          <w:tcPr>
            <w:tcW w:w="1481" w:type="dxa"/>
          </w:tcPr>
          <w:p w14:paraId="5E95A58F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</w:tcPr>
          <w:p w14:paraId="443E96F4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2B75911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EE0B193">
            <w:pPr>
              <w:spacing w:before="93" w:beforeLines="30" w:line="44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07022386">
      <w:pPr>
        <w:spacing w:line="300" w:lineRule="auto"/>
        <w:ind w:left="708" w:hanging="708" w:hangingChars="295"/>
        <w:rPr>
          <w:rFonts w:ascii="Arial" w:hAnsi="Arial" w:cs="Arial"/>
          <w:color w:val="000000"/>
          <w:sz w:val="24"/>
        </w:rPr>
      </w:pPr>
    </w:p>
    <w:p w14:paraId="3F957ABF">
      <w:pPr>
        <w:tabs>
          <w:tab w:val="left" w:pos="1991"/>
        </w:tabs>
        <w:spacing w:line="300" w:lineRule="auto"/>
        <w:ind w:left="708" w:hanging="708" w:hangingChars="295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ab/>
      </w:r>
      <w:r>
        <w:drawing>
          <wp:inline distT="0" distB="0" distL="0" distR="0">
            <wp:extent cx="5038725" cy="2533650"/>
            <wp:effectExtent l="0" t="0" r="9525" b="0"/>
            <wp:docPr id="16" name="图表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6310F34">
      <w:pPr>
        <w:pStyle w:val="12"/>
        <w:spacing w:line="400" w:lineRule="exact"/>
        <w:ind w:left="720" w:hanging="720" w:hangingChars="300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color w:val="000000"/>
          <w:sz w:val="24"/>
        </w:rPr>
        <w:t>小结：从上图/表可知</w:t>
      </w:r>
      <w:r>
        <w:rPr>
          <w:rFonts w:ascii="Arial" w:hAnsi="Arial" w:cs="Arial"/>
          <w:sz w:val="24"/>
          <w:shd w:val="clear" w:color="auto" w:fill="FFFFFF"/>
        </w:rPr>
        <w:t>，</w:t>
      </w:r>
      <w:r>
        <w:rPr>
          <w:rFonts w:hint="eastAsia"/>
          <w:sz w:val="24"/>
        </w:rPr>
        <w:t>四个季度的偏差占比情况，第一季度比较少，其他三个季度占比差异不大，主要原因</w:t>
      </w:r>
      <w:r>
        <w:rPr>
          <w:rFonts w:hint="eastAsia" w:ascii="Arial" w:hAnsi="Arial" w:cs="Arial"/>
          <w:sz w:val="24"/>
          <w:shd w:val="clear" w:color="auto" w:fill="FFFFFF"/>
        </w:rPr>
        <w:t>2</w:t>
      </w:r>
      <w:r>
        <w:rPr>
          <w:rFonts w:ascii="Arial" w:hAnsi="Arial" w:cs="Arial"/>
          <w:sz w:val="24"/>
          <w:shd w:val="clear" w:color="auto" w:fill="FFFFFF"/>
        </w:rPr>
        <w:t>025.03</w:t>
      </w:r>
      <w:r>
        <w:rPr>
          <w:rFonts w:hint="eastAsia" w:ascii="Arial" w:hAnsi="Arial" w:cs="Arial"/>
          <w:sz w:val="24"/>
          <w:shd w:val="clear" w:color="auto" w:fill="FFFFFF"/>
        </w:rPr>
        <w:t>拿</w:t>
      </w:r>
      <w:r>
        <w:rPr>
          <w:rFonts w:hint="eastAsia" w:asciiTheme="minorEastAsia" w:hAnsiTheme="minorEastAsia" w:eastAsiaTheme="minorEastAsia"/>
          <w:sz w:val="24"/>
        </w:rPr>
        <w:t>到</w:t>
      </w:r>
      <w:r>
        <w:rPr>
          <w:rFonts w:hint="eastAsia" w:eastAsiaTheme="minorEastAsia"/>
          <w:sz w:val="24"/>
          <w:lang w:eastAsia="zh-CN"/>
        </w:rPr>
        <w:t>产品名（ll）</w:t>
      </w:r>
      <w:r>
        <w:rPr>
          <w:rFonts w:hint="eastAsia"/>
          <w:sz w:val="24"/>
        </w:rPr>
        <w:t>注射液的注册批件，各车间</w:t>
      </w:r>
      <w:r>
        <w:rPr>
          <w:rFonts w:hint="eastAsia"/>
          <w:sz w:val="24"/>
          <w:lang w:eastAsia="zh-CN"/>
        </w:rPr>
        <w:t>产品名（ll）</w:t>
      </w:r>
      <w:r>
        <w:rPr>
          <w:rFonts w:hint="eastAsia"/>
          <w:sz w:val="24"/>
        </w:rPr>
        <w:t>活化物、</w:t>
      </w:r>
      <w:r>
        <w:rPr>
          <w:rFonts w:hint="eastAsia"/>
          <w:sz w:val="24"/>
          <w:lang w:eastAsia="zh-CN"/>
        </w:rPr>
        <w:t>产品名（ll）</w:t>
      </w:r>
      <w:r>
        <w:rPr>
          <w:rFonts w:hint="eastAsia"/>
          <w:sz w:val="24"/>
        </w:rPr>
        <w:t>原料、</w:t>
      </w:r>
      <w:r>
        <w:rPr>
          <w:rFonts w:hint="eastAsia"/>
          <w:sz w:val="24"/>
          <w:lang w:eastAsia="zh-CN"/>
        </w:rPr>
        <w:t>产品名（ll）</w:t>
      </w:r>
      <w:r>
        <w:rPr>
          <w:rFonts w:hint="eastAsia"/>
          <w:sz w:val="24"/>
        </w:rPr>
        <w:t>注射液生产批次增加，因此质检部物料/成品的检测频次也随之增加，发生的偏差概率增大。</w:t>
      </w:r>
    </w:p>
    <w:p w14:paraId="445F810C">
      <w:pPr>
        <w:spacing w:line="400" w:lineRule="exact"/>
        <w:ind w:left="630" w:leftChars="300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hd w:val="clear" w:color="auto" w:fill="FFFFFF"/>
        </w:rPr>
        <w:t xml:space="preserve">    </w:t>
      </w:r>
    </w:p>
    <w:p w14:paraId="7B380FA0">
      <w:pPr>
        <w:pStyle w:val="33"/>
        <w:numPr>
          <w:ilvl w:val="2"/>
          <w:numId w:val="3"/>
        </w:numPr>
        <w:spacing w:line="400" w:lineRule="exact"/>
        <w:ind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常规</w:t>
      </w:r>
      <w:r>
        <w:rPr>
          <w:rFonts w:ascii="Arial" w:hAnsi="Arial" w:cs="Arial"/>
          <w:color w:val="000000"/>
          <w:sz w:val="24"/>
        </w:rPr>
        <w:t>偏差发生/负责部门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410"/>
        <w:gridCol w:w="2409"/>
      </w:tblGrid>
      <w:tr w14:paraId="3DDD15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l2br w:val="single" w:color="auto" w:sz="4" w:space="0"/>
            </w:tcBorders>
            <w:vAlign w:val="center"/>
          </w:tcPr>
          <w:p w14:paraId="306775EA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-26670</wp:posOffset>
                      </wp:positionV>
                      <wp:extent cx="468630" cy="294005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0C1F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年份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5.05pt;margin-top:-2.1pt;height:23.15pt;width:36.9pt;z-index:251660288;mso-width-relative:page;mso-height-relative:page;" filled="f" stroked="f" coordsize="21600,21600" o:gfxdata="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4+QrTaAAAACQEAAA8AAAAAAAAAAQAgAAAAIgAAAGRy&#10;cy9kb3ducmV2LnhtbFBLAQIUABQAAAAIAIdO4kCEi0ulPAIAAGcEAAAOAAAAAAAAAAEAIAAAACkB&#10;AABkcnMvZTJvRG9jLnhtbFBLBQYAAAAABgAGAFkBAADX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B50C1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年份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86995</wp:posOffset>
                      </wp:positionV>
                      <wp:extent cx="468630" cy="294005"/>
                      <wp:effectExtent l="0" t="0" r="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C4739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部门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pt;margin-top:6.85pt;height:23.15pt;width:36.9pt;z-index:251662336;mso-width-relative:page;mso-height-relative:page;" filled="f" stroked="f" coordsize="21600,21600" o:gfxdata="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xZX1dYAAAAFAQAADwAAAAAAAAABACAAAAAiAAAAZHJzL2Rv&#10;d25yZXYueG1sUEsBAhQAFAAAAAgAh07iQN70iE08AgAAZwQAAA4AAAAAAAAAAQAgAAAAJQEAAGRy&#10;cy9lMm9Eb2MueG1sUEsFBgAAAAAGAAYAWQEAANM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AC4739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部门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10" w:type="dxa"/>
            <w:vAlign w:val="center"/>
          </w:tcPr>
          <w:p w14:paraId="0C23688E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2</w:t>
            </w:r>
            <w:r>
              <w:rPr>
                <w:rFonts w:ascii="Arial" w:hAnsi="Arial" w:cs="Arial"/>
                <w:color w:val="000000"/>
                <w:sz w:val="24"/>
              </w:rPr>
              <w:t>024</w:t>
            </w:r>
            <w:r>
              <w:rPr>
                <w:rFonts w:hint="eastAsia" w:ascii="Arial" w:hAnsi="Arial" w:cs="Arial"/>
                <w:color w:val="000000"/>
                <w:sz w:val="24"/>
              </w:rPr>
              <w:t>年</w:t>
            </w:r>
          </w:p>
        </w:tc>
        <w:tc>
          <w:tcPr>
            <w:tcW w:w="2409" w:type="dxa"/>
            <w:vAlign w:val="center"/>
          </w:tcPr>
          <w:p w14:paraId="456EBB32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025</w:t>
            </w:r>
            <w:r>
              <w:rPr>
                <w:rFonts w:hint="eastAsia" w:ascii="Arial" w:hAnsi="Arial" w:cs="Arial"/>
                <w:sz w:val="24"/>
              </w:rPr>
              <w:t>年</w:t>
            </w:r>
          </w:p>
        </w:tc>
      </w:tr>
      <w:tr w14:paraId="08CA30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659EA59F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质检部</w:t>
            </w:r>
          </w:p>
        </w:tc>
        <w:tc>
          <w:tcPr>
            <w:tcW w:w="2410" w:type="dxa"/>
            <w:vAlign w:val="center"/>
          </w:tcPr>
          <w:p w14:paraId="1244A905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6F14D9A3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54FF39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4FBEB0B7">
            <w:pPr>
              <w:spacing w:before="93" w:beforeLines="30" w:line="400" w:lineRule="exact"/>
              <w:ind w:left="175" w:hanging="175" w:hangingChars="73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一车间</w:t>
            </w:r>
          </w:p>
        </w:tc>
        <w:tc>
          <w:tcPr>
            <w:tcW w:w="2410" w:type="dxa"/>
            <w:vAlign w:val="center"/>
          </w:tcPr>
          <w:p w14:paraId="618E359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27A9FAC2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233124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5E413BF4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合成车间</w:t>
            </w:r>
          </w:p>
        </w:tc>
        <w:tc>
          <w:tcPr>
            <w:tcW w:w="2410" w:type="dxa"/>
            <w:vAlign w:val="center"/>
          </w:tcPr>
          <w:p w14:paraId="07A5D9DC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00A374B7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20DB82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2F3F9977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质量保证部</w:t>
            </w:r>
          </w:p>
        </w:tc>
        <w:tc>
          <w:tcPr>
            <w:tcW w:w="2410" w:type="dxa"/>
            <w:vAlign w:val="center"/>
          </w:tcPr>
          <w:p w14:paraId="35EF2A8F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3340743F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451F0A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408C9C77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数字化管理部</w:t>
            </w:r>
          </w:p>
        </w:tc>
        <w:tc>
          <w:tcPr>
            <w:tcW w:w="2410" w:type="dxa"/>
            <w:vAlign w:val="center"/>
          </w:tcPr>
          <w:p w14:paraId="6D5B63E9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6614C3F3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5B6A27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52F12BEF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物控部</w:t>
            </w:r>
          </w:p>
        </w:tc>
        <w:tc>
          <w:tcPr>
            <w:tcW w:w="2410" w:type="dxa"/>
            <w:vAlign w:val="center"/>
          </w:tcPr>
          <w:p w14:paraId="092F53A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77A81F3A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061971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vAlign w:val="center"/>
          </w:tcPr>
          <w:p w14:paraId="12687C4F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工程设备部</w:t>
            </w:r>
          </w:p>
        </w:tc>
        <w:tc>
          <w:tcPr>
            <w:tcW w:w="2410" w:type="dxa"/>
            <w:vAlign w:val="center"/>
          </w:tcPr>
          <w:p w14:paraId="4D7595BA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409" w:type="dxa"/>
            <w:vAlign w:val="center"/>
          </w:tcPr>
          <w:p w14:paraId="32FDCECC">
            <w:pPr>
              <w:spacing w:before="93" w:beforeLines="30"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BFD420E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69BAD015">
      <w:pPr>
        <w:shd w:val="clear" w:color="auto" w:fill="FFFFFF"/>
        <w:spacing w:line="360" w:lineRule="auto"/>
        <w:ind w:left="850" w:leftChars="404" w:hanging="2" w:hangingChars="1"/>
        <w:rPr>
          <w:rFonts w:ascii="Arial" w:hAnsi="Arial" w:cs="Arial"/>
          <w:sz w:val="24"/>
          <w:shd w:val="clear" w:color="auto" w:fill="FFFFFF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358775</wp:posOffset>
            </wp:positionH>
            <wp:positionV relativeFrom="paragraph">
              <wp:posOffset>-24765</wp:posOffset>
            </wp:positionV>
            <wp:extent cx="5078095" cy="2743200"/>
            <wp:effectExtent l="0" t="0" r="8890" b="0"/>
            <wp:wrapNone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5D064803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09184728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1C80445D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3C17E04F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1639B492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64251659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7F4916FE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6AF17D51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6119C60E">
      <w:pPr>
        <w:shd w:val="clear" w:color="auto" w:fill="FFFFFF"/>
        <w:spacing w:line="360" w:lineRule="auto"/>
        <w:rPr>
          <w:rFonts w:ascii="Arial" w:hAnsi="Arial" w:cs="Arial"/>
          <w:sz w:val="24"/>
          <w:shd w:val="clear" w:color="auto" w:fill="FFFFFF"/>
        </w:rPr>
      </w:pPr>
    </w:p>
    <w:p w14:paraId="7424854A">
      <w:pPr>
        <w:shd w:val="clear" w:color="auto" w:fill="FFFFFF"/>
        <w:spacing w:line="360" w:lineRule="auto"/>
        <w:ind w:left="891" w:leftChars="270" w:hanging="324" w:hangingChars="135"/>
        <w:rPr>
          <w:rFonts w:ascii="Arial" w:hAnsi="Arial" w:cs="Arial"/>
          <w:sz w:val="24"/>
          <w:shd w:val="clear" w:color="auto" w:fill="FFFFFF"/>
        </w:rPr>
      </w:pPr>
    </w:p>
    <w:p w14:paraId="3BFB6A22">
      <w:pPr>
        <w:shd w:val="clear" w:color="auto" w:fill="FFFFFF"/>
        <w:spacing w:line="360" w:lineRule="auto"/>
        <w:ind w:right="848" w:rightChars="404" w:firstLine="420" w:firstLineChars="200"/>
        <w:jc w:val="right"/>
        <w:rPr>
          <w:rFonts w:ascii="Arial" w:hAnsi="Arial" w:cs="Arial"/>
          <w:sz w:val="24"/>
          <w:shd w:val="clear" w:color="auto" w:fill="FFFFFF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358775</wp:posOffset>
            </wp:positionH>
            <wp:positionV relativeFrom="paragraph">
              <wp:posOffset>41910</wp:posOffset>
            </wp:positionV>
            <wp:extent cx="5077460" cy="2967355"/>
            <wp:effectExtent l="0" t="0" r="8890" b="4445"/>
            <wp:wrapNone/>
            <wp:docPr id="20" name="图表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7223A8C2">
      <w:pPr>
        <w:shd w:val="clear" w:color="auto" w:fill="FFFFFF"/>
        <w:spacing w:line="300" w:lineRule="auto"/>
        <w:ind w:right="848" w:rightChars="404" w:firstLine="480" w:firstLineChars="200"/>
        <w:jc w:val="right"/>
        <w:rPr>
          <w:rFonts w:ascii="Arial" w:hAnsi="Arial" w:cs="Arial"/>
          <w:sz w:val="24"/>
          <w:shd w:val="clear" w:color="auto" w:fill="FFFFFF"/>
        </w:rPr>
      </w:pPr>
    </w:p>
    <w:p w14:paraId="042D9596">
      <w:pPr>
        <w:shd w:val="clear" w:color="auto" w:fill="FFFFFF"/>
        <w:spacing w:line="300" w:lineRule="auto"/>
        <w:ind w:right="848" w:rightChars="404" w:firstLine="480" w:firstLineChars="200"/>
        <w:jc w:val="right"/>
        <w:rPr>
          <w:rFonts w:ascii="Arial" w:hAnsi="Arial" w:cs="Arial"/>
          <w:sz w:val="24"/>
          <w:shd w:val="clear" w:color="auto" w:fill="FFFFFF"/>
        </w:rPr>
      </w:pPr>
    </w:p>
    <w:p w14:paraId="4A1D5933">
      <w:pPr>
        <w:shd w:val="clear" w:color="auto" w:fill="FFFFFF"/>
        <w:spacing w:line="300" w:lineRule="auto"/>
        <w:ind w:right="848" w:rightChars="404" w:firstLine="480" w:firstLineChars="200"/>
        <w:jc w:val="right"/>
        <w:rPr>
          <w:rFonts w:ascii="Arial" w:hAnsi="Arial" w:cs="Arial"/>
          <w:sz w:val="24"/>
          <w:shd w:val="clear" w:color="auto" w:fill="FFFFFF"/>
        </w:rPr>
      </w:pPr>
    </w:p>
    <w:p w14:paraId="7A0481A5">
      <w:pPr>
        <w:shd w:val="clear" w:color="auto" w:fill="FFFFFF"/>
        <w:spacing w:line="300" w:lineRule="auto"/>
        <w:ind w:right="848" w:rightChars="404" w:firstLine="480" w:firstLineChars="200"/>
        <w:jc w:val="right"/>
        <w:rPr>
          <w:rFonts w:ascii="Arial" w:hAnsi="Arial" w:cs="Arial"/>
          <w:sz w:val="24"/>
          <w:shd w:val="clear" w:color="auto" w:fill="FFFFFF"/>
        </w:rPr>
      </w:pPr>
    </w:p>
    <w:p w14:paraId="1130A735">
      <w:pPr>
        <w:pStyle w:val="12"/>
        <w:spacing w:line="400" w:lineRule="exact"/>
        <w:ind w:left="720" w:hanging="720" w:hangingChars="300"/>
        <w:jc w:val="both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hint="eastAsia" w:ascii="Arial" w:hAnsi="Arial" w:cs="Arial"/>
          <w:sz w:val="24"/>
          <w:shd w:val="clear" w:color="auto" w:fill="FFFFFF"/>
        </w:rPr>
        <w:t>2</w:t>
      </w:r>
      <w:r>
        <w:rPr>
          <w:rFonts w:ascii="Arial" w:hAnsi="Arial" w:cs="Arial"/>
          <w:sz w:val="24"/>
          <w:shd w:val="clear" w:color="auto" w:fill="FFFFFF"/>
        </w:rPr>
        <w:t>025</w:t>
      </w:r>
      <w:r>
        <w:rPr>
          <w:rFonts w:hint="eastAsia" w:ascii="Arial" w:hAnsi="Arial" w:cs="Arial"/>
          <w:sz w:val="24"/>
          <w:shd w:val="clear" w:color="auto" w:fill="FFFFFF"/>
        </w:rPr>
        <w:t>年常规偏差主要来源质检部，这主要源于该部门承担了大量的检测任务，且与液相、气相等高精密仪器的高频使用直接相关。数字化管理部门的偏差数量有所减少，其他部门的偏差数量变化不大，与2</w:t>
      </w:r>
      <w:r>
        <w:rPr>
          <w:rFonts w:ascii="Arial" w:hAnsi="Arial" w:cs="Arial"/>
          <w:sz w:val="24"/>
          <w:shd w:val="clear" w:color="auto" w:fill="FFFFFF"/>
        </w:rPr>
        <w:t>024</w:t>
      </w:r>
      <w:r>
        <w:rPr>
          <w:rFonts w:hint="eastAsia" w:ascii="Arial" w:hAnsi="Arial" w:cs="Arial"/>
          <w:sz w:val="24"/>
          <w:shd w:val="clear" w:color="auto" w:fill="FFFFFF"/>
        </w:rPr>
        <w:t>年数量基本持平。</w:t>
      </w:r>
    </w:p>
    <w:p w14:paraId="69998149">
      <w:pPr>
        <w:pStyle w:val="33"/>
        <w:numPr>
          <w:ilvl w:val="0"/>
          <w:numId w:val="4"/>
        </w:numPr>
        <w:shd w:val="clear" w:color="auto" w:fill="FFFFFF"/>
        <w:spacing w:line="400" w:lineRule="exact"/>
        <w:ind w:left="624" w:hanging="454" w:firstLineChars="0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sz w:val="24"/>
          <w:shd w:val="clear" w:color="auto" w:fill="FFFFFF"/>
        </w:rPr>
        <w:t>质检部发生偏差</w:t>
      </w:r>
      <w:r>
        <w:rPr>
          <w:rFonts w:ascii="Arial" w:hAnsi="Arial" w:cs="Arial"/>
          <w:sz w:val="24"/>
          <w:shd w:val="clear" w:color="auto" w:fill="FFFFFF"/>
        </w:rPr>
        <w:t>XX</w:t>
      </w:r>
      <w:r>
        <w:rPr>
          <w:rFonts w:hint="eastAsia" w:ascii="Arial" w:hAnsi="Arial" w:cs="Arial"/>
          <w:sz w:val="24"/>
          <w:shd w:val="clear" w:color="auto" w:fill="FFFFFF"/>
        </w:rPr>
        <w:t xml:space="preserve">起，占比 </w:t>
      </w:r>
      <w:r>
        <w:rPr>
          <w:rFonts w:ascii="Arial" w:hAnsi="Arial" w:cs="Arial"/>
          <w:sz w:val="24"/>
          <w:shd w:val="clear" w:color="auto" w:fill="FFFFFF"/>
        </w:rPr>
        <w:t xml:space="preserve">XX </w:t>
      </w:r>
      <w:r>
        <w:rPr>
          <w:rFonts w:hint="eastAsia" w:ascii="Arial" w:hAnsi="Arial" w:cs="Arial"/>
          <w:sz w:val="24"/>
          <w:shd w:val="clear" w:color="auto" w:fill="FFFFFF"/>
        </w:rPr>
        <w:t>，是偏差的主要来源。主要原因为：人员操作错误、未按要求操作、培训效果不佳等原因；仪器污染、硬件故障，参数设置不合理；操作规程、检验方法不完善、记录设计不合理。</w:t>
      </w:r>
    </w:p>
    <w:p w14:paraId="489EBC1C">
      <w:pPr>
        <w:pStyle w:val="33"/>
        <w:numPr>
          <w:ilvl w:val="2"/>
          <w:numId w:val="3"/>
        </w:numPr>
        <w:spacing w:line="380" w:lineRule="exact"/>
        <w:ind w:firstLineChars="0"/>
        <w:rPr>
          <w:rFonts w:ascii="Arial" w:hAnsi="Arial" w:cs="Arial"/>
          <w:sz w:val="24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165100</wp:posOffset>
                </wp:positionV>
                <wp:extent cx="715010" cy="301625"/>
                <wp:effectExtent l="0" t="0" r="0" b="317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2EC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原因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45pt;margin-top:13pt;height:23.75pt;width:56.3pt;z-index:251664384;mso-width-relative:page;mso-height-relative:page;" filled="f" stroked="f" coordsize="21600,21600" o:gfxdata="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GBLgtoAAAAIAQAADwAAAAAAAAABACAAAAAiAAAAZHJz&#10;L2Rvd25yZXYueG1sUEsBAhQAFAAAAAgAh07iQCK9ye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72EC3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原因</w:t>
                      </w:r>
                      <w:r>
                        <w:rPr>
                          <w:sz w:val="18"/>
                          <w:szCs w:val="18"/>
                        </w:rPr>
                        <w:t>分类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  <w:sz w:val="24"/>
        </w:rPr>
        <w:t>常规来源偏差原因分类</w:t>
      </w:r>
    </w:p>
    <w:tbl>
      <w:tblPr>
        <w:tblStyle w:val="25"/>
        <w:tblW w:w="892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073"/>
        <w:gridCol w:w="1073"/>
        <w:gridCol w:w="1073"/>
        <w:gridCol w:w="1074"/>
        <w:gridCol w:w="1073"/>
        <w:gridCol w:w="1073"/>
        <w:gridCol w:w="1074"/>
      </w:tblGrid>
      <w:tr w14:paraId="789518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413" w:type="dxa"/>
            <w:tcBorders>
              <w:tl2br w:val="single" w:color="auto" w:sz="4" w:space="0"/>
            </w:tcBorders>
            <w:vAlign w:val="center"/>
          </w:tcPr>
          <w:p w14:paraId="32D13F71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207645</wp:posOffset>
                      </wp:positionV>
                      <wp:extent cx="628015" cy="300990"/>
                      <wp:effectExtent l="0" t="0" r="0" b="381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" cy="300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307FC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年份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.6pt;margin-top:16.35pt;height:23.7pt;width:49.45pt;z-index:251663360;mso-width-relative:page;mso-height-relative:page;" filled="f" stroked="f" coordsize="21600,21600" o:gfxdata="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kjW8NkAAAAIAQAADwAAAAAAAAABACAAAAAiAAAAZHJz&#10;L2Rvd25yZXYueG1sUEsBAhQAFAAAAAgAh07iQFCC9q48AgAAZwQAAA4AAAAAAAAAAQAgAAAAKAEA&#10;AGRycy9lMm9Eb2MueG1sUEsFBgAAAAAGAAYAWQEAANY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6307F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年份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3" w:type="dxa"/>
            <w:vAlign w:val="center"/>
          </w:tcPr>
          <w:p w14:paraId="207BAF30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人</w:t>
            </w:r>
          </w:p>
        </w:tc>
        <w:tc>
          <w:tcPr>
            <w:tcW w:w="1073" w:type="dxa"/>
            <w:vAlign w:val="center"/>
          </w:tcPr>
          <w:p w14:paraId="43FC95CF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机</w:t>
            </w:r>
          </w:p>
        </w:tc>
        <w:tc>
          <w:tcPr>
            <w:tcW w:w="1073" w:type="dxa"/>
            <w:vAlign w:val="center"/>
          </w:tcPr>
          <w:p w14:paraId="4C0C0A14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料</w:t>
            </w:r>
          </w:p>
        </w:tc>
        <w:tc>
          <w:tcPr>
            <w:tcW w:w="1074" w:type="dxa"/>
            <w:vAlign w:val="center"/>
          </w:tcPr>
          <w:p w14:paraId="04EB7FFB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法</w:t>
            </w:r>
          </w:p>
        </w:tc>
        <w:tc>
          <w:tcPr>
            <w:tcW w:w="1073" w:type="dxa"/>
            <w:vAlign w:val="center"/>
          </w:tcPr>
          <w:p w14:paraId="59996413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环</w:t>
            </w:r>
          </w:p>
        </w:tc>
        <w:tc>
          <w:tcPr>
            <w:tcW w:w="1073" w:type="dxa"/>
            <w:vAlign w:val="center"/>
          </w:tcPr>
          <w:p w14:paraId="6CA106F7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其他</w:t>
            </w:r>
          </w:p>
        </w:tc>
        <w:tc>
          <w:tcPr>
            <w:tcW w:w="1074" w:type="dxa"/>
            <w:vAlign w:val="center"/>
          </w:tcPr>
          <w:p w14:paraId="61B4926A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未完成</w:t>
            </w:r>
          </w:p>
        </w:tc>
      </w:tr>
      <w:tr w14:paraId="6F9877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71A6B296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025</w:t>
            </w:r>
            <w:r>
              <w:rPr>
                <w:rFonts w:hint="eastAsia" w:ascii="Arial" w:hAnsi="Arial" w:cs="Arial"/>
                <w:sz w:val="24"/>
              </w:rPr>
              <w:t>年</w:t>
            </w:r>
          </w:p>
        </w:tc>
        <w:tc>
          <w:tcPr>
            <w:tcW w:w="1073" w:type="dxa"/>
            <w:vAlign w:val="center"/>
          </w:tcPr>
          <w:p w14:paraId="231E2033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3" w:type="dxa"/>
            <w:vAlign w:val="center"/>
          </w:tcPr>
          <w:p w14:paraId="55C61A2B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3" w:type="dxa"/>
            <w:vAlign w:val="center"/>
          </w:tcPr>
          <w:p w14:paraId="2BE6D510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4" w:type="dxa"/>
            <w:vAlign w:val="center"/>
          </w:tcPr>
          <w:p w14:paraId="5188A0CD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3" w:type="dxa"/>
            <w:vAlign w:val="center"/>
          </w:tcPr>
          <w:p w14:paraId="018DB816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3" w:type="dxa"/>
            <w:vAlign w:val="center"/>
          </w:tcPr>
          <w:p w14:paraId="34DBCEC7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74" w:type="dxa"/>
            <w:vAlign w:val="center"/>
          </w:tcPr>
          <w:p w14:paraId="2FCBF5EF">
            <w:pPr>
              <w:spacing w:before="93" w:beforeLines="30" w:line="38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0AC01734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  <w:r>
        <w:rPr>
          <w:rFonts w:hint="eastAsia" w:ascii="Arial" w:hAnsi="Arial" w:cs="Arial"/>
          <w:color w:val="222222"/>
          <w:szCs w:val="21"/>
        </w:rPr>
        <w:t>备注：统计数据截止2</w:t>
      </w:r>
      <w:r>
        <w:rPr>
          <w:rFonts w:ascii="Arial" w:hAnsi="Arial" w:cs="Arial"/>
          <w:color w:val="222222"/>
          <w:szCs w:val="21"/>
        </w:rPr>
        <w:t>026.01.10</w:t>
      </w:r>
      <w:r>
        <w:rPr>
          <w:rFonts w:hint="eastAsia" w:ascii="Arial" w:hAnsi="Arial" w:cs="Arial"/>
          <w:color w:val="222222"/>
          <w:szCs w:val="21"/>
        </w:rPr>
        <w:t>，已完成调查2</w:t>
      </w:r>
      <w:r>
        <w:rPr>
          <w:rFonts w:ascii="Arial" w:hAnsi="Arial" w:cs="Arial"/>
          <w:color w:val="222222"/>
          <w:szCs w:val="21"/>
        </w:rPr>
        <w:t>21</w:t>
      </w:r>
      <w:r>
        <w:rPr>
          <w:rFonts w:hint="eastAsia" w:ascii="Arial" w:hAnsi="Arial" w:cs="Arial"/>
          <w:color w:val="222222"/>
          <w:szCs w:val="21"/>
        </w:rPr>
        <w:t>，尚未明确根本原因分类，故未纳入统计，将持续跟进。</w:t>
      </w:r>
    </w:p>
    <w:p w14:paraId="58905ABA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605790</wp:posOffset>
            </wp:positionH>
            <wp:positionV relativeFrom="paragraph">
              <wp:posOffset>35560</wp:posOffset>
            </wp:positionV>
            <wp:extent cx="4572000" cy="2743200"/>
            <wp:effectExtent l="0" t="0" r="0" b="0"/>
            <wp:wrapNone/>
            <wp:docPr id="21" name="图表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780B9F70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0407E93D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526E9653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1B96FCA5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407FE26C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32CBC975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3221ABE9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60C43945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5E3F9AED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Cs w:val="21"/>
        </w:rPr>
      </w:pPr>
    </w:p>
    <w:p w14:paraId="14B1C1A2">
      <w:pPr>
        <w:widowControl/>
        <w:shd w:val="clear" w:color="auto" w:fill="FFFFFF"/>
        <w:spacing w:line="300" w:lineRule="auto"/>
        <w:jc w:val="center"/>
        <w:rPr>
          <w:rFonts w:ascii="Arial" w:hAnsi="Arial" w:cs="Arial"/>
          <w:color w:val="222222"/>
          <w:szCs w:val="21"/>
        </w:rPr>
      </w:pPr>
    </w:p>
    <w:p w14:paraId="62D51F65">
      <w:pPr>
        <w:pStyle w:val="12"/>
        <w:spacing w:line="400" w:lineRule="exact"/>
        <w:ind w:left="720" w:hanging="720" w:hangingChars="300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hint="eastAsia" w:ascii="Arial" w:hAnsi="Arial" w:cs="Arial"/>
          <w:color w:val="222222"/>
          <w:sz w:val="24"/>
        </w:rPr>
        <w:t>由上图/表可知，</w:t>
      </w:r>
    </w:p>
    <w:p w14:paraId="72F4B87F">
      <w:pPr>
        <w:pStyle w:val="33"/>
        <w:widowControl/>
        <w:numPr>
          <w:ilvl w:val="0"/>
          <w:numId w:val="5"/>
        </w:numPr>
        <w:shd w:val="clear" w:color="auto" w:fill="FFFFFF"/>
        <w:spacing w:line="400" w:lineRule="exact"/>
        <w:ind w:left="856" w:hanging="374" w:firstLineChars="0"/>
        <w:jc w:val="left"/>
        <w:rPr>
          <w:rFonts w:ascii="Arial" w:hAnsi="Arial" w:cs="Arial"/>
          <w:color w:val="222222"/>
          <w:sz w:val="24"/>
        </w:rPr>
      </w:pPr>
      <w:r>
        <w:rPr>
          <w:rFonts w:hint="eastAsia"/>
          <w:sz w:val="24"/>
        </w:rPr>
        <w:t>在已完成调查的</w:t>
      </w:r>
      <w:r>
        <w:rPr>
          <w:sz w:val="24"/>
        </w:rPr>
        <w:t>XX</w:t>
      </w:r>
      <w:r>
        <w:rPr>
          <w:rFonts w:hint="eastAsia"/>
          <w:sz w:val="24"/>
        </w:rPr>
        <w:t>起偏差中，“人”的因素导致的偏差</w:t>
      </w:r>
      <w:r>
        <w:rPr>
          <w:sz w:val="24"/>
        </w:rPr>
        <w:t>XX</w:t>
      </w:r>
      <w:r>
        <w:rPr>
          <w:rFonts w:hint="eastAsia"/>
          <w:sz w:val="24"/>
        </w:rPr>
        <w:t>起（占比38.58%），为首要原因，说明人员操作规范性、培训效果是当前质量控制中最不稳定的变量，也是重复性偏差的主要诱因。</w:t>
      </w:r>
    </w:p>
    <w:p w14:paraId="38F2DD31">
      <w:pPr>
        <w:pStyle w:val="33"/>
        <w:numPr>
          <w:ilvl w:val="2"/>
          <w:numId w:val="3"/>
        </w:numPr>
        <w:spacing w:line="380" w:lineRule="exact"/>
        <w:ind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常规偏差等级分类</w:t>
      </w:r>
    </w:p>
    <w:p w14:paraId="3EA066CB">
      <w:pPr>
        <w:pStyle w:val="33"/>
        <w:spacing w:line="380" w:lineRule="exact"/>
        <w:ind w:left="709" w:firstLine="0"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依据《偏差管理规程》</w:t>
      </w:r>
      <w:r>
        <w:rPr>
          <w:rFonts w:ascii="Arial" w:hAnsi="Arial" w:cs="Arial"/>
          <w:color w:val="000000"/>
          <w:sz w:val="24"/>
        </w:rPr>
        <w:t>GQA-G0076</w:t>
      </w:r>
      <w:r>
        <w:rPr>
          <w:rFonts w:hint="eastAsia" w:ascii="Arial" w:hAnsi="Arial" w:cs="Arial"/>
          <w:color w:val="000000"/>
          <w:sz w:val="24"/>
        </w:rPr>
        <w:t>（2</w:t>
      </w:r>
      <w:r>
        <w:rPr>
          <w:rFonts w:ascii="Arial" w:hAnsi="Arial" w:cs="Arial"/>
          <w:color w:val="000000"/>
          <w:sz w:val="24"/>
        </w:rPr>
        <w:t>.0</w:t>
      </w:r>
      <w:r>
        <w:rPr>
          <w:rFonts w:hint="eastAsia" w:ascii="Arial" w:hAnsi="Arial" w:cs="Arial"/>
          <w:color w:val="000000"/>
          <w:sz w:val="24"/>
        </w:rPr>
        <w:t>）的规定，根据对产品质量潜在的影响程度，偏差主要分成轻微偏差（低风险）、主要偏差（一般风险）、关键偏差（高危风险）。</w:t>
      </w:r>
    </w:p>
    <w:p w14:paraId="32B21EEB">
      <w:pPr>
        <w:pStyle w:val="33"/>
        <w:spacing w:line="380" w:lineRule="exact"/>
        <w:ind w:left="709" w:firstLine="0" w:firstLineChars="0"/>
        <w:rPr>
          <w:rFonts w:ascii="Arial" w:hAnsi="Arial" w:cs="Arial"/>
          <w:color w:val="000000"/>
          <w:sz w:val="24"/>
        </w:rPr>
      </w:pPr>
    </w:p>
    <w:p w14:paraId="4C92557D">
      <w:pPr>
        <w:pStyle w:val="33"/>
        <w:spacing w:line="380" w:lineRule="exact"/>
        <w:ind w:left="709" w:firstLine="0" w:firstLineChars="0"/>
        <w:rPr>
          <w:rFonts w:ascii="Arial" w:hAnsi="Arial" w:cs="Arial"/>
          <w:color w:val="000000"/>
          <w:sz w:val="24"/>
        </w:rPr>
      </w:pP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672"/>
        <w:gridCol w:w="1672"/>
        <w:gridCol w:w="1672"/>
        <w:gridCol w:w="1673"/>
      </w:tblGrid>
      <w:tr w14:paraId="583209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201D0E85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偏差等级</w:t>
            </w:r>
          </w:p>
        </w:tc>
        <w:tc>
          <w:tcPr>
            <w:tcW w:w="1672" w:type="dxa"/>
            <w:vAlign w:val="center"/>
          </w:tcPr>
          <w:p w14:paraId="4BD6836B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关键偏差</w:t>
            </w:r>
          </w:p>
          <w:p w14:paraId="15C2C32F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（重大偏差）</w:t>
            </w:r>
          </w:p>
        </w:tc>
        <w:tc>
          <w:tcPr>
            <w:tcW w:w="1672" w:type="dxa"/>
            <w:vAlign w:val="center"/>
          </w:tcPr>
          <w:p w14:paraId="66E2BAF1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主要偏差</w:t>
            </w:r>
          </w:p>
          <w:p w14:paraId="6BC6A4C2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（中等偏差）</w:t>
            </w:r>
          </w:p>
        </w:tc>
        <w:tc>
          <w:tcPr>
            <w:tcW w:w="1672" w:type="dxa"/>
            <w:vAlign w:val="center"/>
          </w:tcPr>
          <w:p w14:paraId="32D70823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轻微偏差</w:t>
            </w:r>
          </w:p>
          <w:p w14:paraId="3EAB99A4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（微小偏差）</w:t>
            </w:r>
          </w:p>
        </w:tc>
        <w:tc>
          <w:tcPr>
            <w:tcW w:w="1673" w:type="dxa"/>
            <w:vAlign w:val="center"/>
          </w:tcPr>
          <w:p w14:paraId="1338ABDD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未调查完成</w:t>
            </w:r>
          </w:p>
        </w:tc>
      </w:tr>
      <w:tr w14:paraId="22B557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12A1C864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数量</w:t>
            </w:r>
          </w:p>
        </w:tc>
        <w:tc>
          <w:tcPr>
            <w:tcW w:w="1672" w:type="dxa"/>
            <w:vAlign w:val="center"/>
          </w:tcPr>
          <w:p w14:paraId="6391539B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0</w:t>
            </w:r>
          </w:p>
        </w:tc>
        <w:tc>
          <w:tcPr>
            <w:tcW w:w="1672" w:type="dxa"/>
            <w:vAlign w:val="center"/>
          </w:tcPr>
          <w:p w14:paraId="594152C0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672" w:type="dxa"/>
            <w:vAlign w:val="center"/>
          </w:tcPr>
          <w:p w14:paraId="3A1069BD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673" w:type="dxa"/>
          </w:tcPr>
          <w:p w14:paraId="4D5B1A70">
            <w:pPr>
              <w:widowControl/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416D164D">
      <w:pPr>
        <w:widowControl/>
        <w:shd w:val="clear" w:color="auto" w:fill="FFFFFF"/>
        <w:spacing w:line="400" w:lineRule="exact"/>
        <w:ind w:left="1050" w:leftChars="200" w:hanging="630" w:hangingChars="300"/>
        <w:jc w:val="left"/>
        <w:rPr>
          <w:rFonts w:ascii="Arial" w:hAnsi="Arial" w:cs="Arial"/>
          <w:color w:val="000000"/>
          <w:szCs w:val="21"/>
        </w:rPr>
      </w:pPr>
      <w:r>
        <w:rPr>
          <w:rFonts w:hint="eastAsia" w:ascii="Arial" w:hAnsi="Arial" w:cs="Arial"/>
          <w:color w:val="000000"/>
          <w:szCs w:val="21"/>
        </w:rPr>
        <w:t>备注：数据统计截止到</w:t>
      </w:r>
      <w:r>
        <w:rPr>
          <w:rFonts w:ascii="Arial" w:hAnsi="Arial" w:cs="Arial"/>
          <w:color w:val="000000"/>
          <w:szCs w:val="21"/>
        </w:rPr>
        <w:t>2026.01.10</w:t>
      </w:r>
      <w:r>
        <w:rPr>
          <w:rFonts w:hint="eastAsia" w:ascii="Arial" w:hAnsi="Arial" w:cs="Arial"/>
          <w:color w:val="000000"/>
          <w:szCs w:val="21"/>
        </w:rPr>
        <w:t>。</w:t>
      </w:r>
    </w:p>
    <w:p w14:paraId="3BE02986">
      <w:pPr>
        <w:widowControl/>
        <w:shd w:val="clear" w:color="auto" w:fill="FFFFFF"/>
        <w:spacing w:line="400" w:lineRule="exact"/>
        <w:ind w:firstLine="420" w:firstLineChars="200"/>
        <w:jc w:val="left"/>
        <w:rPr>
          <w:rFonts w:ascii="Arial" w:hAnsi="Arial" w:cs="Arial"/>
          <w:color w:val="000000"/>
          <w:szCs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633095</wp:posOffset>
            </wp:positionH>
            <wp:positionV relativeFrom="paragraph">
              <wp:posOffset>85090</wp:posOffset>
            </wp:positionV>
            <wp:extent cx="5095875" cy="2638425"/>
            <wp:effectExtent l="0" t="0" r="9525" b="9525"/>
            <wp:wrapSquare wrapText="bothSides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</w:p>
    <w:p w14:paraId="07AAF446">
      <w:pPr>
        <w:widowControl/>
        <w:shd w:val="clear" w:color="auto" w:fill="FFFFFF"/>
        <w:spacing w:line="400" w:lineRule="exact"/>
        <w:ind w:firstLine="420" w:firstLineChars="200"/>
        <w:jc w:val="left"/>
        <w:rPr>
          <w:rFonts w:ascii="Arial" w:hAnsi="Arial" w:cs="Arial"/>
          <w:color w:val="000000"/>
          <w:szCs w:val="21"/>
        </w:rPr>
      </w:pPr>
    </w:p>
    <w:p w14:paraId="288477B3">
      <w:pPr>
        <w:widowControl/>
        <w:shd w:val="clear" w:color="auto" w:fill="FFFFFF"/>
        <w:spacing w:line="400" w:lineRule="exact"/>
        <w:ind w:firstLine="420" w:firstLineChars="200"/>
        <w:jc w:val="left"/>
        <w:rPr>
          <w:rFonts w:ascii="Arial" w:hAnsi="Arial" w:cs="Arial"/>
          <w:color w:val="000000"/>
          <w:szCs w:val="21"/>
        </w:rPr>
      </w:pPr>
    </w:p>
    <w:p w14:paraId="3F3B957F">
      <w:pPr>
        <w:widowControl/>
        <w:shd w:val="clear" w:color="auto" w:fill="FFFFFF"/>
        <w:spacing w:line="400" w:lineRule="exact"/>
        <w:ind w:firstLine="420" w:firstLineChars="200"/>
        <w:jc w:val="left"/>
        <w:rPr>
          <w:rFonts w:ascii="Arial" w:hAnsi="Arial" w:cs="Arial"/>
          <w:color w:val="000000"/>
          <w:szCs w:val="21"/>
        </w:rPr>
      </w:pPr>
    </w:p>
    <w:p w14:paraId="7D86130B">
      <w:pPr>
        <w:widowControl/>
        <w:shd w:val="clear" w:color="auto" w:fill="FFFFFF"/>
        <w:spacing w:line="400" w:lineRule="exact"/>
        <w:ind w:firstLine="420" w:firstLineChars="200"/>
        <w:jc w:val="left"/>
        <w:rPr>
          <w:rFonts w:ascii="Arial" w:hAnsi="Arial" w:cs="Arial"/>
          <w:color w:val="000000"/>
          <w:szCs w:val="21"/>
        </w:rPr>
      </w:pPr>
    </w:p>
    <w:p w14:paraId="68B1134F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color w:val="000000"/>
          <w:sz w:val="24"/>
        </w:rPr>
      </w:pPr>
    </w:p>
    <w:p w14:paraId="3D1F4311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color w:val="000000"/>
          <w:sz w:val="24"/>
        </w:rPr>
      </w:pPr>
    </w:p>
    <w:p w14:paraId="4605E88F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color w:val="000000"/>
          <w:sz w:val="24"/>
        </w:rPr>
      </w:pPr>
    </w:p>
    <w:p w14:paraId="7BDA8CA3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color w:val="000000"/>
          <w:sz w:val="24"/>
        </w:rPr>
      </w:pPr>
    </w:p>
    <w:p w14:paraId="12A6564F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color w:val="000000"/>
          <w:sz w:val="24"/>
        </w:rPr>
      </w:pPr>
    </w:p>
    <w:p w14:paraId="07587AAD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000000"/>
          <w:sz w:val="24"/>
        </w:rPr>
      </w:pPr>
    </w:p>
    <w:p w14:paraId="25DE0F3C">
      <w:pPr>
        <w:pStyle w:val="12"/>
        <w:spacing w:line="400" w:lineRule="exact"/>
        <w:ind w:left="720" w:hanging="720" w:hangingChars="30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小结：截止到</w:t>
      </w:r>
      <w:r>
        <w:rPr>
          <w:rFonts w:ascii="Arial" w:hAnsi="Arial" w:cs="Arial"/>
          <w:color w:val="000000"/>
          <w:sz w:val="24"/>
        </w:rPr>
        <w:t>2026.01.10</w:t>
      </w:r>
      <w:r>
        <w:rPr>
          <w:rFonts w:hint="eastAsia" w:ascii="Arial" w:hAnsi="Arial" w:cs="Arial"/>
          <w:color w:val="000000"/>
          <w:sz w:val="24"/>
        </w:rPr>
        <w:t>，完成调查并明确根本原因的偏差的共有</w:t>
      </w:r>
      <w:r>
        <w:rPr>
          <w:rFonts w:ascii="Arial" w:hAnsi="Arial" w:cs="Arial"/>
          <w:color w:val="000000"/>
          <w:sz w:val="24"/>
        </w:rPr>
        <w:t>XX</w:t>
      </w:r>
      <w:r>
        <w:rPr>
          <w:rFonts w:hint="eastAsia" w:ascii="Arial" w:hAnsi="Arial" w:cs="Arial"/>
          <w:color w:val="000000"/>
          <w:sz w:val="24"/>
        </w:rPr>
        <w:t>个，有</w:t>
      </w:r>
      <w:r>
        <w:rPr>
          <w:rFonts w:ascii="Arial" w:hAnsi="Arial" w:cs="Arial"/>
          <w:color w:val="000000"/>
          <w:sz w:val="24"/>
        </w:rPr>
        <w:t>XX</w:t>
      </w:r>
      <w:r>
        <w:rPr>
          <w:rFonts w:hint="eastAsia" w:ascii="Arial" w:hAnsi="Arial" w:cs="Arial"/>
          <w:color w:val="000000"/>
          <w:sz w:val="24"/>
        </w:rPr>
        <w:t>个偏差尚未完成调查，根本原因未明确及偏差影响评估未确认，无法进行偏差原因分类及等级确定，后续持续跟进。2</w:t>
      </w:r>
      <w:r>
        <w:rPr>
          <w:rFonts w:ascii="Arial" w:hAnsi="Arial" w:cs="Arial"/>
          <w:color w:val="000000"/>
          <w:sz w:val="24"/>
        </w:rPr>
        <w:t>025</w:t>
      </w:r>
      <w:r>
        <w:rPr>
          <w:rFonts w:hint="eastAsia" w:ascii="Arial" w:hAnsi="Arial" w:cs="Arial"/>
          <w:color w:val="000000"/>
          <w:sz w:val="24"/>
        </w:rPr>
        <w:t>年已完成调查的偏差中无关键偏差；主要偏差4起，占比1</w:t>
      </w:r>
      <w:r>
        <w:rPr>
          <w:rFonts w:ascii="Arial" w:hAnsi="Arial" w:cs="Arial"/>
          <w:color w:val="000000"/>
          <w:sz w:val="24"/>
        </w:rPr>
        <w:t>.81%</w:t>
      </w:r>
      <w:r>
        <w:rPr>
          <w:rFonts w:hint="eastAsia" w:ascii="Arial" w:hAnsi="Arial" w:cs="Arial"/>
          <w:color w:val="000000"/>
          <w:sz w:val="24"/>
        </w:rPr>
        <w:t>，主要涉及发酵生产与层析纯环节，影响生产的连续性、收率等，风险可控。轻微偏差</w:t>
      </w:r>
      <w:r>
        <w:rPr>
          <w:rFonts w:ascii="Arial" w:hAnsi="Arial" w:cs="Arial"/>
          <w:sz w:val="24"/>
        </w:rPr>
        <w:t>XX</w:t>
      </w:r>
      <w:r>
        <w:rPr>
          <w:rFonts w:hint="eastAsia" w:ascii="Arial" w:hAnsi="Arial" w:cs="Arial"/>
          <w:sz w:val="24"/>
        </w:rPr>
        <w:t>起，占比9</w:t>
      </w:r>
      <w:r>
        <w:rPr>
          <w:rFonts w:ascii="Arial" w:hAnsi="Arial" w:cs="Arial"/>
          <w:sz w:val="24"/>
        </w:rPr>
        <w:t>8.19%</w:t>
      </w:r>
      <w:r>
        <w:rPr>
          <w:rFonts w:hint="eastAsia" w:ascii="Arial" w:hAnsi="Arial" w:cs="Arial"/>
          <w:color w:val="000000"/>
          <w:sz w:val="24"/>
        </w:rPr>
        <w:t>。这部分属于细小对法规或程序的偏差，不影响最终的产品质量，风险较小。</w:t>
      </w:r>
    </w:p>
    <w:p w14:paraId="316771C4">
      <w:pPr>
        <w:pStyle w:val="33"/>
        <w:numPr>
          <w:ilvl w:val="2"/>
          <w:numId w:val="3"/>
        </w:numPr>
        <w:spacing w:line="380" w:lineRule="exact"/>
        <w:ind w:left="709" w:hanging="709"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重复性偏差</w:t>
      </w:r>
    </w:p>
    <w:p w14:paraId="02F3C47D">
      <w:pPr>
        <w:spacing w:line="400" w:lineRule="exact"/>
        <w:ind w:left="630" w:leftChars="300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w:t>根据《偏差管理规程》（文件编号：G</w:t>
      </w:r>
      <w:r>
        <w:rPr>
          <w:rFonts w:ascii="Arial" w:hAnsi="Arial" w:cs="Arial"/>
          <w:color w:val="000000"/>
          <w:sz w:val="24"/>
        </w:rPr>
        <w:t>QA-G0076(2.0)</w:t>
      </w:r>
      <w:r>
        <w:rPr>
          <w:rFonts w:hint="eastAsia" w:ascii="Arial" w:hAnsi="Arial" w:cs="Arial"/>
          <w:color w:val="000000"/>
          <w:sz w:val="24"/>
        </w:rPr>
        <w:t>）规定：</w:t>
      </w:r>
      <w:r>
        <w:rPr>
          <w:rFonts w:hint="eastAsia" w:ascii="Arial" w:hAnsi="Arial"/>
          <w:sz w:val="24"/>
        </w:rPr>
        <w:t>重复性偏差指的是在三个月内再次出现同一事件、同一根本原因的偏差。</w:t>
      </w:r>
    </w:p>
    <w:p w14:paraId="2F135DF5">
      <w:pPr>
        <w:pStyle w:val="33"/>
        <w:numPr>
          <w:ilvl w:val="2"/>
          <w:numId w:val="3"/>
        </w:numPr>
        <w:spacing w:line="400" w:lineRule="exact"/>
        <w:ind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>偏差的关闭情况</w:t>
      </w:r>
    </w:p>
    <w:p w14:paraId="11F48847">
      <w:pPr>
        <w:widowControl/>
        <w:shd w:val="clear" w:color="auto" w:fill="FFFFFF"/>
        <w:spacing w:line="400" w:lineRule="exact"/>
        <w:ind w:left="630" w:leftChars="30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以下统计2</w:t>
      </w:r>
      <w:r>
        <w:rPr>
          <w:rFonts w:ascii="Arial" w:hAnsi="Arial" w:cs="Arial"/>
          <w:color w:val="000000"/>
          <w:sz w:val="24"/>
        </w:rPr>
        <w:t>025</w:t>
      </w:r>
      <w:r>
        <w:rPr>
          <w:rFonts w:hint="eastAsia" w:ascii="Arial" w:hAnsi="Arial" w:cs="Arial"/>
          <w:color w:val="000000"/>
          <w:sz w:val="24"/>
        </w:rPr>
        <w:t>年常规偏差的关闭情况：</w:t>
      </w:r>
    </w:p>
    <w:tbl>
      <w:tblPr>
        <w:tblStyle w:val="25"/>
        <w:tblW w:w="9356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041"/>
        <w:gridCol w:w="2041"/>
        <w:gridCol w:w="2512"/>
      </w:tblGrid>
      <w:tr w14:paraId="788BEC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  <w:vAlign w:val="center"/>
          </w:tcPr>
          <w:p w14:paraId="03E569BA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偏差数量</w:t>
            </w:r>
          </w:p>
        </w:tc>
        <w:tc>
          <w:tcPr>
            <w:tcW w:w="2041" w:type="dxa"/>
            <w:vAlign w:val="center"/>
          </w:tcPr>
          <w:p w14:paraId="1315B55A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关闭数量</w:t>
            </w:r>
          </w:p>
        </w:tc>
        <w:tc>
          <w:tcPr>
            <w:tcW w:w="2041" w:type="dxa"/>
            <w:vAlign w:val="center"/>
          </w:tcPr>
          <w:p w14:paraId="42DAFAB0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延期关闭数量</w:t>
            </w:r>
          </w:p>
        </w:tc>
        <w:tc>
          <w:tcPr>
            <w:tcW w:w="2512" w:type="dxa"/>
            <w:vAlign w:val="center"/>
          </w:tcPr>
          <w:p w14:paraId="65D0063B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未关闭数量</w:t>
            </w:r>
          </w:p>
        </w:tc>
      </w:tr>
      <w:tr w14:paraId="486B63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2" w:type="dxa"/>
            <w:vAlign w:val="center"/>
          </w:tcPr>
          <w:p w14:paraId="2AFE1B36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041" w:type="dxa"/>
            <w:vAlign w:val="center"/>
          </w:tcPr>
          <w:p w14:paraId="7166BF8E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041" w:type="dxa"/>
            <w:vAlign w:val="center"/>
          </w:tcPr>
          <w:p w14:paraId="0DCF9BBB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512" w:type="dxa"/>
            <w:vAlign w:val="center"/>
          </w:tcPr>
          <w:p w14:paraId="70961332">
            <w:pPr>
              <w:widowControl/>
              <w:spacing w:line="480" w:lineRule="auto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34EB5F0E">
      <w:pPr>
        <w:spacing w:line="400" w:lineRule="exact"/>
        <w:ind w:left="720" w:hanging="720" w:hangingChars="300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ascii="Arial" w:hAnsi="Arial" w:cs="Arial"/>
          <w:sz w:val="24"/>
        </w:rPr>
        <w:t xml:space="preserve"> </w:t>
      </w:r>
    </w:p>
    <w:p w14:paraId="2C1CAD83">
      <w:pPr>
        <w:pStyle w:val="33"/>
        <w:numPr>
          <w:ilvl w:val="1"/>
          <w:numId w:val="2"/>
        </w:numPr>
        <w:spacing w:line="400" w:lineRule="exact"/>
        <w:ind w:left="0" w:firstLine="0" w:firstLineChars="0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>2</w:t>
      </w:r>
      <w:r>
        <w:rPr>
          <w:rFonts w:ascii="Arial" w:hAnsi="Arial" w:eastAsia="黑体" w:cs="Arial"/>
          <w:color w:val="000000"/>
          <w:sz w:val="24"/>
        </w:rPr>
        <w:t>025</w:t>
      </w:r>
      <w:r>
        <w:rPr>
          <w:rFonts w:hint="eastAsia" w:ascii="Arial" w:hAnsi="Arial" w:eastAsia="黑体" w:cs="Arial"/>
          <w:color w:val="000000"/>
          <w:sz w:val="24"/>
        </w:rPr>
        <w:t>年自检缺陷分析</w:t>
      </w:r>
    </w:p>
    <w:p w14:paraId="6D3357DC">
      <w:pPr>
        <w:spacing w:line="400" w:lineRule="exact"/>
        <w:ind w:left="420" w:leftChars="200" w:firstLine="58" w:firstLineChars="25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cs="Arial"/>
          <w:spacing w:val="-4"/>
          <w:sz w:val="24"/>
        </w:rPr>
        <w:t>2025</w:t>
      </w:r>
      <w:r>
        <w:rPr>
          <w:rFonts w:ascii="Arial" w:hAnsi="Arial" w:eastAsia="黑体" w:cs="Arial"/>
          <w:color w:val="000000"/>
          <w:sz w:val="24"/>
        </w:rPr>
        <w:t>.11.03-2025.11.07</w:t>
      </w:r>
      <w:r>
        <w:rPr>
          <w:rFonts w:hint="eastAsia" w:ascii="宋体" w:hAnsi="宋体" w:cs="Arial"/>
          <w:color w:val="000000"/>
          <w:sz w:val="24"/>
        </w:rPr>
        <w:t>，质量保证部组织本公司进行全面自检，本次自检共计发现缺陷</w:t>
      </w:r>
      <w:r>
        <w:rPr>
          <w:rFonts w:hint="eastAsia"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>3</w:t>
      </w:r>
      <w:r>
        <w:rPr>
          <w:rFonts w:hint="eastAsia" w:ascii="Arial" w:hAnsi="Arial" w:cs="Arial"/>
          <w:color w:val="000000"/>
          <w:sz w:val="24"/>
        </w:rPr>
        <w:t>项，均为一般缺陷，无主要、关键缺陷。缺陷分析详见下表/图。</w:t>
      </w:r>
      <w:r>
        <w:rPr>
          <w:rFonts w:hint="eastAsia" w:ascii="Arial" w:hAnsi="Arial" w:cs="Arial"/>
          <w:sz w:val="24"/>
        </w:rPr>
        <w:t>详细的报告见《</w:t>
      </w:r>
      <w:r>
        <w:rPr>
          <w:rFonts w:hint="eastAsia" w:ascii="Arial" w:hAnsi="Arial" w:cs="Arial"/>
          <w:sz w:val="24"/>
          <w:lang w:val="en-US" w:eastAsia="zh-CN"/>
        </w:rPr>
        <w:t>a</w:t>
      </w:r>
      <w:r>
        <w:rPr>
          <w:rFonts w:hint="eastAsia" w:ascii="Arial" w:hAnsi="Arial" w:cs="Arial"/>
          <w:sz w:val="24"/>
        </w:rPr>
        <w:t>有限公司</w:t>
      </w:r>
      <w:r>
        <w:rPr>
          <w:rFonts w:ascii="Arial" w:hAnsi="Arial" w:cs="Arial"/>
          <w:sz w:val="24"/>
        </w:rPr>
        <w:t>2025</w:t>
      </w:r>
      <w:r>
        <w:rPr>
          <w:rFonts w:hint="eastAsia" w:ascii="Arial" w:hAnsi="Arial" w:cs="Arial"/>
          <w:sz w:val="24"/>
        </w:rPr>
        <w:t>年度</w:t>
      </w:r>
      <w:r>
        <w:rPr>
          <w:rFonts w:ascii="Arial" w:hAnsi="Arial" w:cs="Arial"/>
          <w:sz w:val="24"/>
        </w:rPr>
        <w:t>GMP</w:t>
      </w:r>
      <w:r>
        <w:rPr>
          <w:rFonts w:hint="eastAsia" w:ascii="Arial" w:hAnsi="Arial" w:cs="Arial"/>
          <w:sz w:val="24"/>
        </w:rPr>
        <w:t>自检报告》（文件编号：G</w:t>
      </w:r>
      <w:r>
        <w:rPr>
          <w:rFonts w:ascii="Arial" w:hAnsi="Arial" w:cs="Arial"/>
          <w:sz w:val="24"/>
        </w:rPr>
        <w:t>R</w:t>
      </w:r>
      <w:r>
        <w:rPr>
          <w:rFonts w:hint="eastAsia" w:ascii="Arial" w:hAnsi="Arial" w:cs="Arial"/>
          <w:sz w:val="24"/>
        </w:rPr>
        <w:t>-</w:t>
      </w:r>
      <w:r>
        <w:rPr>
          <w:rFonts w:ascii="Arial" w:hAnsi="Arial" w:cs="Arial"/>
          <w:sz w:val="24"/>
        </w:rPr>
        <w:t>Q010001.04</w:t>
      </w:r>
      <w:r>
        <w:rPr>
          <w:rFonts w:hint="eastAsia" w:ascii="Arial" w:hAnsi="Arial" w:cs="Arial"/>
          <w:sz w:val="24"/>
        </w:rPr>
        <w:t>）。</w:t>
      </w:r>
    </w:p>
    <w:p w14:paraId="441DC705">
      <w:pPr>
        <w:pStyle w:val="33"/>
        <w:numPr>
          <w:ilvl w:val="2"/>
          <w:numId w:val="6"/>
        </w:numPr>
        <w:spacing w:after="156" w:afterLines="50" w:line="400" w:lineRule="exact"/>
        <w:ind w:firstLineChars="0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自检缺陷来源部门</w:t>
      </w:r>
    </w:p>
    <w:tbl>
      <w:tblPr>
        <w:tblStyle w:val="25"/>
        <w:tblW w:w="907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6"/>
      </w:tblGrid>
      <w:tr w14:paraId="1C4FC8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center"/>
          </w:tcPr>
          <w:p w14:paraId="33C70E3D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来源部门</w:t>
            </w:r>
          </w:p>
        </w:tc>
        <w:tc>
          <w:tcPr>
            <w:tcW w:w="825" w:type="dxa"/>
            <w:vAlign w:val="center"/>
          </w:tcPr>
          <w:p w14:paraId="767A1A9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一车间</w:t>
            </w:r>
          </w:p>
        </w:tc>
        <w:tc>
          <w:tcPr>
            <w:tcW w:w="825" w:type="dxa"/>
            <w:vAlign w:val="center"/>
          </w:tcPr>
          <w:p w14:paraId="455B0A4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合成车间</w:t>
            </w:r>
          </w:p>
        </w:tc>
        <w:tc>
          <w:tcPr>
            <w:tcW w:w="825" w:type="dxa"/>
            <w:vAlign w:val="center"/>
          </w:tcPr>
          <w:p w14:paraId="3081DF0D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3</w:t>
            </w:r>
            <w:r>
              <w:rPr>
                <w:rFonts w:ascii="Arial" w:hAnsi="Arial" w:cs="Arial"/>
                <w:color w:val="000000"/>
                <w:sz w:val="24"/>
              </w:rPr>
              <w:t>01</w:t>
            </w:r>
            <w:r>
              <w:rPr>
                <w:rFonts w:hint="eastAsia" w:ascii="Arial" w:hAnsi="Arial" w:cs="Arial"/>
                <w:color w:val="000000"/>
                <w:sz w:val="24"/>
              </w:rPr>
              <w:t>车间</w:t>
            </w:r>
          </w:p>
        </w:tc>
        <w:tc>
          <w:tcPr>
            <w:tcW w:w="825" w:type="dxa"/>
            <w:vAlign w:val="center"/>
          </w:tcPr>
          <w:p w14:paraId="730E7AA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物控部</w:t>
            </w:r>
          </w:p>
        </w:tc>
        <w:tc>
          <w:tcPr>
            <w:tcW w:w="825" w:type="dxa"/>
            <w:vAlign w:val="center"/>
          </w:tcPr>
          <w:p w14:paraId="50A6A76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质检部</w:t>
            </w:r>
          </w:p>
        </w:tc>
        <w:tc>
          <w:tcPr>
            <w:tcW w:w="825" w:type="dxa"/>
            <w:vAlign w:val="center"/>
          </w:tcPr>
          <w:p w14:paraId="2470F130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数字化管理部</w:t>
            </w:r>
          </w:p>
        </w:tc>
        <w:tc>
          <w:tcPr>
            <w:tcW w:w="825" w:type="dxa"/>
            <w:vAlign w:val="center"/>
          </w:tcPr>
          <w:p w14:paraId="1BE17EF4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药物警戒部</w:t>
            </w:r>
          </w:p>
        </w:tc>
        <w:tc>
          <w:tcPr>
            <w:tcW w:w="825" w:type="dxa"/>
          </w:tcPr>
          <w:p w14:paraId="0FC91EF6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工程设备部</w:t>
            </w:r>
          </w:p>
        </w:tc>
        <w:tc>
          <w:tcPr>
            <w:tcW w:w="825" w:type="dxa"/>
            <w:vAlign w:val="center"/>
          </w:tcPr>
          <w:p w14:paraId="34D0192E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质量保证部</w:t>
            </w:r>
          </w:p>
        </w:tc>
        <w:tc>
          <w:tcPr>
            <w:tcW w:w="826" w:type="dxa"/>
          </w:tcPr>
          <w:p w14:paraId="7284D1C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技术转移部</w:t>
            </w:r>
          </w:p>
        </w:tc>
      </w:tr>
      <w:tr w14:paraId="78809C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center"/>
          </w:tcPr>
          <w:p w14:paraId="3BC9D6F1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缺陷数量</w:t>
            </w:r>
          </w:p>
        </w:tc>
        <w:tc>
          <w:tcPr>
            <w:tcW w:w="825" w:type="dxa"/>
            <w:vAlign w:val="center"/>
          </w:tcPr>
          <w:p w14:paraId="4947BC5C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6011E2F9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78B38C82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292FB650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293D4439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2E6F0969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74C8DEA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18B4389E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5" w:type="dxa"/>
            <w:vAlign w:val="center"/>
          </w:tcPr>
          <w:p w14:paraId="5912A0E1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3AB1C7E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493F0676">
      <w:pPr>
        <w:spacing w:before="156" w:beforeLines="50" w:after="156" w:afterLines="50" w:line="400" w:lineRule="exac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 xml:space="preserve">.3.2 </w:t>
      </w:r>
      <w:r>
        <w:rPr>
          <w:rFonts w:hint="eastAsia" w:ascii="Arial" w:hAnsi="Arial" w:cs="Arial"/>
          <w:color w:val="000000"/>
          <w:sz w:val="24"/>
        </w:rPr>
        <w:t>自检缺陷原因分类</w:t>
      </w:r>
    </w:p>
    <w:tbl>
      <w:tblPr>
        <w:tblStyle w:val="25"/>
        <w:tblW w:w="921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316"/>
        <w:gridCol w:w="1316"/>
        <w:gridCol w:w="1316"/>
        <w:gridCol w:w="1316"/>
        <w:gridCol w:w="1316"/>
        <w:gridCol w:w="1317"/>
      </w:tblGrid>
      <w:tr w14:paraId="1CB94F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16" w:type="dxa"/>
            <w:vAlign w:val="center"/>
          </w:tcPr>
          <w:p w14:paraId="5F8529D1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原因分类</w:t>
            </w:r>
          </w:p>
        </w:tc>
        <w:tc>
          <w:tcPr>
            <w:tcW w:w="1316" w:type="dxa"/>
            <w:vAlign w:val="center"/>
          </w:tcPr>
          <w:p w14:paraId="12A212A4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人</w:t>
            </w:r>
          </w:p>
        </w:tc>
        <w:tc>
          <w:tcPr>
            <w:tcW w:w="1316" w:type="dxa"/>
            <w:vAlign w:val="center"/>
          </w:tcPr>
          <w:p w14:paraId="6EB1DDA4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机</w:t>
            </w:r>
          </w:p>
        </w:tc>
        <w:tc>
          <w:tcPr>
            <w:tcW w:w="1316" w:type="dxa"/>
            <w:vAlign w:val="center"/>
          </w:tcPr>
          <w:p w14:paraId="3890C208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料</w:t>
            </w:r>
          </w:p>
        </w:tc>
        <w:tc>
          <w:tcPr>
            <w:tcW w:w="1316" w:type="dxa"/>
            <w:vAlign w:val="center"/>
          </w:tcPr>
          <w:p w14:paraId="247084A6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法</w:t>
            </w:r>
          </w:p>
        </w:tc>
        <w:tc>
          <w:tcPr>
            <w:tcW w:w="1316" w:type="dxa"/>
            <w:vAlign w:val="center"/>
          </w:tcPr>
          <w:p w14:paraId="0B9DA2AF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环</w:t>
            </w:r>
          </w:p>
        </w:tc>
        <w:tc>
          <w:tcPr>
            <w:tcW w:w="1317" w:type="dxa"/>
            <w:vAlign w:val="center"/>
          </w:tcPr>
          <w:p w14:paraId="3976C6E7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其他</w:t>
            </w:r>
          </w:p>
        </w:tc>
      </w:tr>
      <w:tr w14:paraId="37E4A5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1316" w:type="dxa"/>
            <w:vAlign w:val="center"/>
          </w:tcPr>
          <w:p w14:paraId="0C319B4E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数量</w:t>
            </w:r>
          </w:p>
        </w:tc>
        <w:tc>
          <w:tcPr>
            <w:tcW w:w="1316" w:type="dxa"/>
            <w:vAlign w:val="center"/>
          </w:tcPr>
          <w:p w14:paraId="661FA67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316" w:type="dxa"/>
            <w:vAlign w:val="center"/>
          </w:tcPr>
          <w:p w14:paraId="67415C9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316" w:type="dxa"/>
            <w:vAlign w:val="center"/>
          </w:tcPr>
          <w:p w14:paraId="5189423A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316" w:type="dxa"/>
            <w:vAlign w:val="center"/>
          </w:tcPr>
          <w:p w14:paraId="19BE8835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316" w:type="dxa"/>
            <w:vAlign w:val="center"/>
          </w:tcPr>
          <w:p w14:paraId="3D7C2AA0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317" w:type="dxa"/>
            <w:vAlign w:val="center"/>
          </w:tcPr>
          <w:p w14:paraId="5F7C2001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6162C9B7">
      <w:pPr>
        <w:pStyle w:val="12"/>
        <w:spacing w:line="400" w:lineRule="exact"/>
        <w:ind w:left="720" w:hanging="720" w:hangingChars="300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hint="eastAsia" w:ascii="Arial" w:hAnsi="Arial" w:cs="Arial"/>
          <w:color w:val="000000"/>
          <w:sz w:val="24"/>
          <w:lang w:val="zh-CN"/>
        </w:rPr>
        <w:t>由上表可知，人员和方法的问题是质量改进的主要对象，其中人员因素的缺陷问题有：人员对文件理解不充分导致的记录书写错误、标识不到位、负责部门管理不到位；方法因素的缺陷问题有：文件规定不完善、缺少配套记录、方法规定与实际操作不一致</w:t>
      </w:r>
      <w:r>
        <w:rPr>
          <w:rStyle w:val="30"/>
          <w:rFonts w:hint="eastAsia"/>
        </w:rPr>
        <w:t>。</w:t>
      </w:r>
      <w:r>
        <w:rPr>
          <w:rFonts w:hint="eastAsia" w:ascii="Arial" w:hAnsi="Arial" w:cs="Arial"/>
          <w:color w:val="000000"/>
          <w:sz w:val="24"/>
          <w:lang w:val="zh-CN"/>
        </w:rPr>
        <w:t>对于本次自检发现的问题，均制定纠正预防措施，通过现场Q</w:t>
      </w:r>
      <w:r>
        <w:rPr>
          <w:rFonts w:ascii="Arial" w:hAnsi="Arial" w:cs="Arial"/>
          <w:color w:val="000000"/>
          <w:sz w:val="24"/>
          <w:lang w:val="zh-CN"/>
        </w:rPr>
        <w:t>A</w:t>
      </w:r>
      <w:r>
        <w:rPr>
          <w:rFonts w:hint="eastAsia" w:ascii="Arial" w:hAnsi="Arial" w:cs="Arial"/>
          <w:color w:val="000000"/>
          <w:sz w:val="24"/>
          <w:lang w:val="zh-CN"/>
        </w:rPr>
        <w:t>跟进并且定期回顾、检查确认纠正预防措施的落实情况，持续改进生产、质量管理的符合性，使体系内各系统持续合规。</w:t>
      </w:r>
    </w:p>
    <w:p w14:paraId="2EC9ABEE">
      <w:pPr>
        <w:spacing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>2</w:t>
      </w:r>
      <w:r>
        <w:rPr>
          <w:rFonts w:ascii="Arial" w:hAnsi="Arial" w:eastAsia="黑体" w:cs="Arial"/>
          <w:color w:val="000000"/>
          <w:sz w:val="24"/>
        </w:rPr>
        <w:t xml:space="preserve">.4  </w:t>
      </w:r>
      <w:r>
        <w:rPr>
          <w:rFonts w:hint="eastAsia" w:ascii="Arial" w:hAnsi="Arial" w:eastAsia="黑体" w:cs="Arial"/>
          <w:color w:val="000000"/>
          <w:sz w:val="24"/>
        </w:rPr>
        <w:t>官方检查缺陷</w:t>
      </w:r>
    </w:p>
    <w:p w14:paraId="66C9AA53">
      <w:pPr>
        <w:spacing w:line="400" w:lineRule="exact"/>
        <w:ind w:left="473" w:leftChars="225"/>
        <w:rPr>
          <w:rFonts w:ascii="Arial" w:hAnsi="Arial" w:cs="Arial"/>
          <w:sz w:val="24"/>
        </w:rPr>
      </w:pPr>
      <w:r>
        <w:rPr>
          <w:rFonts w:hint="eastAsia" w:ascii="Arial" w:hAnsi="Arial" w:cs="Arial"/>
          <w:sz w:val="24"/>
        </w:rPr>
        <w:t xml:space="preserve"> </w:t>
      </w:r>
      <w:r>
        <w:rPr>
          <w:rFonts w:ascii="Arial" w:hAnsi="Arial" w:cs="Arial"/>
          <w:spacing w:val="-4"/>
          <w:sz w:val="24"/>
        </w:rPr>
        <w:t>2025</w:t>
      </w:r>
      <w:r>
        <w:rPr>
          <w:rFonts w:hint="eastAsia" w:ascii="Arial" w:hAnsi="Arial" w:cs="Arial"/>
          <w:sz w:val="24"/>
        </w:rPr>
        <w:t>年共接受了4次官方检查，涉及</w:t>
      </w:r>
      <w:r>
        <w:rPr>
          <w:rFonts w:hint="eastAsia" w:ascii="Arial" w:hAnsi="Arial" w:cs="Arial"/>
          <w:sz w:val="24"/>
          <w:lang w:val="en-US" w:eastAsia="zh-CN"/>
        </w:rPr>
        <w:t>a</w:t>
      </w:r>
      <w:r>
        <w:rPr>
          <w:rFonts w:hint="eastAsia" w:ascii="Arial" w:hAnsi="Arial" w:cs="Arial"/>
          <w:sz w:val="24"/>
        </w:rPr>
        <w:t>公司GMP符合性现场检查缺陷，按《官方检查及审计缺陷整改管理规程》（文件编号G</w:t>
      </w:r>
      <w:r>
        <w:rPr>
          <w:rFonts w:ascii="Arial" w:hAnsi="Arial" w:cs="Arial"/>
          <w:sz w:val="24"/>
        </w:rPr>
        <w:t>QA-G0095</w:t>
      </w:r>
      <w:r>
        <w:rPr>
          <w:rFonts w:hint="eastAsia" w:ascii="Arial" w:hAnsi="Arial" w:cs="Arial"/>
          <w:sz w:val="24"/>
        </w:rPr>
        <w:t>（2</w:t>
      </w:r>
      <w:r>
        <w:rPr>
          <w:rFonts w:ascii="Arial" w:hAnsi="Arial" w:cs="Arial"/>
          <w:sz w:val="24"/>
        </w:rPr>
        <w:t>.0</w:t>
      </w:r>
      <w:r>
        <w:rPr>
          <w:rFonts w:hint="eastAsia" w:ascii="Arial" w:hAnsi="Arial" w:cs="Arial"/>
          <w:sz w:val="24"/>
        </w:rPr>
        <w:t>））进行缺陷编号共6</w:t>
      </w:r>
      <w:r>
        <w:rPr>
          <w:rFonts w:ascii="Arial" w:hAnsi="Arial" w:cs="Arial"/>
          <w:sz w:val="24"/>
        </w:rPr>
        <w:t>3</w:t>
      </w:r>
      <w:r>
        <w:rPr>
          <w:rFonts w:hint="eastAsia" w:ascii="Arial" w:hAnsi="Arial" w:cs="Arial"/>
          <w:sz w:val="24"/>
        </w:rPr>
        <w:t>例。检查情况如下：</w:t>
      </w:r>
    </w:p>
    <w:tbl>
      <w:tblPr>
        <w:tblStyle w:val="25"/>
        <w:tblW w:w="9344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984"/>
        <w:gridCol w:w="2270"/>
        <w:gridCol w:w="2833"/>
        <w:gridCol w:w="844"/>
      </w:tblGrid>
      <w:tr w14:paraId="1DE23A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13" w:type="dxa"/>
            <w:vAlign w:val="center"/>
          </w:tcPr>
          <w:p w14:paraId="12DB9650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检查时间</w:t>
            </w:r>
          </w:p>
        </w:tc>
        <w:tc>
          <w:tcPr>
            <w:tcW w:w="1984" w:type="dxa"/>
            <w:vAlign w:val="center"/>
          </w:tcPr>
          <w:p w14:paraId="0D22283F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检查品种</w:t>
            </w:r>
          </w:p>
        </w:tc>
        <w:tc>
          <w:tcPr>
            <w:tcW w:w="2270" w:type="dxa"/>
            <w:vAlign w:val="center"/>
          </w:tcPr>
          <w:p w14:paraId="777C946D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检查事项</w:t>
            </w:r>
          </w:p>
        </w:tc>
        <w:tc>
          <w:tcPr>
            <w:tcW w:w="2833" w:type="dxa"/>
            <w:vAlign w:val="center"/>
          </w:tcPr>
          <w:p w14:paraId="4A2D5618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详见报告</w:t>
            </w:r>
          </w:p>
        </w:tc>
        <w:tc>
          <w:tcPr>
            <w:tcW w:w="844" w:type="dxa"/>
          </w:tcPr>
          <w:p w14:paraId="726EC0AA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 w:cs="Arial"/>
                <w:color w:val="000000"/>
                <w:szCs w:val="21"/>
              </w:rPr>
              <w:t>缺陷数量</w:t>
            </w:r>
          </w:p>
        </w:tc>
      </w:tr>
      <w:tr w14:paraId="0028F7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0AE7A357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372083C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270" w:type="dxa"/>
            <w:vAlign w:val="center"/>
          </w:tcPr>
          <w:p w14:paraId="02AE6005">
            <w:pPr>
              <w:spacing w:line="240" w:lineRule="atLeas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833" w:type="dxa"/>
          </w:tcPr>
          <w:p w14:paraId="3F1BA6C5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78B2D882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7410E6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3E998E80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3FC9E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270" w:type="dxa"/>
            <w:vAlign w:val="center"/>
          </w:tcPr>
          <w:p w14:paraId="63218095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833" w:type="dxa"/>
          </w:tcPr>
          <w:p w14:paraId="151D521A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2D676EC2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1FE207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vAlign w:val="center"/>
          </w:tcPr>
          <w:p w14:paraId="476AE7BA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B489F50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270" w:type="dxa"/>
            <w:vAlign w:val="center"/>
          </w:tcPr>
          <w:p w14:paraId="4440690E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833" w:type="dxa"/>
          </w:tcPr>
          <w:p w14:paraId="4EB5A523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5C14AA9C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1DCC0A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bottom w:val="single" w:color="auto" w:sz="4" w:space="0"/>
            </w:tcBorders>
            <w:vAlign w:val="center"/>
          </w:tcPr>
          <w:p w14:paraId="3D55EB9B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243C661D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270" w:type="dxa"/>
            <w:tcBorders>
              <w:bottom w:val="single" w:color="auto" w:sz="4" w:space="0"/>
            </w:tcBorders>
            <w:vAlign w:val="center"/>
          </w:tcPr>
          <w:p w14:paraId="20CA45FB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833" w:type="dxa"/>
            <w:tcBorders>
              <w:bottom w:val="single" w:color="auto" w:sz="4" w:space="0"/>
            </w:tcBorders>
          </w:tcPr>
          <w:p w14:paraId="2540E0E7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44" w:type="dxa"/>
            <w:tcBorders>
              <w:bottom w:val="single" w:color="auto" w:sz="4" w:space="0"/>
            </w:tcBorders>
            <w:vAlign w:val="center"/>
          </w:tcPr>
          <w:p w14:paraId="3C2620FB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14:paraId="743A67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852E2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0AF93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D0545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DFD78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C5D76">
            <w:pPr>
              <w:spacing w:line="240" w:lineRule="atLeast"/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</w:tr>
    </w:tbl>
    <w:p w14:paraId="08252DDB">
      <w:pPr>
        <w:spacing w:after="156" w:afterLines="50" w:line="400" w:lineRule="exact"/>
        <w:rPr>
          <w:rFonts w:ascii="Arial" w:hAnsi="Arial" w:cs="Arial"/>
          <w:color w:val="000000"/>
          <w:sz w:val="24"/>
        </w:rPr>
      </w:pPr>
    </w:p>
    <w:p w14:paraId="5836C732">
      <w:pPr>
        <w:spacing w:after="156" w:afterLines="50" w:line="400" w:lineRule="exac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>.4.1.</w:t>
      </w:r>
      <w:r>
        <w:rPr>
          <w:rFonts w:hint="eastAsia" w:ascii="Arial" w:hAnsi="Arial" w:cs="Arial"/>
          <w:color w:val="000000"/>
          <w:sz w:val="24"/>
        </w:rPr>
        <w:t>官方缺陷来源部门</w:t>
      </w:r>
    </w:p>
    <w:tbl>
      <w:tblPr>
        <w:tblStyle w:val="25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552"/>
        <w:gridCol w:w="2693"/>
      </w:tblGrid>
      <w:tr w14:paraId="5CBDD3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72" w:type="dxa"/>
            <w:vAlign w:val="center"/>
          </w:tcPr>
          <w:p w14:paraId="758B99F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来源部门</w:t>
            </w:r>
          </w:p>
        </w:tc>
        <w:tc>
          <w:tcPr>
            <w:tcW w:w="2552" w:type="dxa"/>
            <w:vAlign w:val="center"/>
          </w:tcPr>
          <w:p w14:paraId="079F3B9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数量</w:t>
            </w:r>
          </w:p>
        </w:tc>
        <w:tc>
          <w:tcPr>
            <w:tcW w:w="2693" w:type="dxa"/>
          </w:tcPr>
          <w:p w14:paraId="327A7F55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占比（%）</w:t>
            </w:r>
          </w:p>
        </w:tc>
      </w:tr>
      <w:tr w14:paraId="10880A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vAlign w:val="center"/>
          </w:tcPr>
          <w:p w14:paraId="62527851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一车间</w:t>
            </w:r>
          </w:p>
        </w:tc>
        <w:tc>
          <w:tcPr>
            <w:tcW w:w="2552" w:type="dxa"/>
            <w:vAlign w:val="center"/>
          </w:tcPr>
          <w:p w14:paraId="10DE9B43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</w:tcPr>
          <w:p w14:paraId="12CB265A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14DD8D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vAlign w:val="center"/>
          </w:tcPr>
          <w:p w14:paraId="44ACF35E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质检部</w:t>
            </w:r>
          </w:p>
        </w:tc>
        <w:tc>
          <w:tcPr>
            <w:tcW w:w="2552" w:type="dxa"/>
            <w:vAlign w:val="center"/>
          </w:tcPr>
          <w:p w14:paraId="3A0133E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</w:tcPr>
          <w:p w14:paraId="5050D41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1FFB82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vAlign w:val="center"/>
          </w:tcPr>
          <w:p w14:paraId="5A61EC5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质量保证部</w:t>
            </w:r>
          </w:p>
        </w:tc>
        <w:tc>
          <w:tcPr>
            <w:tcW w:w="2552" w:type="dxa"/>
            <w:vAlign w:val="center"/>
          </w:tcPr>
          <w:p w14:paraId="79B5CDB4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</w:tcPr>
          <w:p w14:paraId="4082B091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0F43C4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tcBorders>
              <w:bottom w:val="single" w:color="auto" w:sz="4" w:space="0"/>
            </w:tcBorders>
            <w:vAlign w:val="center"/>
          </w:tcPr>
          <w:p w14:paraId="42B432A4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物控部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14:paraId="16079B7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</w:tcPr>
          <w:p w14:paraId="3CE3EE8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4CF45A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tcBorders>
              <w:bottom w:val="single" w:color="auto" w:sz="4" w:space="0"/>
            </w:tcBorders>
            <w:vAlign w:val="center"/>
          </w:tcPr>
          <w:p w14:paraId="51E8D72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法规注册部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14:paraId="6C92E4F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</w:tcPr>
          <w:p w14:paraId="5A676E03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6DFA3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tcBorders>
              <w:bottom w:val="single" w:color="auto" w:sz="4" w:space="0"/>
            </w:tcBorders>
            <w:vAlign w:val="center"/>
          </w:tcPr>
          <w:p w14:paraId="001B60E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合成车间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14:paraId="35625C82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</w:tcPr>
          <w:p w14:paraId="1983BD19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0A165D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4217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总计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49751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DC40A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45A1CA55">
      <w:pPr>
        <w:spacing w:line="300" w:lineRule="auto"/>
        <w:ind w:left="422" w:leftChars="201" w:firstLine="142" w:firstLineChars="68"/>
        <w:rPr>
          <w:rFonts w:ascii="Arial" w:hAnsi="Arial" w:cs="Arial"/>
          <w:color w:val="000000"/>
          <w:sz w:val="24"/>
        </w:rPr>
      </w:pPr>
      <w:r>
        <w:drawing>
          <wp:inline distT="0" distB="0" distL="0" distR="0">
            <wp:extent cx="5135880" cy="2743200"/>
            <wp:effectExtent l="0" t="0" r="7620" b="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705DFD3">
      <w:pPr>
        <w:spacing w:line="300" w:lineRule="auto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</w:p>
    <w:p w14:paraId="12D17B20">
      <w:pPr>
        <w:pStyle w:val="33"/>
        <w:widowControl/>
        <w:numPr>
          <w:ilvl w:val="0"/>
          <w:numId w:val="7"/>
        </w:numPr>
        <w:shd w:val="clear" w:color="auto" w:fill="FFFFFF"/>
        <w:spacing w:line="400" w:lineRule="exact"/>
        <w:ind w:firstLineChars="0"/>
        <w:jc w:val="left"/>
        <w:rPr>
          <w:sz w:val="24"/>
        </w:rPr>
      </w:pPr>
      <w:r>
        <w:rPr>
          <w:rFonts w:hint="eastAsia" w:ascii="Arial" w:hAnsi="Arial" w:cs="Arial"/>
          <w:bCs/>
          <w:color w:val="1F2329"/>
          <w:kern w:val="0"/>
          <w:sz w:val="24"/>
        </w:rPr>
        <w:t>一车间</w:t>
      </w:r>
      <w:r>
        <w:rPr>
          <w:rFonts w:ascii="Arial" w:hAnsi="Arial" w:cs="Arial"/>
          <w:bCs/>
          <w:color w:val="1F2329"/>
          <w:kern w:val="0"/>
          <w:sz w:val="24"/>
        </w:rPr>
        <w:t>是主要缺陷来源</w:t>
      </w:r>
      <w:r>
        <w:rPr>
          <w:rFonts w:ascii="Arial" w:hAnsi="Arial" w:cs="Arial"/>
          <w:color w:val="1F2329"/>
          <w:kern w:val="0"/>
          <w:sz w:val="24"/>
        </w:rPr>
        <w:t>：</w:t>
      </w:r>
      <w:r>
        <w:rPr>
          <w:rFonts w:hint="eastAsia" w:ascii="Arial" w:hAnsi="Arial" w:cs="Arial"/>
          <w:color w:val="1F2329"/>
          <w:kern w:val="0"/>
          <w:sz w:val="24"/>
        </w:rPr>
        <w:t>一车间</w:t>
      </w:r>
      <w:r>
        <w:rPr>
          <w:rFonts w:ascii="Arial" w:hAnsi="Arial" w:cs="Arial"/>
          <w:color w:val="1F2329"/>
          <w:kern w:val="0"/>
          <w:sz w:val="24"/>
        </w:rPr>
        <w:t>的缺陷数量为</w:t>
      </w:r>
      <w:r>
        <w:rPr>
          <w:rFonts w:hint="eastAsia" w:ascii="Arial" w:hAnsi="Arial" w:cs="Arial"/>
          <w:color w:val="1F2329"/>
          <w:kern w:val="0"/>
          <w:sz w:val="24"/>
        </w:rPr>
        <w:t>xx</w:t>
      </w:r>
      <w:r>
        <w:rPr>
          <w:rFonts w:ascii="Arial" w:hAnsi="Arial" w:cs="Arial"/>
          <w:color w:val="1F2329"/>
          <w:kern w:val="0"/>
          <w:sz w:val="24"/>
        </w:rPr>
        <w:t>，占比41.27%，</w:t>
      </w:r>
      <w:r>
        <w:rPr>
          <w:rFonts w:hint="eastAsia" w:ascii="Arial" w:hAnsi="Arial" w:cs="Arial"/>
          <w:color w:val="1F2329"/>
          <w:kern w:val="0"/>
          <w:sz w:val="24"/>
        </w:rPr>
        <w:t>是缺陷的主要来源，原因为一车间有多个生产现场，负责原料及制剂的生产。</w:t>
      </w:r>
      <w:r>
        <w:rPr>
          <w:rFonts w:hint="eastAsia"/>
          <w:sz w:val="24"/>
        </w:rPr>
        <w:t>缺陷类型主要为文件/规程不完善、记录管理不规范、人员未按规程执行。针对缺陷已进行了文件修订、记录优化、人员培训等措施。</w:t>
      </w:r>
    </w:p>
    <w:p w14:paraId="5F4C09D7">
      <w:pPr>
        <w:spacing w:before="156" w:beforeLines="50" w:after="156" w:afterLines="50" w:line="400" w:lineRule="exac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>.4.2</w:t>
      </w:r>
      <w:r>
        <w:rPr>
          <w:rFonts w:hint="eastAsia" w:ascii="Arial" w:hAnsi="Arial" w:cs="Arial"/>
          <w:color w:val="000000"/>
          <w:sz w:val="24"/>
        </w:rPr>
        <w:t>官方缺陷原因分类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2131"/>
        <w:gridCol w:w="2835"/>
      </w:tblGrid>
      <w:tr w14:paraId="5BBD94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5B11D4C6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原因分类</w:t>
            </w:r>
          </w:p>
        </w:tc>
        <w:tc>
          <w:tcPr>
            <w:tcW w:w="2131" w:type="dxa"/>
            <w:vAlign w:val="center"/>
          </w:tcPr>
          <w:p w14:paraId="561C9827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数量</w:t>
            </w:r>
          </w:p>
        </w:tc>
        <w:tc>
          <w:tcPr>
            <w:tcW w:w="2835" w:type="dxa"/>
            <w:vAlign w:val="center"/>
          </w:tcPr>
          <w:p w14:paraId="22060369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占比（%）</w:t>
            </w:r>
          </w:p>
        </w:tc>
      </w:tr>
      <w:tr w14:paraId="6E8167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163DAAAB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法</w:t>
            </w:r>
          </w:p>
        </w:tc>
        <w:tc>
          <w:tcPr>
            <w:tcW w:w="2131" w:type="dxa"/>
            <w:vAlign w:val="center"/>
          </w:tcPr>
          <w:p w14:paraId="56C931D8">
            <w:pPr>
              <w:spacing w:line="400" w:lineRule="exact"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7F8A0F7F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61F058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75774C2E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人</w:t>
            </w:r>
          </w:p>
        </w:tc>
        <w:tc>
          <w:tcPr>
            <w:tcW w:w="2131" w:type="dxa"/>
            <w:vAlign w:val="center"/>
          </w:tcPr>
          <w:p w14:paraId="7CB26988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63878B1A">
            <w:pPr>
              <w:spacing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44AFC1C8">
      <w:pPr>
        <w:spacing w:line="400" w:lineRule="exact"/>
        <w:rPr>
          <w:rFonts w:ascii="Arial" w:hAnsi="Arial" w:cs="Arial"/>
          <w:color w:val="000000"/>
          <w:sz w:val="24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139065</wp:posOffset>
            </wp:positionV>
            <wp:extent cx="5191125" cy="2409825"/>
            <wp:effectExtent l="0" t="0" r="9525" b="9525"/>
            <wp:wrapSquare wrapText="bothSides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  <w:r>
        <w:rPr>
          <w:rFonts w:hint="eastAsia"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          </w:t>
      </w:r>
    </w:p>
    <w:p w14:paraId="39FA9A2A">
      <w:pPr>
        <w:spacing w:line="400" w:lineRule="exact"/>
        <w:rPr>
          <w:rFonts w:ascii="Arial" w:hAnsi="Arial" w:cs="Arial"/>
          <w:color w:val="000000"/>
          <w:sz w:val="24"/>
        </w:rPr>
      </w:pPr>
    </w:p>
    <w:p w14:paraId="4D0FD501">
      <w:pPr>
        <w:spacing w:line="400" w:lineRule="exact"/>
        <w:rPr>
          <w:rFonts w:ascii="Arial" w:hAnsi="Arial" w:cs="Arial"/>
          <w:color w:val="000000"/>
          <w:sz w:val="24"/>
        </w:rPr>
      </w:pPr>
    </w:p>
    <w:p w14:paraId="7B402541">
      <w:pPr>
        <w:spacing w:line="400" w:lineRule="exac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          </w:t>
      </w:r>
    </w:p>
    <w:p w14:paraId="0EE2D166">
      <w:pPr>
        <w:spacing w:line="400" w:lineRule="exact"/>
        <w:rPr>
          <w:rFonts w:ascii="Arial" w:hAnsi="Arial" w:cs="Arial"/>
          <w:color w:val="000000"/>
          <w:sz w:val="24"/>
        </w:rPr>
      </w:pPr>
    </w:p>
    <w:p w14:paraId="30C8E48D">
      <w:pPr>
        <w:spacing w:line="400" w:lineRule="exact"/>
        <w:rPr>
          <w:rFonts w:ascii="Arial" w:hAnsi="Arial" w:cs="Arial"/>
          <w:color w:val="000000"/>
          <w:sz w:val="24"/>
        </w:rPr>
      </w:pPr>
    </w:p>
    <w:p w14:paraId="3A6259E0">
      <w:pPr>
        <w:spacing w:line="400" w:lineRule="exact"/>
        <w:rPr>
          <w:rFonts w:ascii="Arial" w:hAnsi="Arial" w:cs="Arial"/>
          <w:color w:val="000000"/>
          <w:sz w:val="24"/>
        </w:rPr>
      </w:pPr>
    </w:p>
    <w:p w14:paraId="37707EC9">
      <w:pPr>
        <w:spacing w:line="400" w:lineRule="exact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      </w:t>
      </w:r>
    </w:p>
    <w:p w14:paraId="2F57D9AD">
      <w:pPr>
        <w:spacing w:line="300" w:lineRule="auto"/>
        <w:jc w:val="center"/>
        <w:rPr>
          <w:rFonts w:ascii="Arial" w:hAnsi="Arial" w:cs="Arial"/>
          <w:color w:val="000000"/>
          <w:sz w:val="24"/>
        </w:rPr>
      </w:pPr>
    </w:p>
    <w:p w14:paraId="09F83629">
      <w:pPr>
        <w:spacing w:line="300" w:lineRule="auto"/>
        <w:jc w:val="center"/>
        <w:rPr>
          <w:rFonts w:ascii="Arial" w:hAnsi="Arial" w:cs="Arial"/>
          <w:color w:val="000000"/>
          <w:sz w:val="24"/>
        </w:rPr>
      </w:pPr>
    </w:p>
    <w:p w14:paraId="2A54CD0B">
      <w:pPr>
        <w:spacing w:line="300" w:lineRule="auto"/>
        <w:jc w:val="center"/>
        <w:rPr>
          <w:rFonts w:ascii="Arial" w:hAnsi="Arial" w:cs="Arial"/>
          <w:color w:val="000000"/>
          <w:sz w:val="24"/>
        </w:rPr>
      </w:pPr>
    </w:p>
    <w:p w14:paraId="78C0D854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bCs/>
          <w:color w:val="1F2329"/>
          <w:kern w:val="0"/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</w:t>
      </w:r>
      <w:r>
        <w:rPr>
          <w:rFonts w:hint="eastAsia" w:ascii="Arial" w:hAnsi="Arial" w:cs="Arial"/>
          <w:bCs/>
          <w:color w:val="1F2329"/>
          <w:kern w:val="0"/>
          <w:sz w:val="24"/>
        </w:rPr>
        <w:t>由上图/表可知：</w:t>
      </w:r>
    </w:p>
    <w:p w14:paraId="42E98556">
      <w:pPr>
        <w:pStyle w:val="33"/>
        <w:widowControl/>
        <w:numPr>
          <w:ilvl w:val="0"/>
          <w:numId w:val="8"/>
        </w:numPr>
        <w:shd w:val="clear" w:color="auto" w:fill="FFFFFF"/>
        <w:spacing w:line="400" w:lineRule="exact"/>
        <w:ind w:firstLineChars="0"/>
        <w:jc w:val="left"/>
        <w:rPr>
          <w:rFonts w:ascii="Arial" w:hAnsi="Arial" w:cs="Arial"/>
          <w:color w:val="1F2329"/>
          <w:kern w:val="0"/>
          <w:sz w:val="24"/>
        </w:rPr>
      </w:pPr>
      <w:r>
        <w:rPr>
          <w:rFonts w:ascii="Arial" w:hAnsi="Arial" w:cs="Arial"/>
          <w:bCs/>
          <w:color w:val="1F2329"/>
          <w:kern w:val="0"/>
          <w:sz w:val="24"/>
        </w:rPr>
        <w:t>法是主要缺陷原因</w:t>
      </w:r>
      <w:r>
        <w:rPr>
          <w:rFonts w:ascii="Arial" w:hAnsi="Arial" w:cs="Arial"/>
          <w:color w:val="1F2329"/>
          <w:kern w:val="0"/>
          <w:sz w:val="24"/>
        </w:rPr>
        <w:t>：法的数量为XX，占比高达XX%，远远超过其他单一因素，是导致缺陷的最主要原因，</w:t>
      </w:r>
      <w:r>
        <w:rPr>
          <w:rFonts w:hint="eastAsia" w:ascii="Arial" w:hAnsi="Arial" w:cs="Arial"/>
          <w:color w:val="1F2329"/>
          <w:kern w:val="0"/>
          <w:sz w:val="24"/>
        </w:rPr>
        <w:t>主要问题集中在记录完整性不足、合规</w:t>
      </w:r>
      <w:r>
        <w:rPr>
          <w:rFonts w:hint="eastAsia"/>
          <w:sz w:val="24"/>
        </w:rPr>
        <w:t>性管理漏洞、验证评估不充分、物料管理不规范等。已针对缺陷进行了完善文件、补充验证、培训等纠正预防措施。</w:t>
      </w:r>
    </w:p>
    <w:p w14:paraId="1770B72D">
      <w:pPr>
        <w:spacing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>2</w:t>
      </w:r>
      <w:r>
        <w:rPr>
          <w:rFonts w:ascii="Arial" w:hAnsi="Arial" w:eastAsia="黑体" w:cs="Arial"/>
          <w:color w:val="000000"/>
          <w:sz w:val="24"/>
        </w:rPr>
        <w:t xml:space="preserve">.5 </w:t>
      </w:r>
      <w:r>
        <w:rPr>
          <w:rFonts w:hint="eastAsia" w:ascii="Arial" w:hAnsi="Arial" w:eastAsia="黑体" w:cs="Arial"/>
          <w:color w:val="000000"/>
          <w:sz w:val="24"/>
        </w:rPr>
        <w:t>年度偏差/缺陷完成情况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127"/>
        <w:gridCol w:w="2126"/>
        <w:gridCol w:w="1984"/>
      </w:tblGrid>
      <w:tr w14:paraId="484A0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E454358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来源</w:t>
            </w:r>
          </w:p>
        </w:tc>
        <w:tc>
          <w:tcPr>
            <w:tcW w:w="2127" w:type="dxa"/>
          </w:tcPr>
          <w:p w14:paraId="5A9DA4D5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总数</w:t>
            </w:r>
          </w:p>
        </w:tc>
        <w:tc>
          <w:tcPr>
            <w:tcW w:w="2126" w:type="dxa"/>
            <w:vAlign w:val="center"/>
          </w:tcPr>
          <w:p w14:paraId="12354C48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已关闭</w:t>
            </w:r>
          </w:p>
        </w:tc>
        <w:tc>
          <w:tcPr>
            <w:tcW w:w="1984" w:type="dxa"/>
            <w:vAlign w:val="center"/>
          </w:tcPr>
          <w:p w14:paraId="203EB121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调查中/审批中</w:t>
            </w:r>
          </w:p>
        </w:tc>
      </w:tr>
      <w:tr w14:paraId="550702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5BC90015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常规偏差</w:t>
            </w:r>
          </w:p>
        </w:tc>
        <w:tc>
          <w:tcPr>
            <w:tcW w:w="2127" w:type="dxa"/>
          </w:tcPr>
          <w:p w14:paraId="078C9BB0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9151D97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9C01BD3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7E5F39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8E9EA76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检验异常</w:t>
            </w:r>
          </w:p>
        </w:tc>
        <w:tc>
          <w:tcPr>
            <w:tcW w:w="2127" w:type="dxa"/>
          </w:tcPr>
          <w:p w14:paraId="241263E9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10D45A0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61DC00F9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3307D0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A78F9B8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自检</w:t>
            </w:r>
          </w:p>
        </w:tc>
        <w:tc>
          <w:tcPr>
            <w:tcW w:w="2127" w:type="dxa"/>
          </w:tcPr>
          <w:p w14:paraId="4D6600DB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2E10CE47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4FB2E4A2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14:paraId="10C3DA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4DDA3780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hint="eastAsia" w:ascii="Arial" w:hAnsi="Arial" w:cs="Arial"/>
                <w:color w:val="000000"/>
                <w:sz w:val="24"/>
              </w:rPr>
              <w:t>官方检查</w:t>
            </w:r>
          </w:p>
        </w:tc>
        <w:tc>
          <w:tcPr>
            <w:tcW w:w="2127" w:type="dxa"/>
          </w:tcPr>
          <w:p w14:paraId="550E7B05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7901300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D049246">
            <w:pPr>
              <w:spacing w:before="93" w:beforeLines="30" w:line="400" w:lineRule="exact"/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69CF7A1B">
      <w:pPr>
        <w:pStyle w:val="12"/>
        <w:spacing w:line="400" w:lineRule="exact"/>
        <w:ind w:left="720" w:hanging="720" w:hangingChars="300"/>
        <w:rPr>
          <w:rFonts w:ascii="Arial" w:hAnsi="Arial" w:cs="Arial"/>
          <w:sz w:val="24"/>
          <w:shd w:val="clear" w:color="auto" w:fill="FFFFFF"/>
        </w:rPr>
      </w:pPr>
      <w:r>
        <w:rPr>
          <w:rFonts w:hint="eastAsia" w:ascii="Arial" w:hAnsi="Arial" w:cs="Arial"/>
          <w:color w:val="000000"/>
          <w:sz w:val="24"/>
        </w:rPr>
        <w:t>小结：截至2</w:t>
      </w:r>
      <w:r>
        <w:rPr>
          <w:rFonts w:ascii="Arial" w:hAnsi="Arial" w:cs="Arial"/>
          <w:color w:val="000000"/>
          <w:sz w:val="24"/>
        </w:rPr>
        <w:t>026.01.10</w:t>
      </w:r>
      <w:r>
        <w:rPr>
          <w:rFonts w:hint="eastAsia" w:ascii="Arial" w:hAnsi="Arial" w:cs="Arial"/>
          <w:color w:val="000000"/>
          <w:sz w:val="24"/>
        </w:rPr>
        <w:t>，2</w:t>
      </w:r>
      <w:r>
        <w:rPr>
          <w:rFonts w:ascii="Arial" w:hAnsi="Arial" w:cs="Arial"/>
          <w:color w:val="000000"/>
          <w:sz w:val="24"/>
        </w:rPr>
        <w:t>025</w:t>
      </w:r>
      <w:r>
        <w:rPr>
          <w:rFonts w:hint="eastAsia" w:ascii="Arial" w:hAnsi="Arial" w:cs="Arial"/>
          <w:color w:val="000000"/>
          <w:sz w:val="24"/>
        </w:rPr>
        <w:t>年常规偏差已关闭数量</w:t>
      </w:r>
      <w:r>
        <w:rPr>
          <w:rFonts w:ascii="Arial" w:hAnsi="Arial" w:cs="Arial"/>
          <w:color w:val="000000"/>
          <w:sz w:val="24"/>
        </w:rPr>
        <w:t>XX</w:t>
      </w:r>
      <w:r>
        <w:rPr>
          <w:rFonts w:hint="eastAsia" w:ascii="Arial" w:hAnsi="Arial" w:cs="Arial"/>
          <w:color w:val="000000"/>
          <w:sz w:val="24"/>
        </w:rPr>
        <w:t>，有</w:t>
      </w:r>
      <w:r>
        <w:rPr>
          <w:rFonts w:ascii="Arial" w:hAnsi="Arial" w:cs="Arial"/>
          <w:color w:val="000000"/>
          <w:sz w:val="24"/>
        </w:rPr>
        <w:t>46</w:t>
      </w:r>
      <w:r>
        <w:rPr>
          <w:rFonts w:hint="eastAsia" w:ascii="Arial" w:hAnsi="Arial" w:cs="Arial"/>
          <w:color w:val="000000"/>
          <w:sz w:val="24"/>
        </w:rPr>
        <w:t>个未到关闭期限，还在调查中/审批中。检验异常已全部完成调查，已关闭。官方缺陷</w:t>
      </w:r>
      <w:r>
        <w:rPr>
          <w:rFonts w:ascii="Arial" w:hAnsi="Arial" w:cs="Arial"/>
          <w:color w:val="000000"/>
          <w:sz w:val="24"/>
        </w:rPr>
        <w:t>1</w:t>
      </w:r>
      <w:r>
        <w:rPr>
          <w:rFonts w:hint="eastAsia" w:ascii="Arial" w:hAnsi="Arial" w:cs="Arial"/>
          <w:color w:val="000000"/>
          <w:sz w:val="24"/>
        </w:rPr>
        <w:t>个已完成调查但C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未整改结束，自检缺陷有5个已完成调查但C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未整改结束，但后续将会继续跟进。</w:t>
      </w:r>
    </w:p>
    <w:p w14:paraId="1A622CE6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3 偏差管理体系运行评估</w:t>
      </w:r>
    </w:p>
    <w:p w14:paraId="7058C693">
      <w:pPr>
        <w:spacing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 xml:space="preserve">3.1  </w:t>
      </w:r>
      <w:r>
        <w:rPr>
          <w:rFonts w:hint="eastAsia" w:ascii="Arial" w:hAnsi="Arial" w:eastAsia="黑体" w:cs="Arial"/>
          <w:color w:val="000000"/>
          <w:sz w:val="24"/>
        </w:rPr>
        <w:t>2</w:t>
      </w:r>
      <w:r>
        <w:rPr>
          <w:rFonts w:ascii="Arial" w:hAnsi="Arial" w:eastAsia="黑体" w:cs="Arial"/>
          <w:color w:val="000000"/>
          <w:sz w:val="24"/>
        </w:rPr>
        <w:t>025</w:t>
      </w:r>
      <w:r>
        <w:rPr>
          <w:rFonts w:hint="eastAsia" w:ascii="Arial" w:hAnsi="Arial" w:eastAsia="黑体" w:cs="Arial"/>
          <w:color w:val="000000"/>
          <w:sz w:val="24"/>
        </w:rPr>
        <w:t>年偏差管理情况</w:t>
      </w:r>
    </w:p>
    <w:p w14:paraId="79EC653B">
      <w:pPr>
        <w:widowControl/>
        <w:shd w:val="clear" w:color="auto" w:fill="FFFFFF"/>
        <w:spacing w:line="400" w:lineRule="exact"/>
        <w:ind w:firstLine="480" w:firstLineChars="200"/>
        <w:jc w:val="left"/>
        <w:rPr>
          <w:rFonts w:ascii="Arial" w:hAnsi="Arial" w:cs="Arial"/>
          <w:kern w:val="0"/>
          <w:sz w:val="24"/>
        </w:rPr>
      </w:pPr>
      <w:r>
        <w:rPr>
          <w:rFonts w:hint="eastAsia" w:ascii="Arial" w:hAnsi="Arial"/>
          <w:sz w:val="24"/>
          <w:shd w:val="clear" w:color="auto" w:fill="FFFFFF"/>
        </w:rPr>
        <w:t>官方检查、审计及自检项下的缺陷在（线下）依据《官方检查及审计缺陷整改管理规程》进行报告、审核、批准等流程。2</w:t>
      </w:r>
      <w:r>
        <w:rPr>
          <w:rFonts w:ascii="Arial" w:hAnsi="Arial"/>
          <w:sz w:val="24"/>
          <w:shd w:val="clear" w:color="auto" w:fill="FFFFFF"/>
        </w:rPr>
        <w:t>025</w:t>
      </w:r>
      <w:r>
        <w:rPr>
          <w:rFonts w:hint="eastAsia" w:ascii="Arial" w:hAnsi="Arial"/>
          <w:sz w:val="24"/>
          <w:shd w:val="clear" w:color="auto" w:fill="FFFFFF"/>
        </w:rPr>
        <w:t>年官方缺陷已全部完成调查。</w:t>
      </w:r>
    </w:p>
    <w:p w14:paraId="12F5AFF3">
      <w:pPr>
        <w:spacing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hint="eastAsia" w:ascii="Arial" w:hAnsi="Arial" w:eastAsia="黑体" w:cs="Arial"/>
          <w:color w:val="000000"/>
          <w:sz w:val="24"/>
        </w:rPr>
        <w:t>3</w:t>
      </w:r>
      <w:r>
        <w:rPr>
          <w:rFonts w:ascii="Arial" w:hAnsi="Arial" w:eastAsia="黑体" w:cs="Arial"/>
          <w:color w:val="000000"/>
          <w:sz w:val="24"/>
        </w:rPr>
        <w:t xml:space="preserve">.2  </w:t>
      </w:r>
      <w:r>
        <w:rPr>
          <w:rFonts w:hint="eastAsia" w:ascii="Arial" w:hAnsi="Arial" w:eastAsia="黑体" w:cs="Arial"/>
          <w:color w:val="000000"/>
          <w:sz w:val="24"/>
        </w:rPr>
        <w:t>偏差管理存在的问题</w:t>
      </w:r>
    </w:p>
    <w:p w14:paraId="4B969AEC">
      <w:pPr>
        <w:pStyle w:val="33"/>
        <w:widowControl/>
        <w:numPr>
          <w:ilvl w:val="0"/>
          <w:numId w:val="9"/>
        </w:numPr>
        <w:shd w:val="clear" w:color="auto" w:fill="FFFFFF"/>
        <w:spacing w:line="400" w:lineRule="exact"/>
        <w:ind w:firstLineChars="0"/>
        <w:jc w:val="left"/>
        <w:rPr>
          <w:sz w:val="24"/>
        </w:rPr>
      </w:pPr>
      <w:r>
        <w:rPr>
          <w:rFonts w:hint="eastAsia"/>
          <w:sz w:val="24"/>
        </w:rPr>
        <w:t>重复性偏差的情况较多，主要集中于</w:t>
      </w:r>
      <w:r>
        <w:rPr>
          <w:rFonts w:hint="eastAsia" w:ascii="Arial" w:hAnsi="Arial"/>
          <w:sz w:val="24"/>
        </w:rPr>
        <w:t>为命名错误、未及时填写记录，说明相关岗位操作人员责任心不强、工作严谨性不足，说明质检部需加强人员素质的培训。</w:t>
      </w:r>
    </w:p>
    <w:p w14:paraId="6BC23D5A">
      <w:pPr>
        <w:pStyle w:val="12"/>
        <w:numPr>
          <w:ilvl w:val="0"/>
          <w:numId w:val="9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根本原因为“人”的偏差占比最多，原因有未按操作规程操作；操作错误；培训不足；人员意识不足、责任心不强；一般制定“培训”作为纠正预防措施，说明培训效果不到位，需要根据培训的内容选择合适的考核方式，确保培训效果。</w:t>
      </w:r>
    </w:p>
    <w:p w14:paraId="15B89BEF">
      <w:pPr>
        <w:pStyle w:val="12"/>
        <w:numPr>
          <w:ilvl w:val="0"/>
          <w:numId w:val="9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根本原因为“法”的偏差占比位列第二，主要是文件/记录的不完善，不完善主要由于</w:t>
      </w:r>
      <w:r>
        <w:rPr>
          <w:sz w:val="24"/>
        </w:rPr>
        <w:t>相关人员对法规及文件管理要求的认知不足</w:t>
      </w:r>
      <w:r>
        <w:rPr>
          <w:rFonts w:hint="eastAsia"/>
          <w:sz w:val="24"/>
        </w:rPr>
        <w:t>，需要学习法规提高认知，识别公司文件与法规条款的差异性。</w:t>
      </w:r>
    </w:p>
    <w:p w14:paraId="22F64DC4">
      <w:pPr>
        <w:pStyle w:val="12"/>
        <w:numPr>
          <w:ilvl w:val="0"/>
          <w:numId w:val="9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偏差未能在规定时间内关闭，调查时间较长，说明偏差时效性方面存在问题。</w:t>
      </w:r>
    </w:p>
    <w:p w14:paraId="0A742BC9">
      <w:pPr>
        <w:widowControl/>
        <w:shd w:val="clear" w:color="auto" w:fill="FFFFFF"/>
        <w:spacing w:line="400" w:lineRule="exact"/>
        <w:jc w:val="left"/>
        <w:rPr>
          <w:rFonts w:ascii="黑体" w:hAnsi="黑体" w:eastAsia="黑体" w:cs="Arial"/>
          <w:color w:val="222222"/>
          <w:sz w:val="24"/>
        </w:rPr>
      </w:pPr>
      <w:r>
        <w:rPr>
          <w:rFonts w:ascii="Arial" w:hAnsi="Arial" w:cs="Arial"/>
          <w:color w:val="222222"/>
          <w:sz w:val="24"/>
        </w:rPr>
        <w:t xml:space="preserve">3.3  </w:t>
      </w:r>
      <w:r>
        <w:rPr>
          <w:rFonts w:hint="eastAsia" w:ascii="黑体" w:hAnsi="黑体" w:eastAsia="黑体" w:cs="Arial"/>
          <w:color w:val="222222"/>
          <w:sz w:val="24"/>
        </w:rPr>
        <w:t>改进建议</w:t>
      </w:r>
    </w:p>
    <w:p w14:paraId="1A32F9BE">
      <w:pPr>
        <w:spacing w:line="400" w:lineRule="exact"/>
        <w:ind w:left="420" w:leftChars="200" w:firstLine="60" w:firstLineChars="25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针对</w:t>
      </w:r>
      <w:r>
        <w:rPr>
          <w:rFonts w:hint="eastAsia" w:ascii="Arial" w:hAnsi="Arial" w:cs="Arial"/>
          <w:sz w:val="24"/>
        </w:rPr>
        <w:t>上述</w:t>
      </w:r>
      <w:r>
        <w:rPr>
          <w:rFonts w:ascii="Arial" w:hAnsi="Arial" w:cs="Arial"/>
          <w:sz w:val="24"/>
        </w:rPr>
        <w:t>问题</w:t>
      </w:r>
      <w:r>
        <w:rPr>
          <w:rFonts w:hint="eastAsia" w:ascii="Arial" w:hAnsi="Arial" w:cs="Arial"/>
          <w:sz w:val="24"/>
        </w:rPr>
        <w:t>需</w:t>
      </w:r>
      <w:r>
        <w:rPr>
          <w:rFonts w:ascii="Arial" w:hAnsi="Arial" w:cs="Arial"/>
          <w:sz w:val="24"/>
        </w:rPr>
        <w:t>制定改进措施，加强对调查过程的监督和管理，确保调查工作的合规性和有效性</w:t>
      </w:r>
      <w:r>
        <w:rPr>
          <w:rFonts w:hint="eastAsia" w:ascii="Arial" w:hAnsi="Arial" w:cs="Arial"/>
          <w:sz w:val="24"/>
        </w:rPr>
        <w:t>。建议如下：</w:t>
      </w:r>
    </w:p>
    <w:tbl>
      <w:tblPr>
        <w:tblStyle w:val="25"/>
        <w:tblW w:w="5000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5180"/>
        <w:gridCol w:w="1583"/>
        <w:gridCol w:w="1862"/>
      </w:tblGrid>
      <w:tr w14:paraId="65E038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tblHeader/>
        </w:trPr>
        <w:tc>
          <w:tcPr>
            <w:tcW w:w="385" w:type="pct"/>
            <w:vAlign w:val="center"/>
          </w:tcPr>
          <w:p w14:paraId="73921EC1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序号</w:t>
            </w:r>
          </w:p>
        </w:tc>
        <w:tc>
          <w:tcPr>
            <w:tcW w:w="2772" w:type="pct"/>
            <w:vAlign w:val="center"/>
          </w:tcPr>
          <w:p w14:paraId="47B2C02F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改进措施</w:t>
            </w:r>
          </w:p>
        </w:tc>
        <w:tc>
          <w:tcPr>
            <w:tcW w:w="847" w:type="pct"/>
            <w:vAlign w:val="center"/>
          </w:tcPr>
          <w:p w14:paraId="2F839E79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执行部门</w:t>
            </w:r>
          </w:p>
        </w:tc>
        <w:tc>
          <w:tcPr>
            <w:tcW w:w="996" w:type="pct"/>
            <w:vAlign w:val="center"/>
          </w:tcPr>
          <w:p w14:paraId="676341CD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计划完成时间</w:t>
            </w:r>
          </w:p>
        </w:tc>
      </w:tr>
      <w:tr w14:paraId="370FF0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Align w:val="center"/>
          </w:tcPr>
          <w:p w14:paraId="670E6BB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1</w:t>
            </w:r>
          </w:p>
        </w:tc>
        <w:tc>
          <w:tcPr>
            <w:tcW w:w="2772" w:type="pct"/>
            <w:vAlign w:val="center"/>
          </w:tcPr>
          <w:p w14:paraId="2F475281">
            <w:pPr>
              <w:widowControl/>
              <w:spacing w:line="240" w:lineRule="atLeast"/>
              <w:jc w:val="left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847" w:type="pct"/>
            <w:vAlign w:val="center"/>
          </w:tcPr>
          <w:p w14:paraId="5E34DE7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2D47D05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5F1FB8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65D152BB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2</w:t>
            </w:r>
          </w:p>
        </w:tc>
        <w:tc>
          <w:tcPr>
            <w:tcW w:w="2772" w:type="pct"/>
          </w:tcPr>
          <w:p w14:paraId="3608FFAF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pct"/>
            <w:vMerge w:val="restart"/>
            <w:vAlign w:val="center"/>
          </w:tcPr>
          <w:p w14:paraId="1245B5D1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Merge w:val="restart"/>
            <w:vAlign w:val="center"/>
          </w:tcPr>
          <w:p w14:paraId="175CD33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2AAA6E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85" w:type="pct"/>
            <w:vMerge w:val="continue"/>
            <w:vAlign w:val="center"/>
          </w:tcPr>
          <w:p w14:paraId="661B55B3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772" w:type="pct"/>
          </w:tcPr>
          <w:p w14:paraId="41B3AA90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pct"/>
            <w:vMerge w:val="continue"/>
            <w:vAlign w:val="center"/>
          </w:tcPr>
          <w:p w14:paraId="24A33DC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Merge w:val="continue"/>
            <w:vAlign w:val="center"/>
          </w:tcPr>
          <w:p w14:paraId="2586424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77FFF7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3EE146D0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3</w:t>
            </w:r>
          </w:p>
        </w:tc>
        <w:tc>
          <w:tcPr>
            <w:tcW w:w="2772" w:type="pct"/>
          </w:tcPr>
          <w:p w14:paraId="63667499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pct"/>
            <w:vMerge w:val="restart"/>
            <w:vAlign w:val="center"/>
          </w:tcPr>
          <w:p w14:paraId="6C940605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Merge w:val="restart"/>
            <w:vAlign w:val="center"/>
          </w:tcPr>
          <w:p w14:paraId="05B7D200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10BC22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continue"/>
            <w:vAlign w:val="center"/>
          </w:tcPr>
          <w:p w14:paraId="3A011903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772" w:type="pct"/>
          </w:tcPr>
          <w:p w14:paraId="572966B9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pct"/>
            <w:vMerge w:val="continue"/>
            <w:vAlign w:val="center"/>
          </w:tcPr>
          <w:p w14:paraId="6A56B0DB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Merge w:val="continue"/>
            <w:vAlign w:val="center"/>
          </w:tcPr>
          <w:p w14:paraId="1ACB9FBF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56F280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restart"/>
            <w:vAlign w:val="center"/>
          </w:tcPr>
          <w:p w14:paraId="6C81ED8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4</w:t>
            </w:r>
          </w:p>
        </w:tc>
        <w:tc>
          <w:tcPr>
            <w:tcW w:w="2772" w:type="pct"/>
          </w:tcPr>
          <w:p w14:paraId="4F82BB6C">
            <w:pPr>
              <w:pStyle w:val="12"/>
              <w:spacing w:line="240" w:lineRule="atLeas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pct"/>
            <w:vAlign w:val="center"/>
          </w:tcPr>
          <w:p w14:paraId="655CF47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3A1BC8C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099DD0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continue"/>
            <w:vAlign w:val="center"/>
          </w:tcPr>
          <w:p w14:paraId="1902BA15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772" w:type="pct"/>
          </w:tcPr>
          <w:p w14:paraId="18A96723">
            <w:pPr>
              <w:widowControl/>
              <w:spacing w:line="240" w:lineRule="atLeast"/>
              <w:jc w:val="lef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847" w:type="pct"/>
            <w:vAlign w:val="center"/>
          </w:tcPr>
          <w:p w14:paraId="35E66356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627DA7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2EEB36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" w:type="pct"/>
            <w:vMerge w:val="continue"/>
            <w:vAlign w:val="center"/>
          </w:tcPr>
          <w:p w14:paraId="7EA733EC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772" w:type="pct"/>
          </w:tcPr>
          <w:p w14:paraId="6F7FF040">
            <w:pPr>
              <w:widowControl/>
              <w:spacing w:line="240" w:lineRule="atLeast"/>
              <w:jc w:val="lef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847" w:type="pct"/>
            <w:vAlign w:val="center"/>
          </w:tcPr>
          <w:p w14:paraId="1A30A97C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996" w:type="pct"/>
            <w:vAlign w:val="center"/>
          </w:tcPr>
          <w:p w14:paraId="57E2B29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</w:tbl>
    <w:p w14:paraId="17425C6C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 xml:space="preserve">4 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总结</w:t>
      </w:r>
    </w:p>
    <w:p w14:paraId="7B17E1EF">
      <w:pPr>
        <w:spacing w:line="400" w:lineRule="exact"/>
        <w:ind w:firstLine="480" w:firstLineChars="200"/>
        <w:rPr>
          <w:rFonts w:ascii="Arial" w:hAnsi="Arial" w:cs="Arial"/>
          <w:color w:val="222222"/>
          <w:kern w:val="0"/>
          <w:sz w:val="24"/>
        </w:rPr>
      </w:pPr>
      <w:r>
        <w:rPr>
          <w:rFonts w:ascii="Arial" w:hAnsi="Arial" w:cs="Arial"/>
          <w:sz w:val="24"/>
        </w:rPr>
        <w:t>2025年公司偏差总量比2024年</w:t>
      </w:r>
      <w:r>
        <w:rPr>
          <w:rFonts w:hint="eastAsia"/>
          <w:sz w:val="24"/>
        </w:rPr>
        <w:t>有上升，主要源于</w:t>
      </w:r>
      <w:r>
        <w:rPr>
          <w:rFonts w:hint="eastAsia" w:ascii="Arial" w:hAnsi="Arial" w:cs="Arial"/>
          <w:sz w:val="24"/>
          <w:shd w:val="clear" w:color="auto" w:fill="FFFFFF"/>
        </w:rPr>
        <w:t>生产批次增加</w:t>
      </w:r>
      <w:r>
        <w:rPr>
          <w:rFonts w:hint="eastAsia"/>
          <w:sz w:val="24"/>
        </w:rPr>
        <w:t>，物料/成品的检测频次也随之增加，发生的偏差概率增大。偏差整体风险可控，无重大质量安全隐患；偏差管理体系运行有效，但存在一些不足，如人员培训不足、设备维护不完善、文件记录不完善、偏差关闭不及时问题；此外，还存在一些短板，根本原因分析深度不足</w:t>
      </w:r>
      <w:r>
        <w:rPr>
          <w:rFonts w:ascii="Arial" w:hAnsi="Arial" w:cs="Arial"/>
          <w:sz w:val="24"/>
        </w:rPr>
        <w:t>。2026</w:t>
      </w:r>
      <w:r>
        <w:rPr>
          <w:rFonts w:hint="eastAsia"/>
          <w:sz w:val="24"/>
        </w:rPr>
        <w:t>年将针对本年度存在的问题，落实改进措施，持续优化偏差管理体系，为产品质量安全提供更坚实的保障。</w:t>
      </w:r>
      <w:r>
        <w:rPr>
          <w:rFonts w:hint="eastAsia" w:ascii="Arial" w:hAnsi="Arial" w:cs="Arial"/>
          <w:color w:val="222222"/>
          <w:kern w:val="0"/>
          <w:sz w:val="24"/>
        </w:rPr>
        <w:t>/</w:t>
      </w:r>
      <w:r>
        <w:rPr>
          <w:rFonts w:ascii="Arial" w:hAnsi="Arial" w:cs="Arial"/>
          <w:color w:val="222222"/>
          <w:kern w:val="0"/>
          <w:sz w:val="24"/>
        </w:rPr>
        <w:t>/</w:t>
      </w:r>
    </w:p>
    <w:p w14:paraId="48E5EEB1">
      <w:pPr>
        <w:widowControl/>
        <w:spacing w:line="400" w:lineRule="exact"/>
        <w:jc w:val="left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206375</wp:posOffset>
                </wp:positionV>
                <wp:extent cx="2488565" cy="8255"/>
                <wp:effectExtent l="19050" t="19050" r="26035" b="304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8758" cy="7951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6.45pt;margin-top:16.25pt;height:0.65pt;width:195.95pt;z-index:251669504;mso-width-relative:page;mso-height-relative:page;" filled="f" stroked="t" coordsize="21600,21600" o:gfxdata="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WRqwdkAAAAJAQAADwAAAAAAAAABACAAAAAiAAAAZHJzL2Rvd25y&#10;ZXYueG1sUEsBAhQAFAAAAAgAh07iQHwVx0j9AQAA4QMAAA4AAAAAAAAAAQAgAAAAKAEAAGRycy9l&#10;Mm9Eb2MueG1sUEsFBgAAAAAGAAYAWQEAAJcFAAAAAA==&#10;">
                <v:fill on="f" focussize="0,0"/>
                <v:stroke weight="2.5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802E2E1">
      <w:pPr>
        <w:rPr>
          <w:rFonts w:ascii="Arial" w:hAnsi="Arial" w:cs="Arial"/>
          <w:sz w:val="24"/>
        </w:rPr>
      </w:pPr>
    </w:p>
    <w:p w14:paraId="1C10BB16">
      <w:pPr>
        <w:spacing w:line="400" w:lineRule="exact"/>
        <w:ind w:firstLine="480" w:firstLineChars="200"/>
        <w:rPr>
          <w:rFonts w:ascii="Arial" w:hAnsi="Arial" w:cs="Arial"/>
          <w:color w:val="222222"/>
          <w:sz w:val="24"/>
        </w:rPr>
      </w:pPr>
    </w:p>
    <w:sectPr>
      <w:footerReference r:id="rId5" w:type="default"/>
      <w:pgSz w:w="11906" w:h="16838"/>
      <w:pgMar w:top="1701" w:right="1134" w:bottom="851" w:left="1418" w:header="1871" w:footer="73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020C1">
    <w:pPr>
      <w:pStyle w:val="18"/>
      <w:spacing w:line="300" w:lineRule="exact"/>
      <w:jc w:val="center"/>
    </w:pPr>
    <w:r>
      <w:rPr>
        <w:rFonts w:hint="eastAsia" w:ascii="宋体" w:hAnsi="宋体"/>
      </w:rPr>
      <w:t>控制文件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9E8CD">
    <w:pPr>
      <w:pStyle w:val="18"/>
      <w:pBdr>
        <w:top w:val="single" w:color="auto" w:sz="4" w:space="1"/>
      </w:pBdr>
      <w:spacing w:line="300" w:lineRule="exact"/>
      <w:jc w:val="right"/>
      <w:rPr>
        <w:rFonts w:ascii="宋体" w:hAnsi="宋体" w:cs="Arial"/>
        <w:kern w:val="0"/>
      </w:rPr>
    </w:pPr>
    <w:r>
      <w:rPr>
        <w:rFonts w:hint="eastAsia" w:ascii="宋体" w:hAnsi="宋体"/>
      </w:rPr>
      <w:t xml:space="preserve">控制文件                                   </w:t>
    </w:r>
    <w:r>
      <w:rPr>
        <w:rFonts w:ascii="Arial" w:hAnsi="Arial" w:cs="Arial"/>
        <w:kern w:val="0"/>
        <w:szCs w:val="21"/>
      </w:rPr>
      <w:t xml:space="preserve">第 </w:t>
    </w:r>
    <w:r>
      <w:rPr>
        <w:rFonts w:ascii="Arial" w:hAnsi="Arial" w:cs="Arial"/>
        <w:kern w:val="0"/>
        <w:szCs w:val="21"/>
      </w:rPr>
      <w:fldChar w:fldCharType="begin"/>
    </w:r>
    <w:r>
      <w:rPr>
        <w:rFonts w:ascii="Arial" w:hAnsi="Arial" w:cs="Arial"/>
        <w:kern w:val="0"/>
        <w:szCs w:val="21"/>
      </w:rPr>
      <w:instrText xml:space="preserve"> PAGE </w:instrText>
    </w:r>
    <w:r>
      <w:rPr>
        <w:rFonts w:ascii="Arial" w:hAnsi="Arial" w:cs="Arial"/>
        <w:kern w:val="0"/>
        <w:szCs w:val="21"/>
      </w:rPr>
      <w:fldChar w:fldCharType="separate"/>
    </w:r>
    <w:r>
      <w:rPr>
        <w:rFonts w:ascii="Arial" w:hAnsi="Arial" w:cs="Arial"/>
        <w:kern w:val="0"/>
        <w:szCs w:val="21"/>
      </w:rPr>
      <w:t>10</w:t>
    </w:r>
    <w:r>
      <w:rPr>
        <w:rFonts w:ascii="Arial" w:hAnsi="Arial" w:cs="Arial"/>
        <w:kern w:val="0"/>
        <w:szCs w:val="21"/>
      </w:rPr>
      <w:fldChar w:fldCharType="end"/>
    </w:r>
    <w:r>
      <w:rPr>
        <w:rFonts w:ascii="Arial" w:hAnsi="Arial" w:cs="Arial"/>
        <w:kern w:val="0"/>
        <w:szCs w:val="21"/>
      </w:rPr>
      <w:t xml:space="preserve"> 页  共 12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35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0"/>
      <w:gridCol w:w="7651"/>
    </w:tblGrid>
    <w:tr w14:paraId="1DB239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</w:trPr>
      <w:tc>
        <w:tcPr>
          <w:tcW w:w="909" w:type="pct"/>
          <w:vAlign w:val="center"/>
        </w:tcPr>
        <w:p w14:paraId="4FE54EE1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bookmarkStart w:id="2" w:name="_Hlk55466297"/>
          <w:r>
            <w:rPr>
              <w:rFonts w:hint="eastAsia" w:ascii="宋体" w:hAnsi="宋体" w:cs="Arial"/>
              <w:sz w:val="18"/>
            </w:rPr>
            <w:t>文件名称</w:t>
          </w:r>
        </w:p>
      </w:tc>
      <w:tc>
        <w:tcPr>
          <w:tcW w:w="4091" w:type="pct"/>
          <w:vAlign w:val="center"/>
        </w:tcPr>
        <w:p w14:paraId="2B0FF18B">
          <w:pPr>
            <w:spacing w:line="400" w:lineRule="exact"/>
            <w:jc w:val="center"/>
            <w:rPr>
              <w:rFonts w:ascii="Arial" w:hAnsi="Arial" w:eastAsia="黑体" w:cs="Arial"/>
              <w:sz w:val="36"/>
              <w:szCs w:val="36"/>
            </w:rPr>
          </w:pPr>
          <w:r>
            <w:rPr>
              <w:rFonts w:ascii="Arial" w:hAnsi="Arial" w:eastAsia="黑体" w:cs="Arial"/>
              <w:sz w:val="36"/>
              <w:szCs w:val="36"/>
            </w:rPr>
            <w:t>2025</w:t>
          </w:r>
          <w:r>
            <w:rPr>
              <w:rFonts w:hint="eastAsia" w:ascii="黑体" w:eastAsia="黑体" w:cs="Arial"/>
              <w:sz w:val="36"/>
              <w:szCs w:val="36"/>
            </w:rPr>
            <w:t>年偏差年度质量回顾报告</w:t>
          </w:r>
        </w:p>
      </w:tc>
    </w:tr>
    <w:tr w14:paraId="3C8CCE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</w:trPr>
      <w:tc>
        <w:tcPr>
          <w:tcW w:w="909" w:type="pct"/>
          <w:vAlign w:val="center"/>
        </w:tcPr>
        <w:p w14:paraId="594AA789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r>
            <w:rPr>
              <w:rFonts w:hint="eastAsia" w:ascii="宋体" w:hAnsi="宋体" w:cs="Arial"/>
              <w:sz w:val="18"/>
            </w:rPr>
            <w:t>文件编号</w:t>
          </w:r>
        </w:p>
      </w:tc>
      <w:tc>
        <w:tcPr>
          <w:tcW w:w="4091" w:type="pct"/>
          <w:vAlign w:val="center"/>
        </w:tcPr>
        <w:p w14:paraId="200A0C76">
          <w:pPr>
            <w:spacing w:line="400" w:lineRule="exact"/>
            <w:jc w:val="left"/>
            <w:rPr>
              <w:rFonts w:ascii="Arial" w:hAnsi="Arial" w:cs="Arial"/>
              <w:sz w:val="18"/>
            </w:rPr>
          </w:pPr>
          <w:r>
            <w:rPr>
              <w:rFonts w:hint="eastAsia" w:ascii="Arial" w:hAnsi="Arial" w:cs="Arial"/>
              <w:sz w:val="18"/>
            </w:rPr>
            <w:t>G</w:t>
          </w:r>
          <w:r>
            <w:rPr>
              <w:rFonts w:ascii="Arial" w:hAnsi="Arial" w:cs="Arial"/>
              <w:sz w:val="18"/>
            </w:rPr>
            <w:t>R-Q040009.04</w:t>
          </w:r>
        </w:p>
      </w:tc>
    </w:tr>
    <w:bookmarkEnd w:id="2"/>
  </w:tbl>
  <w:p w14:paraId="6A6CA5D0">
    <w:pPr>
      <w:pStyle w:val="19"/>
      <w:pBdr>
        <w:bottom w:val="none" w:color="auto" w:sz="0" w:space="0"/>
      </w:pBdr>
      <w:spacing w:line="1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52225"/>
    <w:multiLevelType w:val="multilevel"/>
    <w:tmpl w:val="06952225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6045B1D"/>
    <w:multiLevelType w:val="multilevel"/>
    <w:tmpl w:val="16045B1D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  <w:b w:val="0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 w:cs="Arial"/>
        <w:b w:val="0"/>
      </w:rPr>
    </w:lvl>
    <w:lvl w:ilvl="2" w:tentative="0">
      <w:start w:val="1"/>
      <w:numFmt w:val="decimal"/>
      <w:lvlText w:val="2.2.%3"/>
      <w:lvlJc w:val="left"/>
      <w:pPr>
        <w:tabs>
          <w:tab w:val="left" w:pos="709"/>
        </w:tabs>
        <w:ind w:left="680" w:hanging="680"/>
      </w:pPr>
      <w:rPr>
        <w:rFonts w:hint="default" w:ascii="Arial" w:hAnsi="Arial" w:cs="Arial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Arial" w:hAnsi="Arial" w:cs="Arial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851" w:hanging="851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1E19530E"/>
    <w:multiLevelType w:val="multilevel"/>
    <w:tmpl w:val="1E19530E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 w:ascii="Arial" w:hAnsi="Arial" w:cs="Arial"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2A717706"/>
    <w:multiLevelType w:val="multilevel"/>
    <w:tmpl w:val="2A717706"/>
    <w:lvl w:ilvl="0" w:tentative="0">
      <w:start w:val="1"/>
      <w:numFmt w:val="decimal"/>
      <w:lvlText w:val="%1)"/>
      <w:lvlJc w:val="left"/>
      <w:pPr>
        <w:ind w:left="1200" w:hanging="10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2C586B7C"/>
    <w:multiLevelType w:val="multilevel"/>
    <w:tmpl w:val="2C586B7C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3EAA3AB2"/>
    <w:multiLevelType w:val="multilevel"/>
    <w:tmpl w:val="3EAA3AB2"/>
    <w:lvl w:ilvl="0" w:tentative="0">
      <w:start w:val="1"/>
      <w:numFmt w:val="decimal"/>
      <w:lvlText w:val="%1)"/>
      <w:lvlJc w:val="left"/>
      <w:pPr>
        <w:ind w:left="855" w:hanging="375"/>
      </w:pPr>
      <w:rPr>
        <w:rFonts w:hint="default"/>
        <w:color w:val="1F2329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8B51D49"/>
    <w:multiLevelType w:val="multilevel"/>
    <w:tmpl w:val="48B51D49"/>
    <w:lvl w:ilvl="0" w:tentative="0">
      <w:start w:val="1"/>
      <w:numFmt w:val="decimal"/>
      <w:lvlText w:val="%1)"/>
      <w:lvlJc w:val="left"/>
      <w:pPr>
        <w:ind w:left="900" w:hanging="420"/>
      </w:pPr>
      <w:rPr>
        <w:rFonts w:hint="default" w:ascii="Arial" w:hAnsi="Arial" w:cs="Arial"/>
      </w:rPr>
    </w:lvl>
    <w:lvl w:ilvl="1" w:tentative="0">
      <w:start w:val="1"/>
      <w:numFmt w:val="decimal"/>
      <w:lvlText w:val="%2、"/>
      <w:lvlJc w:val="left"/>
      <w:pPr>
        <w:ind w:left="162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53F64F4C"/>
    <w:multiLevelType w:val="multilevel"/>
    <w:tmpl w:val="53F64F4C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none"/>
      <w:lvlText w:val="2.3.1"/>
      <w:lvlJc w:val="left"/>
      <w:pPr>
        <w:ind w:left="680" w:hanging="68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75190845"/>
    <w:multiLevelType w:val="multilevel"/>
    <w:tmpl w:val="75190845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851" w:hanging="42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0EF"/>
    <w:rsid w:val="0000059F"/>
    <w:rsid w:val="0000164B"/>
    <w:rsid w:val="0000358E"/>
    <w:rsid w:val="00004BCB"/>
    <w:rsid w:val="000051F8"/>
    <w:rsid w:val="00005F9F"/>
    <w:rsid w:val="00007666"/>
    <w:rsid w:val="000077DB"/>
    <w:rsid w:val="00013874"/>
    <w:rsid w:val="00014615"/>
    <w:rsid w:val="000147BF"/>
    <w:rsid w:val="00015D4D"/>
    <w:rsid w:val="00015E74"/>
    <w:rsid w:val="0001618C"/>
    <w:rsid w:val="00016283"/>
    <w:rsid w:val="000179F5"/>
    <w:rsid w:val="00020B05"/>
    <w:rsid w:val="00021D3A"/>
    <w:rsid w:val="00025E6D"/>
    <w:rsid w:val="000272D3"/>
    <w:rsid w:val="0003104D"/>
    <w:rsid w:val="00031D9E"/>
    <w:rsid w:val="000375B5"/>
    <w:rsid w:val="00041B45"/>
    <w:rsid w:val="00041CC2"/>
    <w:rsid w:val="00042BD2"/>
    <w:rsid w:val="00042EC3"/>
    <w:rsid w:val="000518AD"/>
    <w:rsid w:val="00051B22"/>
    <w:rsid w:val="00053F3D"/>
    <w:rsid w:val="0005454E"/>
    <w:rsid w:val="000550D0"/>
    <w:rsid w:val="00056AC2"/>
    <w:rsid w:val="00061EB6"/>
    <w:rsid w:val="0006376E"/>
    <w:rsid w:val="00063B65"/>
    <w:rsid w:val="000659A0"/>
    <w:rsid w:val="0007147F"/>
    <w:rsid w:val="0007183A"/>
    <w:rsid w:val="00074627"/>
    <w:rsid w:val="00075C81"/>
    <w:rsid w:val="000774E5"/>
    <w:rsid w:val="00083CB2"/>
    <w:rsid w:val="000846C4"/>
    <w:rsid w:val="00085F71"/>
    <w:rsid w:val="0008735F"/>
    <w:rsid w:val="00092B63"/>
    <w:rsid w:val="00093CFD"/>
    <w:rsid w:val="00095262"/>
    <w:rsid w:val="000A283D"/>
    <w:rsid w:val="000A2A9C"/>
    <w:rsid w:val="000A6F2A"/>
    <w:rsid w:val="000B0203"/>
    <w:rsid w:val="000B0A4D"/>
    <w:rsid w:val="000B2830"/>
    <w:rsid w:val="000B357A"/>
    <w:rsid w:val="000B40B6"/>
    <w:rsid w:val="000C3A1F"/>
    <w:rsid w:val="000C5190"/>
    <w:rsid w:val="000C5452"/>
    <w:rsid w:val="000C6029"/>
    <w:rsid w:val="000D1801"/>
    <w:rsid w:val="000D3C7D"/>
    <w:rsid w:val="000D5C19"/>
    <w:rsid w:val="000E0E81"/>
    <w:rsid w:val="000F5F02"/>
    <w:rsid w:val="000F67ED"/>
    <w:rsid w:val="00100E27"/>
    <w:rsid w:val="00105058"/>
    <w:rsid w:val="001077F3"/>
    <w:rsid w:val="00111BC2"/>
    <w:rsid w:val="00113CB7"/>
    <w:rsid w:val="00114508"/>
    <w:rsid w:val="00117B92"/>
    <w:rsid w:val="00120DD4"/>
    <w:rsid w:val="0012172F"/>
    <w:rsid w:val="00122320"/>
    <w:rsid w:val="00124ABE"/>
    <w:rsid w:val="00124C53"/>
    <w:rsid w:val="00125577"/>
    <w:rsid w:val="0012677E"/>
    <w:rsid w:val="00127D15"/>
    <w:rsid w:val="00130E7F"/>
    <w:rsid w:val="001316DC"/>
    <w:rsid w:val="00137B30"/>
    <w:rsid w:val="001415E5"/>
    <w:rsid w:val="00142089"/>
    <w:rsid w:val="00142097"/>
    <w:rsid w:val="00144B75"/>
    <w:rsid w:val="00145B58"/>
    <w:rsid w:val="00146254"/>
    <w:rsid w:val="00147941"/>
    <w:rsid w:val="00154E35"/>
    <w:rsid w:val="00155225"/>
    <w:rsid w:val="00156656"/>
    <w:rsid w:val="001649A3"/>
    <w:rsid w:val="001657FE"/>
    <w:rsid w:val="00165F74"/>
    <w:rsid w:val="001663F7"/>
    <w:rsid w:val="00166DD9"/>
    <w:rsid w:val="001673F0"/>
    <w:rsid w:val="00170496"/>
    <w:rsid w:val="00175390"/>
    <w:rsid w:val="0017550E"/>
    <w:rsid w:val="00176BB9"/>
    <w:rsid w:val="00180270"/>
    <w:rsid w:val="00182A16"/>
    <w:rsid w:val="00182E35"/>
    <w:rsid w:val="001856D4"/>
    <w:rsid w:val="00186059"/>
    <w:rsid w:val="0018628B"/>
    <w:rsid w:val="00186C6D"/>
    <w:rsid w:val="00191758"/>
    <w:rsid w:val="001920A8"/>
    <w:rsid w:val="001A078A"/>
    <w:rsid w:val="001A1D5D"/>
    <w:rsid w:val="001A7107"/>
    <w:rsid w:val="001B2839"/>
    <w:rsid w:val="001B4904"/>
    <w:rsid w:val="001B4D15"/>
    <w:rsid w:val="001B512E"/>
    <w:rsid w:val="001B59FB"/>
    <w:rsid w:val="001B7955"/>
    <w:rsid w:val="001B7C7B"/>
    <w:rsid w:val="001C448E"/>
    <w:rsid w:val="001C557E"/>
    <w:rsid w:val="001C6E0A"/>
    <w:rsid w:val="001D0105"/>
    <w:rsid w:val="001D2B5A"/>
    <w:rsid w:val="001D50A4"/>
    <w:rsid w:val="001D5C01"/>
    <w:rsid w:val="001E214F"/>
    <w:rsid w:val="001E2EF7"/>
    <w:rsid w:val="001E4243"/>
    <w:rsid w:val="001E5B82"/>
    <w:rsid w:val="001F0496"/>
    <w:rsid w:val="001F13B4"/>
    <w:rsid w:val="001F70E3"/>
    <w:rsid w:val="00200D23"/>
    <w:rsid w:val="00203D8D"/>
    <w:rsid w:val="00204399"/>
    <w:rsid w:val="002047B1"/>
    <w:rsid w:val="00207378"/>
    <w:rsid w:val="00207E43"/>
    <w:rsid w:val="00210F2B"/>
    <w:rsid w:val="0021330A"/>
    <w:rsid w:val="00214CA4"/>
    <w:rsid w:val="00214DC4"/>
    <w:rsid w:val="00215B70"/>
    <w:rsid w:val="0022233D"/>
    <w:rsid w:val="00222A36"/>
    <w:rsid w:val="0022682E"/>
    <w:rsid w:val="0022711F"/>
    <w:rsid w:val="002301B8"/>
    <w:rsid w:val="00230576"/>
    <w:rsid w:val="00231218"/>
    <w:rsid w:val="00231EAB"/>
    <w:rsid w:val="00232EC6"/>
    <w:rsid w:val="00235E82"/>
    <w:rsid w:val="00240CF4"/>
    <w:rsid w:val="00241AB2"/>
    <w:rsid w:val="00243A3C"/>
    <w:rsid w:val="00247089"/>
    <w:rsid w:val="002479D1"/>
    <w:rsid w:val="002527A0"/>
    <w:rsid w:val="00253F9C"/>
    <w:rsid w:val="00260226"/>
    <w:rsid w:val="00260AAD"/>
    <w:rsid w:val="00264131"/>
    <w:rsid w:val="00264B36"/>
    <w:rsid w:val="0026584D"/>
    <w:rsid w:val="00265BB5"/>
    <w:rsid w:val="002673A9"/>
    <w:rsid w:val="002714A8"/>
    <w:rsid w:val="002715F8"/>
    <w:rsid w:val="0027478C"/>
    <w:rsid w:val="00274829"/>
    <w:rsid w:val="00274FBE"/>
    <w:rsid w:val="00281E81"/>
    <w:rsid w:val="0028447D"/>
    <w:rsid w:val="00284932"/>
    <w:rsid w:val="00287DFD"/>
    <w:rsid w:val="00291DB6"/>
    <w:rsid w:val="00296B4F"/>
    <w:rsid w:val="00297117"/>
    <w:rsid w:val="002A034F"/>
    <w:rsid w:val="002A487D"/>
    <w:rsid w:val="002A7A1D"/>
    <w:rsid w:val="002B050A"/>
    <w:rsid w:val="002B3AE7"/>
    <w:rsid w:val="002B4D38"/>
    <w:rsid w:val="002B5EDF"/>
    <w:rsid w:val="002B75B6"/>
    <w:rsid w:val="002B7AE7"/>
    <w:rsid w:val="002C26C7"/>
    <w:rsid w:val="002C6E09"/>
    <w:rsid w:val="002C6E94"/>
    <w:rsid w:val="002D24BA"/>
    <w:rsid w:val="002D3FAD"/>
    <w:rsid w:val="002D4BDC"/>
    <w:rsid w:val="002D5049"/>
    <w:rsid w:val="002D5A83"/>
    <w:rsid w:val="002D630A"/>
    <w:rsid w:val="002E00C8"/>
    <w:rsid w:val="002E057A"/>
    <w:rsid w:val="002E4C7C"/>
    <w:rsid w:val="002E57C4"/>
    <w:rsid w:val="002E6408"/>
    <w:rsid w:val="002F1201"/>
    <w:rsid w:val="002F17EE"/>
    <w:rsid w:val="002F3AF4"/>
    <w:rsid w:val="002F58E3"/>
    <w:rsid w:val="002F729A"/>
    <w:rsid w:val="003000C4"/>
    <w:rsid w:val="00302275"/>
    <w:rsid w:val="00302461"/>
    <w:rsid w:val="00302816"/>
    <w:rsid w:val="00304917"/>
    <w:rsid w:val="003058F6"/>
    <w:rsid w:val="00311143"/>
    <w:rsid w:val="00312788"/>
    <w:rsid w:val="00315BCB"/>
    <w:rsid w:val="00316C87"/>
    <w:rsid w:val="003214CF"/>
    <w:rsid w:val="0032292D"/>
    <w:rsid w:val="00331439"/>
    <w:rsid w:val="00332BA0"/>
    <w:rsid w:val="00333D00"/>
    <w:rsid w:val="00334200"/>
    <w:rsid w:val="003348F1"/>
    <w:rsid w:val="00335C2C"/>
    <w:rsid w:val="0033664B"/>
    <w:rsid w:val="00336BD1"/>
    <w:rsid w:val="00340B23"/>
    <w:rsid w:val="003420FD"/>
    <w:rsid w:val="00342D25"/>
    <w:rsid w:val="00344D0B"/>
    <w:rsid w:val="00347760"/>
    <w:rsid w:val="00351FAB"/>
    <w:rsid w:val="00355684"/>
    <w:rsid w:val="00355AD2"/>
    <w:rsid w:val="00355CD0"/>
    <w:rsid w:val="0036046C"/>
    <w:rsid w:val="0036098D"/>
    <w:rsid w:val="00364512"/>
    <w:rsid w:val="00366AE0"/>
    <w:rsid w:val="00367B8A"/>
    <w:rsid w:val="0037106C"/>
    <w:rsid w:val="00373997"/>
    <w:rsid w:val="003777DF"/>
    <w:rsid w:val="0038020E"/>
    <w:rsid w:val="00380680"/>
    <w:rsid w:val="00382370"/>
    <w:rsid w:val="00383424"/>
    <w:rsid w:val="00385F6D"/>
    <w:rsid w:val="00390126"/>
    <w:rsid w:val="003910FF"/>
    <w:rsid w:val="003933BD"/>
    <w:rsid w:val="003954F5"/>
    <w:rsid w:val="00396B33"/>
    <w:rsid w:val="0039759C"/>
    <w:rsid w:val="003A0EA6"/>
    <w:rsid w:val="003A2D1A"/>
    <w:rsid w:val="003A3A1F"/>
    <w:rsid w:val="003A4EC3"/>
    <w:rsid w:val="003A6464"/>
    <w:rsid w:val="003A76E1"/>
    <w:rsid w:val="003B02A9"/>
    <w:rsid w:val="003B0BDB"/>
    <w:rsid w:val="003B1BE9"/>
    <w:rsid w:val="003B3F3B"/>
    <w:rsid w:val="003C0CF9"/>
    <w:rsid w:val="003C1DFC"/>
    <w:rsid w:val="003C2B93"/>
    <w:rsid w:val="003C3DAD"/>
    <w:rsid w:val="003C5AD9"/>
    <w:rsid w:val="003D2194"/>
    <w:rsid w:val="003D6248"/>
    <w:rsid w:val="003D6941"/>
    <w:rsid w:val="003E0241"/>
    <w:rsid w:val="003E0E8F"/>
    <w:rsid w:val="003E20AC"/>
    <w:rsid w:val="003E377A"/>
    <w:rsid w:val="003E5839"/>
    <w:rsid w:val="003F08DA"/>
    <w:rsid w:val="003F247F"/>
    <w:rsid w:val="003F4BAC"/>
    <w:rsid w:val="003F5999"/>
    <w:rsid w:val="00401C57"/>
    <w:rsid w:val="0040207D"/>
    <w:rsid w:val="00403484"/>
    <w:rsid w:val="00417E05"/>
    <w:rsid w:val="0042030B"/>
    <w:rsid w:val="00424010"/>
    <w:rsid w:val="004248D8"/>
    <w:rsid w:val="0042698C"/>
    <w:rsid w:val="00426B7F"/>
    <w:rsid w:val="004305CD"/>
    <w:rsid w:val="00431678"/>
    <w:rsid w:val="004350D3"/>
    <w:rsid w:val="0044054F"/>
    <w:rsid w:val="00442565"/>
    <w:rsid w:val="00444477"/>
    <w:rsid w:val="00453A74"/>
    <w:rsid w:val="0045405F"/>
    <w:rsid w:val="00455091"/>
    <w:rsid w:val="00455570"/>
    <w:rsid w:val="00456356"/>
    <w:rsid w:val="00461C93"/>
    <w:rsid w:val="004643EA"/>
    <w:rsid w:val="00474DDC"/>
    <w:rsid w:val="00475969"/>
    <w:rsid w:val="00476353"/>
    <w:rsid w:val="00480F75"/>
    <w:rsid w:val="0048617B"/>
    <w:rsid w:val="00487AD3"/>
    <w:rsid w:val="0049340F"/>
    <w:rsid w:val="00493F5E"/>
    <w:rsid w:val="0049404F"/>
    <w:rsid w:val="0049546E"/>
    <w:rsid w:val="00496F9A"/>
    <w:rsid w:val="004A00B6"/>
    <w:rsid w:val="004A03E8"/>
    <w:rsid w:val="004A12E6"/>
    <w:rsid w:val="004A39F5"/>
    <w:rsid w:val="004B00F5"/>
    <w:rsid w:val="004B0513"/>
    <w:rsid w:val="004B2746"/>
    <w:rsid w:val="004B2F28"/>
    <w:rsid w:val="004B395A"/>
    <w:rsid w:val="004B6113"/>
    <w:rsid w:val="004B7009"/>
    <w:rsid w:val="004B738E"/>
    <w:rsid w:val="004C08C1"/>
    <w:rsid w:val="004C4D9C"/>
    <w:rsid w:val="004C5910"/>
    <w:rsid w:val="004C5B69"/>
    <w:rsid w:val="004D0BFF"/>
    <w:rsid w:val="004D0ECE"/>
    <w:rsid w:val="004D0FA1"/>
    <w:rsid w:val="004D500F"/>
    <w:rsid w:val="004E0151"/>
    <w:rsid w:val="004E2405"/>
    <w:rsid w:val="004F1025"/>
    <w:rsid w:val="004F26E1"/>
    <w:rsid w:val="004F4202"/>
    <w:rsid w:val="004F4AD0"/>
    <w:rsid w:val="004F6200"/>
    <w:rsid w:val="004F6912"/>
    <w:rsid w:val="004F70EC"/>
    <w:rsid w:val="005003AE"/>
    <w:rsid w:val="00502944"/>
    <w:rsid w:val="005035B8"/>
    <w:rsid w:val="00503F97"/>
    <w:rsid w:val="005067C9"/>
    <w:rsid w:val="00507C77"/>
    <w:rsid w:val="0051283A"/>
    <w:rsid w:val="0051358E"/>
    <w:rsid w:val="005143E8"/>
    <w:rsid w:val="0051726C"/>
    <w:rsid w:val="005209E2"/>
    <w:rsid w:val="005211FE"/>
    <w:rsid w:val="00525536"/>
    <w:rsid w:val="00527EE1"/>
    <w:rsid w:val="005308BE"/>
    <w:rsid w:val="005313F7"/>
    <w:rsid w:val="00532AD4"/>
    <w:rsid w:val="00533AE2"/>
    <w:rsid w:val="00533DC0"/>
    <w:rsid w:val="00535EDA"/>
    <w:rsid w:val="00537510"/>
    <w:rsid w:val="00540AE1"/>
    <w:rsid w:val="00542DB0"/>
    <w:rsid w:val="00546000"/>
    <w:rsid w:val="005506BF"/>
    <w:rsid w:val="0055079F"/>
    <w:rsid w:val="005543F4"/>
    <w:rsid w:val="00554599"/>
    <w:rsid w:val="00554D2B"/>
    <w:rsid w:val="005550AB"/>
    <w:rsid w:val="005707C8"/>
    <w:rsid w:val="00571CB8"/>
    <w:rsid w:val="00572A34"/>
    <w:rsid w:val="005732C8"/>
    <w:rsid w:val="00574A60"/>
    <w:rsid w:val="00574C4A"/>
    <w:rsid w:val="0057670B"/>
    <w:rsid w:val="00576F6D"/>
    <w:rsid w:val="005823D0"/>
    <w:rsid w:val="00583CAD"/>
    <w:rsid w:val="00583FC8"/>
    <w:rsid w:val="00584F78"/>
    <w:rsid w:val="0058542C"/>
    <w:rsid w:val="005868FA"/>
    <w:rsid w:val="00587EC9"/>
    <w:rsid w:val="0059019E"/>
    <w:rsid w:val="005919C1"/>
    <w:rsid w:val="00593EBE"/>
    <w:rsid w:val="0059444B"/>
    <w:rsid w:val="0059533E"/>
    <w:rsid w:val="005A196A"/>
    <w:rsid w:val="005A211C"/>
    <w:rsid w:val="005A3695"/>
    <w:rsid w:val="005A5FEF"/>
    <w:rsid w:val="005A7D17"/>
    <w:rsid w:val="005B062C"/>
    <w:rsid w:val="005B13EC"/>
    <w:rsid w:val="005B51BD"/>
    <w:rsid w:val="005B5E0D"/>
    <w:rsid w:val="005C1BB7"/>
    <w:rsid w:val="005C4FC7"/>
    <w:rsid w:val="005C56B7"/>
    <w:rsid w:val="005C6D2D"/>
    <w:rsid w:val="005C76AF"/>
    <w:rsid w:val="005D1433"/>
    <w:rsid w:val="005D1DD1"/>
    <w:rsid w:val="005D3C4B"/>
    <w:rsid w:val="005D46BA"/>
    <w:rsid w:val="005D5F23"/>
    <w:rsid w:val="005D66AC"/>
    <w:rsid w:val="005D6EAC"/>
    <w:rsid w:val="005D7EE5"/>
    <w:rsid w:val="005E0390"/>
    <w:rsid w:val="005E1A6C"/>
    <w:rsid w:val="005E39C4"/>
    <w:rsid w:val="005E4250"/>
    <w:rsid w:val="005F1D93"/>
    <w:rsid w:val="005F4BE9"/>
    <w:rsid w:val="005F4D1A"/>
    <w:rsid w:val="00610575"/>
    <w:rsid w:val="006123EC"/>
    <w:rsid w:val="00612E6F"/>
    <w:rsid w:val="00613864"/>
    <w:rsid w:val="00616D2C"/>
    <w:rsid w:val="00617978"/>
    <w:rsid w:val="00620C3A"/>
    <w:rsid w:val="00621C97"/>
    <w:rsid w:val="006224CC"/>
    <w:rsid w:val="0062631E"/>
    <w:rsid w:val="00627696"/>
    <w:rsid w:val="00627E2D"/>
    <w:rsid w:val="00630CF0"/>
    <w:rsid w:val="006321E4"/>
    <w:rsid w:val="006327CA"/>
    <w:rsid w:val="00632CE2"/>
    <w:rsid w:val="006359F3"/>
    <w:rsid w:val="00635E46"/>
    <w:rsid w:val="00640CF0"/>
    <w:rsid w:val="00646AE6"/>
    <w:rsid w:val="0064700F"/>
    <w:rsid w:val="00647140"/>
    <w:rsid w:val="00653FD1"/>
    <w:rsid w:val="006549AF"/>
    <w:rsid w:val="00656DF4"/>
    <w:rsid w:val="00661587"/>
    <w:rsid w:val="00661723"/>
    <w:rsid w:val="00661AC2"/>
    <w:rsid w:val="00662123"/>
    <w:rsid w:val="00663200"/>
    <w:rsid w:val="0066438F"/>
    <w:rsid w:val="0066472C"/>
    <w:rsid w:val="00674F19"/>
    <w:rsid w:val="006818B4"/>
    <w:rsid w:val="00681CA6"/>
    <w:rsid w:val="00682AAD"/>
    <w:rsid w:val="00682E5A"/>
    <w:rsid w:val="00683862"/>
    <w:rsid w:val="00690E25"/>
    <w:rsid w:val="00692BF0"/>
    <w:rsid w:val="00696CBA"/>
    <w:rsid w:val="006A0034"/>
    <w:rsid w:val="006A00DD"/>
    <w:rsid w:val="006A1355"/>
    <w:rsid w:val="006A23B6"/>
    <w:rsid w:val="006A3525"/>
    <w:rsid w:val="006A373F"/>
    <w:rsid w:val="006A394B"/>
    <w:rsid w:val="006A3963"/>
    <w:rsid w:val="006A7BE9"/>
    <w:rsid w:val="006B13AA"/>
    <w:rsid w:val="006B1FA6"/>
    <w:rsid w:val="006B2DB9"/>
    <w:rsid w:val="006B308D"/>
    <w:rsid w:val="006B37C8"/>
    <w:rsid w:val="006B3A4A"/>
    <w:rsid w:val="006B4C2E"/>
    <w:rsid w:val="006B5339"/>
    <w:rsid w:val="006B5829"/>
    <w:rsid w:val="006B7FB5"/>
    <w:rsid w:val="006C119B"/>
    <w:rsid w:val="006C38AC"/>
    <w:rsid w:val="006C55AF"/>
    <w:rsid w:val="006C5F82"/>
    <w:rsid w:val="006C7385"/>
    <w:rsid w:val="006D0504"/>
    <w:rsid w:val="006D0E9B"/>
    <w:rsid w:val="006D1DEE"/>
    <w:rsid w:val="006D49F6"/>
    <w:rsid w:val="006D568B"/>
    <w:rsid w:val="006D5D76"/>
    <w:rsid w:val="006D7AB4"/>
    <w:rsid w:val="006D7DD3"/>
    <w:rsid w:val="006E0CB5"/>
    <w:rsid w:val="006E1AB5"/>
    <w:rsid w:val="006E2A4B"/>
    <w:rsid w:val="006E2BCD"/>
    <w:rsid w:val="006E2C4A"/>
    <w:rsid w:val="006E437E"/>
    <w:rsid w:val="006E61F1"/>
    <w:rsid w:val="006F42AC"/>
    <w:rsid w:val="00700F12"/>
    <w:rsid w:val="00700FD6"/>
    <w:rsid w:val="007032CC"/>
    <w:rsid w:val="00703546"/>
    <w:rsid w:val="00705032"/>
    <w:rsid w:val="007056DF"/>
    <w:rsid w:val="00707324"/>
    <w:rsid w:val="00711B07"/>
    <w:rsid w:val="00712EB5"/>
    <w:rsid w:val="00713A19"/>
    <w:rsid w:val="00713FE8"/>
    <w:rsid w:val="00717B3E"/>
    <w:rsid w:val="00720185"/>
    <w:rsid w:val="007271B8"/>
    <w:rsid w:val="00727AFB"/>
    <w:rsid w:val="00731E08"/>
    <w:rsid w:val="0073603E"/>
    <w:rsid w:val="007362E1"/>
    <w:rsid w:val="007367E5"/>
    <w:rsid w:val="00740462"/>
    <w:rsid w:val="0074180A"/>
    <w:rsid w:val="007453B5"/>
    <w:rsid w:val="0074767B"/>
    <w:rsid w:val="00754C1D"/>
    <w:rsid w:val="00754D0D"/>
    <w:rsid w:val="007626ED"/>
    <w:rsid w:val="007678B7"/>
    <w:rsid w:val="00773698"/>
    <w:rsid w:val="007746E3"/>
    <w:rsid w:val="00775192"/>
    <w:rsid w:val="00777B33"/>
    <w:rsid w:val="00780B59"/>
    <w:rsid w:val="007813F7"/>
    <w:rsid w:val="00781EE7"/>
    <w:rsid w:val="00781F32"/>
    <w:rsid w:val="007820C6"/>
    <w:rsid w:val="007837E2"/>
    <w:rsid w:val="00784CD9"/>
    <w:rsid w:val="00784F55"/>
    <w:rsid w:val="007866E9"/>
    <w:rsid w:val="00786787"/>
    <w:rsid w:val="0078761F"/>
    <w:rsid w:val="00790584"/>
    <w:rsid w:val="00790A27"/>
    <w:rsid w:val="00791F0E"/>
    <w:rsid w:val="00795827"/>
    <w:rsid w:val="0079673C"/>
    <w:rsid w:val="007972AF"/>
    <w:rsid w:val="007A03DA"/>
    <w:rsid w:val="007A36A5"/>
    <w:rsid w:val="007A3D89"/>
    <w:rsid w:val="007A49D1"/>
    <w:rsid w:val="007A52DC"/>
    <w:rsid w:val="007A69A9"/>
    <w:rsid w:val="007B0BDA"/>
    <w:rsid w:val="007B6C0A"/>
    <w:rsid w:val="007C288F"/>
    <w:rsid w:val="007C32E2"/>
    <w:rsid w:val="007C3317"/>
    <w:rsid w:val="007C45AF"/>
    <w:rsid w:val="007C7C34"/>
    <w:rsid w:val="007D2E05"/>
    <w:rsid w:val="007D3BF4"/>
    <w:rsid w:val="007D5963"/>
    <w:rsid w:val="007D61EC"/>
    <w:rsid w:val="007D655A"/>
    <w:rsid w:val="007E0755"/>
    <w:rsid w:val="007E21A2"/>
    <w:rsid w:val="007E2E94"/>
    <w:rsid w:val="007E5A5A"/>
    <w:rsid w:val="007E5B02"/>
    <w:rsid w:val="007E642F"/>
    <w:rsid w:val="007F23E8"/>
    <w:rsid w:val="007F2A67"/>
    <w:rsid w:val="007F6C2B"/>
    <w:rsid w:val="007F7CC8"/>
    <w:rsid w:val="00800534"/>
    <w:rsid w:val="00800ED6"/>
    <w:rsid w:val="0080308E"/>
    <w:rsid w:val="0081216B"/>
    <w:rsid w:val="00812DBF"/>
    <w:rsid w:val="00813289"/>
    <w:rsid w:val="00822A00"/>
    <w:rsid w:val="008251E7"/>
    <w:rsid w:val="00827B92"/>
    <w:rsid w:val="00835B14"/>
    <w:rsid w:val="00835E78"/>
    <w:rsid w:val="00836956"/>
    <w:rsid w:val="00840C08"/>
    <w:rsid w:val="00841588"/>
    <w:rsid w:val="008425B3"/>
    <w:rsid w:val="0084307B"/>
    <w:rsid w:val="0084466C"/>
    <w:rsid w:val="00845026"/>
    <w:rsid w:val="008468A0"/>
    <w:rsid w:val="00847CAD"/>
    <w:rsid w:val="00847FAD"/>
    <w:rsid w:val="00851481"/>
    <w:rsid w:val="00851B0C"/>
    <w:rsid w:val="00855D76"/>
    <w:rsid w:val="00863E02"/>
    <w:rsid w:val="0087277F"/>
    <w:rsid w:val="00873C81"/>
    <w:rsid w:val="00874398"/>
    <w:rsid w:val="00874E85"/>
    <w:rsid w:val="0087574B"/>
    <w:rsid w:val="00877F21"/>
    <w:rsid w:val="008817A7"/>
    <w:rsid w:val="008820A1"/>
    <w:rsid w:val="008827F4"/>
    <w:rsid w:val="00882862"/>
    <w:rsid w:val="00884727"/>
    <w:rsid w:val="00886344"/>
    <w:rsid w:val="008864C4"/>
    <w:rsid w:val="00887F50"/>
    <w:rsid w:val="00891215"/>
    <w:rsid w:val="008923BC"/>
    <w:rsid w:val="00895260"/>
    <w:rsid w:val="00897647"/>
    <w:rsid w:val="008B11B0"/>
    <w:rsid w:val="008B15BE"/>
    <w:rsid w:val="008B320B"/>
    <w:rsid w:val="008B44FA"/>
    <w:rsid w:val="008B7F7A"/>
    <w:rsid w:val="008C0043"/>
    <w:rsid w:val="008C305E"/>
    <w:rsid w:val="008C51C6"/>
    <w:rsid w:val="008C6A2F"/>
    <w:rsid w:val="008D274B"/>
    <w:rsid w:val="008E0395"/>
    <w:rsid w:val="008E05BD"/>
    <w:rsid w:val="008E111B"/>
    <w:rsid w:val="008E17C8"/>
    <w:rsid w:val="008E1B3D"/>
    <w:rsid w:val="008E1DE0"/>
    <w:rsid w:val="008E2193"/>
    <w:rsid w:val="008E4607"/>
    <w:rsid w:val="008F053B"/>
    <w:rsid w:val="008F0C59"/>
    <w:rsid w:val="008F2741"/>
    <w:rsid w:val="008F2991"/>
    <w:rsid w:val="008F4D5B"/>
    <w:rsid w:val="008F715A"/>
    <w:rsid w:val="008F73D8"/>
    <w:rsid w:val="008F73F7"/>
    <w:rsid w:val="008F7C33"/>
    <w:rsid w:val="009022F9"/>
    <w:rsid w:val="00902774"/>
    <w:rsid w:val="00902DD2"/>
    <w:rsid w:val="0090565D"/>
    <w:rsid w:val="00906A09"/>
    <w:rsid w:val="00906F37"/>
    <w:rsid w:val="009076C9"/>
    <w:rsid w:val="00907978"/>
    <w:rsid w:val="0091172C"/>
    <w:rsid w:val="00911D7C"/>
    <w:rsid w:val="00912A61"/>
    <w:rsid w:val="00912B74"/>
    <w:rsid w:val="00913D2C"/>
    <w:rsid w:val="00914B9C"/>
    <w:rsid w:val="00917879"/>
    <w:rsid w:val="00921F24"/>
    <w:rsid w:val="00922F33"/>
    <w:rsid w:val="00923CDF"/>
    <w:rsid w:val="0092423A"/>
    <w:rsid w:val="009274C8"/>
    <w:rsid w:val="00927838"/>
    <w:rsid w:val="00930FF0"/>
    <w:rsid w:val="00931D9A"/>
    <w:rsid w:val="00932BD7"/>
    <w:rsid w:val="00932C97"/>
    <w:rsid w:val="009345BE"/>
    <w:rsid w:val="009420D8"/>
    <w:rsid w:val="00942115"/>
    <w:rsid w:val="00942413"/>
    <w:rsid w:val="00944169"/>
    <w:rsid w:val="00950C10"/>
    <w:rsid w:val="009511C0"/>
    <w:rsid w:val="0095126F"/>
    <w:rsid w:val="0095135B"/>
    <w:rsid w:val="00957D93"/>
    <w:rsid w:val="00961C8E"/>
    <w:rsid w:val="00962B4F"/>
    <w:rsid w:val="00963391"/>
    <w:rsid w:val="00964269"/>
    <w:rsid w:val="0096766A"/>
    <w:rsid w:val="0097145C"/>
    <w:rsid w:val="00971EA5"/>
    <w:rsid w:val="0097327E"/>
    <w:rsid w:val="00975645"/>
    <w:rsid w:val="00975E6B"/>
    <w:rsid w:val="009778C6"/>
    <w:rsid w:val="00986076"/>
    <w:rsid w:val="009864F4"/>
    <w:rsid w:val="00986A58"/>
    <w:rsid w:val="0099080B"/>
    <w:rsid w:val="00991C90"/>
    <w:rsid w:val="00993D64"/>
    <w:rsid w:val="00994F40"/>
    <w:rsid w:val="00996CF1"/>
    <w:rsid w:val="009A0EB5"/>
    <w:rsid w:val="009A12BA"/>
    <w:rsid w:val="009A234B"/>
    <w:rsid w:val="009A33DA"/>
    <w:rsid w:val="009A3BFC"/>
    <w:rsid w:val="009B1049"/>
    <w:rsid w:val="009B175B"/>
    <w:rsid w:val="009B23A3"/>
    <w:rsid w:val="009B42AA"/>
    <w:rsid w:val="009B43A1"/>
    <w:rsid w:val="009B4B5D"/>
    <w:rsid w:val="009B5375"/>
    <w:rsid w:val="009C2613"/>
    <w:rsid w:val="009C2D34"/>
    <w:rsid w:val="009C3A3C"/>
    <w:rsid w:val="009D2AFE"/>
    <w:rsid w:val="009D34A8"/>
    <w:rsid w:val="009D486C"/>
    <w:rsid w:val="009D5E5C"/>
    <w:rsid w:val="009E05C0"/>
    <w:rsid w:val="009E0F92"/>
    <w:rsid w:val="009E13CE"/>
    <w:rsid w:val="009E1EFD"/>
    <w:rsid w:val="009E22E6"/>
    <w:rsid w:val="009E2DEB"/>
    <w:rsid w:val="009E423F"/>
    <w:rsid w:val="009E470F"/>
    <w:rsid w:val="009E75FA"/>
    <w:rsid w:val="009E7821"/>
    <w:rsid w:val="009F03F4"/>
    <w:rsid w:val="009F0AEC"/>
    <w:rsid w:val="009F19B0"/>
    <w:rsid w:val="009F2AC5"/>
    <w:rsid w:val="009F2E2F"/>
    <w:rsid w:val="009F3B59"/>
    <w:rsid w:val="009F481C"/>
    <w:rsid w:val="009F5504"/>
    <w:rsid w:val="009F7A57"/>
    <w:rsid w:val="00A00ECE"/>
    <w:rsid w:val="00A071AC"/>
    <w:rsid w:val="00A07590"/>
    <w:rsid w:val="00A1289B"/>
    <w:rsid w:val="00A154B0"/>
    <w:rsid w:val="00A1619A"/>
    <w:rsid w:val="00A20FD5"/>
    <w:rsid w:val="00A22370"/>
    <w:rsid w:val="00A2347F"/>
    <w:rsid w:val="00A246AF"/>
    <w:rsid w:val="00A26C66"/>
    <w:rsid w:val="00A27F68"/>
    <w:rsid w:val="00A3096F"/>
    <w:rsid w:val="00A36110"/>
    <w:rsid w:val="00A37457"/>
    <w:rsid w:val="00A374A6"/>
    <w:rsid w:val="00A3785A"/>
    <w:rsid w:val="00A4035F"/>
    <w:rsid w:val="00A40A13"/>
    <w:rsid w:val="00A41868"/>
    <w:rsid w:val="00A43299"/>
    <w:rsid w:val="00A4390E"/>
    <w:rsid w:val="00A47737"/>
    <w:rsid w:val="00A50582"/>
    <w:rsid w:val="00A51F5F"/>
    <w:rsid w:val="00A528F6"/>
    <w:rsid w:val="00A53B90"/>
    <w:rsid w:val="00A5452A"/>
    <w:rsid w:val="00A5494E"/>
    <w:rsid w:val="00A54D0A"/>
    <w:rsid w:val="00A54D84"/>
    <w:rsid w:val="00A5536A"/>
    <w:rsid w:val="00A56313"/>
    <w:rsid w:val="00A56789"/>
    <w:rsid w:val="00A56A23"/>
    <w:rsid w:val="00A61A23"/>
    <w:rsid w:val="00A62CE6"/>
    <w:rsid w:val="00A63E72"/>
    <w:rsid w:val="00A65362"/>
    <w:rsid w:val="00A722AE"/>
    <w:rsid w:val="00A72FAB"/>
    <w:rsid w:val="00A7518D"/>
    <w:rsid w:val="00A76988"/>
    <w:rsid w:val="00A801F1"/>
    <w:rsid w:val="00A808A4"/>
    <w:rsid w:val="00A81531"/>
    <w:rsid w:val="00A819DA"/>
    <w:rsid w:val="00A84FBE"/>
    <w:rsid w:val="00A90B91"/>
    <w:rsid w:val="00A96134"/>
    <w:rsid w:val="00A96FEF"/>
    <w:rsid w:val="00AA0EBF"/>
    <w:rsid w:val="00AA38DB"/>
    <w:rsid w:val="00AA4960"/>
    <w:rsid w:val="00AA54C2"/>
    <w:rsid w:val="00AB1C23"/>
    <w:rsid w:val="00AB312F"/>
    <w:rsid w:val="00AB3D35"/>
    <w:rsid w:val="00AB40DE"/>
    <w:rsid w:val="00AB4388"/>
    <w:rsid w:val="00AB57B6"/>
    <w:rsid w:val="00AB61DE"/>
    <w:rsid w:val="00AC04F6"/>
    <w:rsid w:val="00AC2EAF"/>
    <w:rsid w:val="00AC6340"/>
    <w:rsid w:val="00AC72AE"/>
    <w:rsid w:val="00AC76E4"/>
    <w:rsid w:val="00AD17A8"/>
    <w:rsid w:val="00AD6839"/>
    <w:rsid w:val="00AD7F8A"/>
    <w:rsid w:val="00AE032D"/>
    <w:rsid w:val="00AE279A"/>
    <w:rsid w:val="00AE2CC6"/>
    <w:rsid w:val="00AE31F8"/>
    <w:rsid w:val="00AE34EA"/>
    <w:rsid w:val="00AE45ED"/>
    <w:rsid w:val="00AE75FA"/>
    <w:rsid w:val="00AF1662"/>
    <w:rsid w:val="00AF2A72"/>
    <w:rsid w:val="00AF426A"/>
    <w:rsid w:val="00AF472A"/>
    <w:rsid w:val="00B029CE"/>
    <w:rsid w:val="00B0435D"/>
    <w:rsid w:val="00B07E54"/>
    <w:rsid w:val="00B1013F"/>
    <w:rsid w:val="00B106E5"/>
    <w:rsid w:val="00B11F24"/>
    <w:rsid w:val="00B126D4"/>
    <w:rsid w:val="00B14364"/>
    <w:rsid w:val="00B240E5"/>
    <w:rsid w:val="00B24313"/>
    <w:rsid w:val="00B26F66"/>
    <w:rsid w:val="00B2730E"/>
    <w:rsid w:val="00B27517"/>
    <w:rsid w:val="00B3010F"/>
    <w:rsid w:val="00B30AD3"/>
    <w:rsid w:val="00B3172A"/>
    <w:rsid w:val="00B32B6F"/>
    <w:rsid w:val="00B35CFF"/>
    <w:rsid w:val="00B35FB7"/>
    <w:rsid w:val="00B362CC"/>
    <w:rsid w:val="00B4301F"/>
    <w:rsid w:val="00B53A2A"/>
    <w:rsid w:val="00B54DC7"/>
    <w:rsid w:val="00B55C3E"/>
    <w:rsid w:val="00B56C9F"/>
    <w:rsid w:val="00B56D6B"/>
    <w:rsid w:val="00B611AE"/>
    <w:rsid w:val="00B62F8B"/>
    <w:rsid w:val="00B70F27"/>
    <w:rsid w:val="00B716C6"/>
    <w:rsid w:val="00B75F65"/>
    <w:rsid w:val="00B76AAF"/>
    <w:rsid w:val="00B80C47"/>
    <w:rsid w:val="00B8336C"/>
    <w:rsid w:val="00B8368E"/>
    <w:rsid w:val="00B855FF"/>
    <w:rsid w:val="00B90A97"/>
    <w:rsid w:val="00B91BED"/>
    <w:rsid w:val="00B91CD8"/>
    <w:rsid w:val="00B9291F"/>
    <w:rsid w:val="00B93657"/>
    <w:rsid w:val="00B94EFC"/>
    <w:rsid w:val="00B96CCE"/>
    <w:rsid w:val="00BA0E2E"/>
    <w:rsid w:val="00BA12C3"/>
    <w:rsid w:val="00BA1832"/>
    <w:rsid w:val="00BA2221"/>
    <w:rsid w:val="00BA29B1"/>
    <w:rsid w:val="00BA41D1"/>
    <w:rsid w:val="00BB2528"/>
    <w:rsid w:val="00BB4319"/>
    <w:rsid w:val="00BB4FD8"/>
    <w:rsid w:val="00BB6FCA"/>
    <w:rsid w:val="00BB7666"/>
    <w:rsid w:val="00BB7F0D"/>
    <w:rsid w:val="00BC39B8"/>
    <w:rsid w:val="00BC5BD5"/>
    <w:rsid w:val="00BD05C4"/>
    <w:rsid w:val="00BD0BA8"/>
    <w:rsid w:val="00BD1136"/>
    <w:rsid w:val="00BD1909"/>
    <w:rsid w:val="00BD1A16"/>
    <w:rsid w:val="00BD1A67"/>
    <w:rsid w:val="00BD23A3"/>
    <w:rsid w:val="00BD44FA"/>
    <w:rsid w:val="00BD5D22"/>
    <w:rsid w:val="00BE01F9"/>
    <w:rsid w:val="00BE037D"/>
    <w:rsid w:val="00BE26B5"/>
    <w:rsid w:val="00BF1353"/>
    <w:rsid w:val="00BF181B"/>
    <w:rsid w:val="00BF3A7F"/>
    <w:rsid w:val="00BF3A99"/>
    <w:rsid w:val="00BF55BB"/>
    <w:rsid w:val="00BF5BA2"/>
    <w:rsid w:val="00BF67B0"/>
    <w:rsid w:val="00C01F8C"/>
    <w:rsid w:val="00C067A9"/>
    <w:rsid w:val="00C11580"/>
    <w:rsid w:val="00C12489"/>
    <w:rsid w:val="00C13A5B"/>
    <w:rsid w:val="00C147D3"/>
    <w:rsid w:val="00C20B79"/>
    <w:rsid w:val="00C22E52"/>
    <w:rsid w:val="00C23927"/>
    <w:rsid w:val="00C24AC1"/>
    <w:rsid w:val="00C2605E"/>
    <w:rsid w:val="00C262CB"/>
    <w:rsid w:val="00C26952"/>
    <w:rsid w:val="00C27D42"/>
    <w:rsid w:val="00C30032"/>
    <w:rsid w:val="00C33FC6"/>
    <w:rsid w:val="00C3472A"/>
    <w:rsid w:val="00C367B6"/>
    <w:rsid w:val="00C40D05"/>
    <w:rsid w:val="00C4456E"/>
    <w:rsid w:val="00C44984"/>
    <w:rsid w:val="00C45B06"/>
    <w:rsid w:val="00C45D5B"/>
    <w:rsid w:val="00C5267D"/>
    <w:rsid w:val="00C52FC3"/>
    <w:rsid w:val="00C56207"/>
    <w:rsid w:val="00C562BE"/>
    <w:rsid w:val="00C56347"/>
    <w:rsid w:val="00C6175E"/>
    <w:rsid w:val="00C62F96"/>
    <w:rsid w:val="00C62FAA"/>
    <w:rsid w:val="00C63EB0"/>
    <w:rsid w:val="00C64BCE"/>
    <w:rsid w:val="00C66B0F"/>
    <w:rsid w:val="00C66ED4"/>
    <w:rsid w:val="00C67283"/>
    <w:rsid w:val="00C702B8"/>
    <w:rsid w:val="00C70915"/>
    <w:rsid w:val="00C721AA"/>
    <w:rsid w:val="00C73644"/>
    <w:rsid w:val="00C73BCE"/>
    <w:rsid w:val="00C75A8E"/>
    <w:rsid w:val="00C779B8"/>
    <w:rsid w:val="00C80C8F"/>
    <w:rsid w:val="00C831EF"/>
    <w:rsid w:val="00C84EB7"/>
    <w:rsid w:val="00C86014"/>
    <w:rsid w:val="00C8706A"/>
    <w:rsid w:val="00C87247"/>
    <w:rsid w:val="00C90357"/>
    <w:rsid w:val="00C9042C"/>
    <w:rsid w:val="00C904C3"/>
    <w:rsid w:val="00C92AB9"/>
    <w:rsid w:val="00C92E1C"/>
    <w:rsid w:val="00C93958"/>
    <w:rsid w:val="00C93D69"/>
    <w:rsid w:val="00C955FB"/>
    <w:rsid w:val="00C96719"/>
    <w:rsid w:val="00C97691"/>
    <w:rsid w:val="00CA0C64"/>
    <w:rsid w:val="00CA16FC"/>
    <w:rsid w:val="00CA1BF7"/>
    <w:rsid w:val="00CA1C4F"/>
    <w:rsid w:val="00CA2468"/>
    <w:rsid w:val="00CA3F84"/>
    <w:rsid w:val="00CB1589"/>
    <w:rsid w:val="00CB1B4F"/>
    <w:rsid w:val="00CB1D66"/>
    <w:rsid w:val="00CB5378"/>
    <w:rsid w:val="00CB6D32"/>
    <w:rsid w:val="00CB77BC"/>
    <w:rsid w:val="00CB7BB4"/>
    <w:rsid w:val="00CC031A"/>
    <w:rsid w:val="00CC36B4"/>
    <w:rsid w:val="00CC4F5B"/>
    <w:rsid w:val="00CC5DF6"/>
    <w:rsid w:val="00CD042C"/>
    <w:rsid w:val="00CD0470"/>
    <w:rsid w:val="00CD1DC3"/>
    <w:rsid w:val="00CD2DCD"/>
    <w:rsid w:val="00CD55F8"/>
    <w:rsid w:val="00CE0456"/>
    <w:rsid w:val="00CE0546"/>
    <w:rsid w:val="00CE3A66"/>
    <w:rsid w:val="00CE7553"/>
    <w:rsid w:val="00CF051E"/>
    <w:rsid w:val="00CF68A2"/>
    <w:rsid w:val="00CF7349"/>
    <w:rsid w:val="00CF7B4E"/>
    <w:rsid w:val="00CF7C66"/>
    <w:rsid w:val="00D014E7"/>
    <w:rsid w:val="00D02BFC"/>
    <w:rsid w:val="00D03947"/>
    <w:rsid w:val="00D04BF2"/>
    <w:rsid w:val="00D05337"/>
    <w:rsid w:val="00D06088"/>
    <w:rsid w:val="00D118EB"/>
    <w:rsid w:val="00D11E16"/>
    <w:rsid w:val="00D11F18"/>
    <w:rsid w:val="00D12EC1"/>
    <w:rsid w:val="00D13EA7"/>
    <w:rsid w:val="00D167B0"/>
    <w:rsid w:val="00D17079"/>
    <w:rsid w:val="00D17B1E"/>
    <w:rsid w:val="00D26C00"/>
    <w:rsid w:val="00D27C9F"/>
    <w:rsid w:val="00D32FB7"/>
    <w:rsid w:val="00D3310F"/>
    <w:rsid w:val="00D37687"/>
    <w:rsid w:val="00D37B6C"/>
    <w:rsid w:val="00D37F48"/>
    <w:rsid w:val="00D40099"/>
    <w:rsid w:val="00D44AA9"/>
    <w:rsid w:val="00D4505C"/>
    <w:rsid w:val="00D4600A"/>
    <w:rsid w:val="00D5015F"/>
    <w:rsid w:val="00D5154A"/>
    <w:rsid w:val="00D5260F"/>
    <w:rsid w:val="00D66701"/>
    <w:rsid w:val="00D678D1"/>
    <w:rsid w:val="00D67CFB"/>
    <w:rsid w:val="00D70AAD"/>
    <w:rsid w:val="00D7163C"/>
    <w:rsid w:val="00D7470C"/>
    <w:rsid w:val="00D76211"/>
    <w:rsid w:val="00D77650"/>
    <w:rsid w:val="00D77A0B"/>
    <w:rsid w:val="00D805D7"/>
    <w:rsid w:val="00D81C81"/>
    <w:rsid w:val="00D8218D"/>
    <w:rsid w:val="00D82516"/>
    <w:rsid w:val="00D82913"/>
    <w:rsid w:val="00D84298"/>
    <w:rsid w:val="00D84D85"/>
    <w:rsid w:val="00D85570"/>
    <w:rsid w:val="00D86214"/>
    <w:rsid w:val="00D90727"/>
    <w:rsid w:val="00D923D5"/>
    <w:rsid w:val="00D9461F"/>
    <w:rsid w:val="00D96D66"/>
    <w:rsid w:val="00DA110A"/>
    <w:rsid w:val="00DA2A64"/>
    <w:rsid w:val="00DA2E3C"/>
    <w:rsid w:val="00DA2FB7"/>
    <w:rsid w:val="00DA4478"/>
    <w:rsid w:val="00DA4B12"/>
    <w:rsid w:val="00DA7BCE"/>
    <w:rsid w:val="00DB0B70"/>
    <w:rsid w:val="00DB19DE"/>
    <w:rsid w:val="00DC1222"/>
    <w:rsid w:val="00DC1696"/>
    <w:rsid w:val="00DC57BD"/>
    <w:rsid w:val="00DC615A"/>
    <w:rsid w:val="00DC65B6"/>
    <w:rsid w:val="00DC767A"/>
    <w:rsid w:val="00DD3849"/>
    <w:rsid w:val="00DD4A64"/>
    <w:rsid w:val="00DD5361"/>
    <w:rsid w:val="00DD6376"/>
    <w:rsid w:val="00DD681B"/>
    <w:rsid w:val="00DD6FBD"/>
    <w:rsid w:val="00DD72FF"/>
    <w:rsid w:val="00DE302B"/>
    <w:rsid w:val="00DE355E"/>
    <w:rsid w:val="00DE43BF"/>
    <w:rsid w:val="00DF0129"/>
    <w:rsid w:val="00DF4EEC"/>
    <w:rsid w:val="00DF60EF"/>
    <w:rsid w:val="00DF6AF8"/>
    <w:rsid w:val="00E00DE2"/>
    <w:rsid w:val="00E03729"/>
    <w:rsid w:val="00E10303"/>
    <w:rsid w:val="00E12F7F"/>
    <w:rsid w:val="00E206DB"/>
    <w:rsid w:val="00E21536"/>
    <w:rsid w:val="00E22A99"/>
    <w:rsid w:val="00E23EA1"/>
    <w:rsid w:val="00E26759"/>
    <w:rsid w:val="00E27AD3"/>
    <w:rsid w:val="00E348E0"/>
    <w:rsid w:val="00E351BD"/>
    <w:rsid w:val="00E3665D"/>
    <w:rsid w:val="00E37251"/>
    <w:rsid w:val="00E43170"/>
    <w:rsid w:val="00E466EC"/>
    <w:rsid w:val="00E46868"/>
    <w:rsid w:val="00E5162F"/>
    <w:rsid w:val="00E51DC6"/>
    <w:rsid w:val="00E53EE4"/>
    <w:rsid w:val="00E571DD"/>
    <w:rsid w:val="00E62429"/>
    <w:rsid w:val="00E66104"/>
    <w:rsid w:val="00E66760"/>
    <w:rsid w:val="00E7172B"/>
    <w:rsid w:val="00E71EAD"/>
    <w:rsid w:val="00E738F0"/>
    <w:rsid w:val="00E75406"/>
    <w:rsid w:val="00E808D8"/>
    <w:rsid w:val="00E84786"/>
    <w:rsid w:val="00E85151"/>
    <w:rsid w:val="00E86613"/>
    <w:rsid w:val="00E90D02"/>
    <w:rsid w:val="00E94012"/>
    <w:rsid w:val="00E94275"/>
    <w:rsid w:val="00E97364"/>
    <w:rsid w:val="00E97D48"/>
    <w:rsid w:val="00EA0BEF"/>
    <w:rsid w:val="00EA13D8"/>
    <w:rsid w:val="00EA257C"/>
    <w:rsid w:val="00EA28D3"/>
    <w:rsid w:val="00EA4A66"/>
    <w:rsid w:val="00EA53F2"/>
    <w:rsid w:val="00EA5713"/>
    <w:rsid w:val="00EB077A"/>
    <w:rsid w:val="00EB3424"/>
    <w:rsid w:val="00EB3653"/>
    <w:rsid w:val="00EB4960"/>
    <w:rsid w:val="00EB4A04"/>
    <w:rsid w:val="00EB76DD"/>
    <w:rsid w:val="00EC0F42"/>
    <w:rsid w:val="00EC37EF"/>
    <w:rsid w:val="00EC489F"/>
    <w:rsid w:val="00EC529E"/>
    <w:rsid w:val="00EC55A3"/>
    <w:rsid w:val="00EC5CAB"/>
    <w:rsid w:val="00EC789D"/>
    <w:rsid w:val="00EC7DC4"/>
    <w:rsid w:val="00ED0F48"/>
    <w:rsid w:val="00ED430D"/>
    <w:rsid w:val="00EE02CB"/>
    <w:rsid w:val="00EE1E13"/>
    <w:rsid w:val="00EE2AF5"/>
    <w:rsid w:val="00EE3F52"/>
    <w:rsid w:val="00EE4D77"/>
    <w:rsid w:val="00EE5C5B"/>
    <w:rsid w:val="00EE5FD4"/>
    <w:rsid w:val="00EE70A3"/>
    <w:rsid w:val="00EE7F54"/>
    <w:rsid w:val="00EF1964"/>
    <w:rsid w:val="00EF2BCA"/>
    <w:rsid w:val="00EF44C3"/>
    <w:rsid w:val="00EF4F98"/>
    <w:rsid w:val="00EF56EA"/>
    <w:rsid w:val="00EF7865"/>
    <w:rsid w:val="00F00005"/>
    <w:rsid w:val="00F01B9A"/>
    <w:rsid w:val="00F11B50"/>
    <w:rsid w:val="00F153FB"/>
    <w:rsid w:val="00F20331"/>
    <w:rsid w:val="00F20D9B"/>
    <w:rsid w:val="00F22B73"/>
    <w:rsid w:val="00F25C98"/>
    <w:rsid w:val="00F31FEC"/>
    <w:rsid w:val="00F32803"/>
    <w:rsid w:val="00F32B78"/>
    <w:rsid w:val="00F4094E"/>
    <w:rsid w:val="00F4544B"/>
    <w:rsid w:val="00F4792D"/>
    <w:rsid w:val="00F50A5F"/>
    <w:rsid w:val="00F50B0C"/>
    <w:rsid w:val="00F534FA"/>
    <w:rsid w:val="00F5371F"/>
    <w:rsid w:val="00F5422C"/>
    <w:rsid w:val="00F654E1"/>
    <w:rsid w:val="00F6584B"/>
    <w:rsid w:val="00F65EC0"/>
    <w:rsid w:val="00F677D0"/>
    <w:rsid w:val="00F72891"/>
    <w:rsid w:val="00F728B3"/>
    <w:rsid w:val="00F740DF"/>
    <w:rsid w:val="00F7494A"/>
    <w:rsid w:val="00F771BF"/>
    <w:rsid w:val="00F773A0"/>
    <w:rsid w:val="00F77F6F"/>
    <w:rsid w:val="00F84A57"/>
    <w:rsid w:val="00F8690F"/>
    <w:rsid w:val="00F87631"/>
    <w:rsid w:val="00F919C1"/>
    <w:rsid w:val="00F93998"/>
    <w:rsid w:val="00F9401F"/>
    <w:rsid w:val="00F958E8"/>
    <w:rsid w:val="00F9697E"/>
    <w:rsid w:val="00FA0094"/>
    <w:rsid w:val="00FA0C87"/>
    <w:rsid w:val="00FA1ED9"/>
    <w:rsid w:val="00FA330C"/>
    <w:rsid w:val="00FA53EA"/>
    <w:rsid w:val="00FB1752"/>
    <w:rsid w:val="00FB2E1D"/>
    <w:rsid w:val="00FB4586"/>
    <w:rsid w:val="00FB4906"/>
    <w:rsid w:val="00FB495D"/>
    <w:rsid w:val="00FC037C"/>
    <w:rsid w:val="00FC1C01"/>
    <w:rsid w:val="00FC51D3"/>
    <w:rsid w:val="00FC6871"/>
    <w:rsid w:val="00FC6FEF"/>
    <w:rsid w:val="00FD1176"/>
    <w:rsid w:val="00FD3436"/>
    <w:rsid w:val="00FD568B"/>
    <w:rsid w:val="00FD5F40"/>
    <w:rsid w:val="00FE0E94"/>
    <w:rsid w:val="00FE1DAC"/>
    <w:rsid w:val="00FE4337"/>
    <w:rsid w:val="00FE6425"/>
    <w:rsid w:val="00FE76DE"/>
    <w:rsid w:val="00FF2206"/>
    <w:rsid w:val="00FF3A83"/>
    <w:rsid w:val="00FF4895"/>
    <w:rsid w:val="00FF7656"/>
    <w:rsid w:val="00FF79DE"/>
    <w:rsid w:val="00FF7AFC"/>
    <w:rsid w:val="0E85540A"/>
    <w:rsid w:val="16FB0165"/>
    <w:rsid w:val="41FB544E"/>
    <w:rsid w:val="46B3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5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</w:style>
  <w:style w:type="paragraph" w:styleId="12">
    <w:name w:val="annotation text"/>
    <w:basedOn w:val="1"/>
    <w:link w:val="34"/>
    <w:qFormat/>
    <w:uiPriority w:val="0"/>
    <w:pPr>
      <w:jc w:val="left"/>
    </w:pPr>
  </w:style>
  <w:style w:type="paragraph" w:styleId="13">
    <w:name w:val="Body Text"/>
    <w:basedOn w:val="1"/>
    <w:link w:val="47"/>
    <w:qFormat/>
    <w:uiPriority w:val="0"/>
    <w:pPr>
      <w:spacing w:after="120"/>
    </w:pPr>
  </w:style>
  <w:style w:type="paragraph" w:styleId="14">
    <w:name w:val="List 2"/>
    <w:basedOn w:val="1"/>
    <w:qFormat/>
    <w:uiPriority w:val="0"/>
    <w:pPr>
      <w:ind w:left="100" w:leftChars="200" w:hanging="200" w:hangingChars="200"/>
    </w:pPr>
  </w:style>
  <w:style w:type="paragraph" w:styleId="15">
    <w:name w:val="Plain Text"/>
    <w:basedOn w:val="1"/>
    <w:link w:val="36"/>
    <w:qFormat/>
    <w:uiPriority w:val="0"/>
    <w:rPr>
      <w:rFonts w:ascii="宋体" w:hAnsi="Courier New"/>
      <w:szCs w:val="20"/>
    </w:rPr>
  </w:style>
  <w:style w:type="paragraph" w:styleId="16">
    <w:name w:val="Date"/>
    <w:basedOn w:val="1"/>
    <w:next w:val="1"/>
    <w:link w:val="46"/>
    <w:qFormat/>
    <w:uiPriority w:val="0"/>
    <w:pPr>
      <w:ind w:left="100" w:leftChars="2500"/>
    </w:pPr>
    <w:rPr>
      <w:b/>
      <w:bCs/>
      <w:sz w:val="24"/>
    </w:rPr>
  </w:style>
  <w:style w:type="paragraph" w:styleId="17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header"/>
    <w:basedOn w:val="1"/>
    <w:link w:val="3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20">
    <w:name w:val="toc 1"/>
    <w:basedOn w:val="1"/>
    <w:next w:val="1"/>
    <w:autoRedefine/>
    <w:semiHidden/>
    <w:qFormat/>
    <w:uiPriority w:val="0"/>
  </w:style>
  <w:style w:type="paragraph" w:styleId="21">
    <w:name w:val="List"/>
    <w:basedOn w:val="1"/>
    <w:qFormat/>
    <w:uiPriority w:val="0"/>
    <w:pPr>
      <w:ind w:left="200" w:hanging="200" w:hangingChars="200"/>
    </w:pPr>
  </w:style>
  <w:style w:type="paragraph" w:styleId="2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Hyperlink"/>
    <w:basedOn w:val="26"/>
    <w:qFormat/>
    <w:uiPriority w:val="0"/>
    <w:rPr>
      <w:color w:val="0000FF"/>
      <w:u w:val="single"/>
    </w:rPr>
  </w:style>
  <w:style w:type="character" w:styleId="30">
    <w:name w:val="annotation reference"/>
    <w:basedOn w:val="26"/>
    <w:qFormat/>
    <w:uiPriority w:val="0"/>
    <w:rPr>
      <w:sz w:val="21"/>
      <w:szCs w:val="21"/>
    </w:rPr>
  </w:style>
  <w:style w:type="character" w:customStyle="1" w:styleId="31">
    <w:name w:val="页眉 字符"/>
    <w:basedOn w:val="26"/>
    <w:link w:val="19"/>
    <w:semiHidden/>
    <w:qFormat/>
    <w:uiPriority w:val="99"/>
    <w:rPr>
      <w:sz w:val="18"/>
      <w:szCs w:val="18"/>
    </w:rPr>
  </w:style>
  <w:style w:type="character" w:customStyle="1" w:styleId="32">
    <w:name w:val="页脚 字符"/>
    <w:basedOn w:val="26"/>
    <w:link w:val="18"/>
    <w:qFormat/>
    <w:uiPriority w:val="0"/>
    <w:rPr>
      <w:sz w:val="18"/>
      <w:szCs w:val="1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批注文字 字符"/>
    <w:basedOn w:val="26"/>
    <w:link w:val="1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5">
    <w:name w:val="批注框文本 字符"/>
    <w:basedOn w:val="26"/>
    <w:link w:val="1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纯文本 字符"/>
    <w:basedOn w:val="26"/>
    <w:link w:val="15"/>
    <w:qFormat/>
    <w:uiPriority w:val="0"/>
    <w:rPr>
      <w:rFonts w:ascii="宋体" w:hAnsi="Courier New" w:eastAsia="宋体" w:cs="Times New Roman"/>
      <w:szCs w:val="20"/>
    </w:rPr>
  </w:style>
  <w:style w:type="character" w:customStyle="1" w:styleId="37">
    <w:name w:val="标题 1 字符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8">
    <w:name w:val="标题 2 字符"/>
    <w:basedOn w:val="2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9">
    <w:name w:val="标题 3 字符"/>
    <w:basedOn w:val="2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0">
    <w:name w:val="标题 4 字符"/>
    <w:basedOn w:val="26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1">
    <w:name w:val="标题 5 字符"/>
    <w:basedOn w:val="26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2">
    <w:name w:val="标题 6 字符"/>
    <w:basedOn w:val="26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43">
    <w:name w:val="标题 7 字符"/>
    <w:basedOn w:val="26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4">
    <w:name w:val="标题 8 字符"/>
    <w:basedOn w:val="26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45">
    <w:name w:val="标题 9 字符"/>
    <w:basedOn w:val="26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46">
    <w:name w:val="日期 字符"/>
    <w:basedOn w:val="26"/>
    <w:link w:val="16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7">
    <w:name w:val="正文文本 字符"/>
    <w:basedOn w:val="26"/>
    <w:link w:val="1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8">
    <w:name w:val="wbtr_snp1"/>
    <w:basedOn w:val="26"/>
    <w:qFormat/>
    <w:uiPriority w:val="0"/>
    <w:rPr>
      <w:rFonts w:hint="default" w:ascii="Arial" w:hAnsi="Arial" w:cs="Arial"/>
      <w:color w:val="676767"/>
      <w:sz w:val="22"/>
      <w:szCs w:val="22"/>
    </w:rPr>
  </w:style>
  <w:style w:type="character" w:customStyle="1" w:styleId="49">
    <w:name w:val="mn"/>
    <w:basedOn w:val="26"/>
    <w:qFormat/>
    <w:uiPriority w:val="0"/>
    <w:rPr>
      <w:rFonts w:hint="default" w:ascii="Arial" w:hAnsi="Arial" w:cs="Arial"/>
    </w:rPr>
  </w:style>
  <w:style w:type="paragraph" w:customStyle="1" w:styleId="50">
    <w:name w:val="样式1"/>
    <w:basedOn w:val="20"/>
    <w:qFormat/>
    <w:uiPriority w:val="0"/>
    <w:pPr>
      <w:outlineLvl w:val="0"/>
    </w:pPr>
    <w:rPr>
      <w:b/>
      <w:bCs/>
      <w:kern w:val="0"/>
      <w:sz w:val="28"/>
      <w:szCs w:val="28"/>
    </w:rPr>
  </w:style>
  <w:style w:type="paragraph" w:customStyle="1" w:styleId="51">
    <w:name w:val="默认段落字体 Para Char Char Char1 Char"/>
    <w:basedOn w:val="1"/>
    <w:qFormat/>
    <w:uiPriority w:val="0"/>
    <w:rPr>
      <w:szCs w:val="21"/>
    </w:rPr>
  </w:style>
  <w:style w:type="character" w:customStyle="1" w:styleId="52">
    <w:name w:val="批注主题 字符"/>
    <w:basedOn w:val="34"/>
    <w:link w:val="23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styleId="5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54">
    <w:name w:val="Placeholder Text"/>
    <w:basedOn w:val="26"/>
    <w:semiHidden/>
    <w:qFormat/>
    <w:uiPriority w:val="99"/>
    <w:rPr>
      <w:color w:val="808080"/>
    </w:rPr>
  </w:style>
  <w:style w:type="character" w:customStyle="1" w:styleId="55">
    <w:name w:val="semi-button-content-right"/>
    <w:basedOn w:val="26"/>
    <w:qFormat/>
    <w:uiPriority w:val="0"/>
  </w:style>
  <w:style w:type="character" w:customStyle="1" w:styleId="56">
    <w:name w:val="title-vavzpg"/>
    <w:basedOn w:val="2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chart" Target="charts/chart8.xml"/><Relationship Id="rId13" Type="http://schemas.openxmlformats.org/officeDocument/2006/relationships/chart" Target="charts/chart7.xml"/><Relationship Id="rId12" Type="http://schemas.openxmlformats.org/officeDocument/2006/relationships/chart" Target="charts/chart6.xml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2024/2025</a:t>
            </a:r>
            <a:r>
              <a:rPr lang="zh-CN" altLang="en-US"/>
              <a:t>年偏差、缺陷数量对比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'2025年度回顾'!$CZ$7</c:f>
              <c:strCache>
                <c:ptCount val="1"/>
                <c:pt idx="0">
                  <c:v>2024年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'2025年度回顾'!$CY$8:$CY$12</c:f>
              <c:strCache>
                <c:ptCount val="5"/>
                <c:pt idx="0">
                  <c:v>常规偏差</c:v>
                </c:pt>
                <c:pt idx="1">
                  <c:v>检验异常</c:v>
                </c:pt>
                <c:pt idx="2">
                  <c:v>自检</c:v>
                </c:pt>
                <c:pt idx="3">
                  <c:v>官方检查</c:v>
                </c:pt>
                <c:pt idx="4">
                  <c:v>客户审计</c:v>
                </c:pt>
              </c:strCache>
            </c:strRef>
          </c:cat>
          <c:val>
            <c:numRef>
              <c:f>'2025年度回顾'!$CZ$8:$CZ$12</c:f>
              <c:numCache>
                <c:formatCode>General</c:formatCode>
                <c:ptCount val="5"/>
                <c:pt idx="0">
                  <c:v>197</c:v>
                </c:pt>
                <c:pt idx="1">
                  <c:v>34</c:v>
                </c:pt>
                <c:pt idx="2">
                  <c:v>12</c:v>
                </c:pt>
                <c:pt idx="3">
                  <c:v>57</c:v>
                </c:pt>
                <c:pt idx="4">
                  <c:v>4</c:v>
                </c:pt>
              </c:numCache>
            </c:numRef>
          </c:val>
        </c:ser>
        <c:ser>
          <c:idx val="1"/>
          <c:order val="1"/>
          <c:tx>
            <c:strRef>
              <c:f>'2025年度回顾'!$DA$7</c:f>
              <c:strCache>
                <c:ptCount val="1"/>
                <c:pt idx="0">
                  <c:v>2025年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'2025年度回顾'!$CY$8:$CY$12</c:f>
              <c:strCache>
                <c:ptCount val="5"/>
                <c:pt idx="0">
                  <c:v>常规偏差</c:v>
                </c:pt>
                <c:pt idx="1">
                  <c:v>检验异常</c:v>
                </c:pt>
                <c:pt idx="2">
                  <c:v>自检</c:v>
                </c:pt>
                <c:pt idx="3">
                  <c:v>官方检查</c:v>
                </c:pt>
                <c:pt idx="4">
                  <c:v>客户审计</c:v>
                </c:pt>
              </c:strCache>
            </c:strRef>
          </c:cat>
          <c:val>
            <c:numRef>
              <c:f>'2025年度回顾'!$DA$8:$DA$12</c:f>
              <c:numCache>
                <c:formatCode>General</c:formatCode>
                <c:ptCount val="5"/>
                <c:pt idx="0">
                  <c:v>267</c:v>
                </c:pt>
                <c:pt idx="1">
                  <c:v>47</c:v>
                </c:pt>
                <c:pt idx="2">
                  <c:v>23</c:v>
                </c:pt>
                <c:pt idx="3">
                  <c:v>63</c:v>
                </c:pt>
                <c:pt idx="4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17845679"/>
        <c:axId val="417847759"/>
      </c:barChart>
      <c:catAx>
        <c:axId val="4178456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17847759"/>
        <c:crosses val="autoZero"/>
        <c:auto val="1"/>
        <c:lblAlgn val="ctr"/>
        <c:lblOffset val="100"/>
        <c:noMultiLvlLbl val="0"/>
      </c:catAx>
      <c:valAx>
        <c:axId val="417847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17845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cf44ddb-7224-40f9-b5c5-feb87d1cd63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2025</a:t>
            </a:r>
            <a:r>
              <a:rPr lang="zh-CN"/>
              <a:t>年每季度常规偏差占比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tx>
            <c:strRef>
              <c:f>'2025年度回顾'!$CM$6</c:f>
              <c:strCache>
                <c:ptCount val="1"/>
                <c:pt idx="0">
                  <c:v>发起数量</c:v>
                </c:pt>
              </c:strCache>
            </c:strRef>
          </c:tx>
          <c:spPr/>
          <c:explosion val="0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5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5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60000"/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60000"/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'2025年度回顾'!$CL$7:$CL$10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'2025年度回顾'!$CM$7:$CM$10</c:f>
              <c:numCache>
                <c:formatCode>General</c:formatCode>
                <c:ptCount val="4"/>
                <c:pt idx="0">
                  <c:v>41</c:v>
                </c:pt>
                <c:pt idx="1">
                  <c:v>78</c:v>
                </c:pt>
                <c:pt idx="2">
                  <c:v>86</c:v>
                </c:pt>
                <c:pt idx="3">
                  <c:v>84</c:v>
                </c:pt>
              </c:numCache>
            </c:numRef>
          </c:val>
        </c:ser>
        <c:ser>
          <c:idx val="1"/>
          <c:order val="1"/>
          <c:tx>
            <c:strRef>
              <c:f>'2025年度回顾'!$CN$6</c:f>
              <c:strCache>
                <c:ptCount val="1"/>
                <c:pt idx="0">
                  <c:v>终止数量</c:v>
                </c:pt>
              </c:strCache>
            </c:strRef>
          </c:tx>
          <c:spPr/>
          <c:explosion val="0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5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5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60000"/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60000"/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Lbls>
            <c:delete val="1"/>
          </c:dLbls>
          <c:cat>
            <c:strRef>
              <c:f>'2025年度回顾'!$CL$7:$CL$10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'2025年度回顾'!$CN$7:$CN$10</c:f>
              <c:numCache>
                <c:formatCode>General</c:formatCode>
                <c:ptCount val="4"/>
                <c:pt idx="0">
                  <c:v>5</c:v>
                </c:pt>
                <c:pt idx="1">
                  <c:v>1</c:v>
                </c:pt>
                <c:pt idx="2">
                  <c:v>8</c:v>
                </c:pt>
                <c:pt idx="3">
                  <c:v>8</c:v>
                </c:pt>
              </c:numCache>
            </c:numRef>
          </c:val>
        </c:ser>
        <c:ser>
          <c:idx val="2"/>
          <c:order val="2"/>
          <c:tx>
            <c:strRef>
              <c:f>'2025年度回顾'!$CO$6</c:f>
              <c:strCache>
                <c:ptCount val="1"/>
                <c:pt idx="0">
                  <c:v>实际数量</c:v>
                </c:pt>
              </c:strCache>
            </c:strRef>
          </c:tx>
          <c:spPr/>
          <c:explosion val="0"/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5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5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6">
                      <a:lumMod val="60000"/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6">
                      <a:lumMod val="60000"/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cene3d>
                <a:camera prst="orthographicFront"/>
                <a:lightRig rig="threePt" dir="t"/>
              </a:scene3d>
              <a:sp3d/>
            </c:spPr>
          </c:dPt>
          <c:dLbls>
            <c:delete val="1"/>
          </c:dLbls>
          <c:cat>
            <c:strRef>
              <c:f>'2025年度回顾'!$CL$7:$CL$10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'2025年度回顾'!$CO$7:$CO$10</c:f>
              <c:numCache>
                <c:formatCode>General</c:formatCode>
                <c:ptCount val="4"/>
                <c:pt idx="0">
                  <c:v>36</c:v>
                </c:pt>
                <c:pt idx="1">
                  <c:v>77</c:v>
                </c:pt>
                <c:pt idx="2">
                  <c:v>78</c:v>
                </c:pt>
                <c:pt idx="3">
                  <c:v>76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a1c9e7d-00ba-4349-b025-dfa0060efcf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2024/2025</a:t>
            </a:r>
            <a:r>
              <a:rPr lang="zh-CN" altLang="en-US"/>
              <a:t>年各部门偏差数量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'2025年度回顾'!$DL$7</c:f>
              <c:strCache>
                <c:ptCount val="1"/>
                <c:pt idx="0">
                  <c:v>2024年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'2025年度回顾'!$DK$8:$DK$14</c:f>
              <c:strCache>
                <c:ptCount val="7"/>
                <c:pt idx="0">
                  <c:v>质检部</c:v>
                </c:pt>
                <c:pt idx="1">
                  <c:v>一车间</c:v>
                </c:pt>
                <c:pt idx="2">
                  <c:v>合成车间</c:v>
                </c:pt>
                <c:pt idx="3">
                  <c:v>质量保证部</c:v>
                </c:pt>
                <c:pt idx="4">
                  <c:v>数字化管理部</c:v>
                </c:pt>
                <c:pt idx="5">
                  <c:v>物控部</c:v>
                </c:pt>
                <c:pt idx="6">
                  <c:v>工程设备部</c:v>
                </c:pt>
              </c:strCache>
            </c:strRef>
          </c:cat>
          <c:val>
            <c:numRef>
              <c:f>'2025年度回顾'!$DL$8:$DL$14</c:f>
              <c:numCache>
                <c:formatCode>General</c:formatCode>
                <c:ptCount val="7"/>
                <c:pt idx="0">
                  <c:v>157</c:v>
                </c:pt>
                <c:pt idx="1">
                  <c:v>19</c:v>
                </c:pt>
                <c:pt idx="2">
                  <c:v>1</c:v>
                </c:pt>
                <c:pt idx="3">
                  <c:v>8</c:v>
                </c:pt>
                <c:pt idx="4">
                  <c:v>8</c:v>
                </c:pt>
                <c:pt idx="5">
                  <c:v>4</c:v>
                </c:pt>
                <c:pt idx="6">
                  <c:v>0</c:v>
                </c:pt>
              </c:numCache>
            </c:numRef>
          </c:val>
        </c:ser>
        <c:ser>
          <c:idx val="1"/>
          <c:order val="1"/>
          <c:tx>
            <c:strRef>
              <c:f>'2025年度回顾'!$DM$7</c:f>
              <c:strCache>
                <c:ptCount val="1"/>
                <c:pt idx="0">
                  <c:v>2025年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'2025年度回顾'!$DK$8:$DK$14</c:f>
              <c:strCache>
                <c:ptCount val="7"/>
                <c:pt idx="0">
                  <c:v>质检部</c:v>
                </c:pt>
                <c:pt idx="1">
                  <c:v>一车间</c:v>
                </c:pt>
                <c:pt idx="2">
                  <c:v>合成车间</c:v>
                </c:pt>
                <c:pt idx="3">
                  <c:v>质量保证部</c:v>
                </c:pt>
                <c:pt idx="4">
                  <c:v>数字化管理部</c:v>
                </c:pt>
                <c:pt idx="5">
                  <c:v>物控部</c:v>
                </c:pt>
                <c:pt idx="6">
                  <c:v>工程设备部</c:v>
                </c:pt>
              </c:strCache>
            </c:strRef>
          </c:cat>
          <c:val>
            <c:numRef>
              <c:f>'2025年度回顾'!$DM$8:$DM$14</c:f>
              <c:numCache>
                <c:formatCode>General</c:formatCode>
                <c:ptCount val="7"/>
                <c:pt idx="0">
                  <c:v>230</c:v>
                </c:pt>
                <c:pt idx="1">
                  <c:v>18</c:v>
                </c:pt>
                <c:pt idx="2">
                  <c:v>1</c:v>
                </c:pt>
                <c:pt idx="3">
                  <c:v>8</c:v>
                </c:pt>
                <c:pt idx="4">
                  <c:v>3</c:v>
                </c:pt>
                <c:pt idx="5">
                  <c:v>5</c:v>
                </c:pt>
                <c:pt idx="6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25126303"/>
        <c:axId val="1425113823"/>
      </c:barChart>
      <c:catAx>
        <c:axId val="1425126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25113823"/>
        <c:crosses val="autoZero"/>
        <c:auto val="1"/>
        <c:lblAlgn val="ctr"/>
        <c:lblOffset val="100"/>
        <c:noMultiLvlLbl val="0"/>
      </c:catAx>
      <c:valAx>
        <c:axId val="1425113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25126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a1fb18f-57ca-4afa-a015-bc71d92d813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2025</a:t>
            </a:r>
            <a:r>
              <a:rPr lang="zh-CN" altLang="en-US"/>
              <a:t>年各部门偏差占比情况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>
        <c:manualLayout>
          <c:layoutTarget val="inner"/>
          <c:xMode val="edge"/>
          <c:yMode val="edge"/>
          <c:x val="0.0142840471674834"/>
          <c:y val="0.23299321959755"/>
          <c:w val="0.9315492453363"/>
          <c:h val="0.578989501312336"/>
        </c:manualLayout>
      </c:layout>
      <c:pie3DChart>
        <c:varyColors val="1"/>
        <c:ser>
          <c:idx val="0"/>
          <c:order val="0"/>
          <c:tx>
            <c:strRef>
              <c:f>'2025年度回顾'!$DX$7</c:f>
              <c:strCache>
                <c:ptCount val="1"/>
                <c:pt idx="0">
                  <c:v>2025年</c:v>
                </c:pt>
              </c:strCache>
            </c:strRef>
          </c:tx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dLbl>
              <c:idx val="1"/>
              <c:layout>
                <c:manualLayout>
                  <c:x val="-0.0907729658792651"/>
                  <c:y val="0.0302785068533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0847665135608049"/>
                  <c:y val="-0.0416236512102654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6"/>
              <c:layout/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'2025年度回顾'!$DW$8:$DW$14</c:f>
              <c:strCache>
                <c:ptCount val="7"/>
                <c:pt idx="0">
                  <c:v>质检部</c:v>
                </c:pt>
                <c:pt idx="1">
                  <c:v>一车间</c:v>
                </c:pt>
                <c:pt idx="2">
                  <c:v>合成车间</c:v>
                </c:pt>
                <c:pt idx="3">
                  <c:v>质量保证部</c:v>
                </c:pt>
                <c:pt idx="4">
                  <c:v>数字化管理部</c:v>
                </c:pt>
                <c:pt idx="5">
                  <c:v>物控部</c:v>
                </c:pt>
                <c:pt idx="6">
                  <c:v>工程设备部</c:v>
                </c:pt>
              </c:strCache>
            </c:strRef>
          </c:cat>
          <c:val>
            <c:numRef>
              <c:f>'2025年度回顾'!$DX$8:$DX$14</c:f>
              <c:numCache>
                <c:formatCode>General</c:formatCode>
                <c:ptCount val="7"/>
                <c:pt idx="0">
                  <c:v>230</c:v>
                </c:pt>
                <c:pt idx="1">
                  <c:v>18</c:v>
                </c:pt>
                <c:pt idx="2">
                  <c:v>1</c:v>
                </c:pt>
                <c:pt idx="3">
                  <c:v>8</c:v>
                </c:pt>
                <c:pt idx="4">
                  <c:v>3</c:v>
                </c:pt>
                <c:pt idx="5">
                  <c:v>5</c:v>
                </c:pt>
                <c:pt idx="6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1722540-3efb-41a9-8079-fa0d0488f48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2025</a:t>
            </a:r>
            <a:r>
              <a:rPr lang="zh-CN" altLang="en-US"/>
              <a:t>年根本原因分类占比表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'2025年度回顾'!$EJ$7:$EP$7</c:f>
              <c:strCache>
                <c:ptCount val="7"/>
                <c:pt idx="0">
                  <c:v>人</c:v>
                </c:pt>
                <c:pt idx="1">
                  <c:v>机</c:v>
                </c:pt>
                <c:pt idx="2">
                  <c:v>料</c:v>
                </c:pt>
                <c:pt idx="3">
                  <c:v>法</c:v>
                </c:pt>
                <c:pt idx="4">
                  <c:v>环</c:v>
                </c:pt>
                <c:pt idx="5">
                  <c:v>其他</c:v>
                </c:pt>
                <c:pt idx="6">
                  <c:v>未完成</c:v>
                </c:pt>
              </c:strCache>
            </c:strRef>
          </c:cat>
          <c:val>
            <c:numRef>
              <c:f>'2025年度回顾'!$EJ$8:$EP$8</c:f>
              <c:numCache>
                <c:formatCode>General</c:formatCode>
                <c:ptCount val="7"/>
                <c:pt idx="0">
                  <c:v>103</c:v>
                </c:pt>
                <c:pt idx="1">
                  <c:v>46</c:v>
                </c:pt>
                <c:pt idx="2">
                  <c:v>20</c:v>
                </c:pt>
                <c:pt idx="3">
                  <c:v>39</c:v>
                </c:pt>
                <c:pt idx="4">
                  <c:v>4</c:v>
                </c:pt>
                <c:pt idx="5">
                  <c:v>9</c:v>
                </c:pt>
                <c:pt idx="6">
                  <c:v>46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ad8dd17-78a5-4539-8c9f-d848f1bc339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2025</a:t>
            </a:r>
            <a:r>
              <a:rPr lang="zh-CN" altLang="en-US"/>
              <a:t>年偏差等级分类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'2025年度回顾'!$FB$7:$FE$8</c:f>
              <c:multiLvlStrCache>
                <c:ptCount val="4"/>
                <c:lvl>
                  <c:pt idx="0">
                    <c:v>（重大偏差）</c:v>
                  </c:pt>
                  <c:pt idx="1">
                    <c:v>（中等偏差）</c:v>
                  </c:pt>
                  <c:pt idx="2">
                    <c:v>（微小偏差）</c:v>
                  </c:pt>
                  <c:pt idx="3">
                    <c:v>完成</c:v>
                  </c:pt>
                </c:lvl>
                <c:lvl>
                  <c:pt idx="0">
                    <c:v>关键偏差</c:v>
                  </c:pt>
                  <c:pt idx="1">
                    <c:v>主要偏差</c:v>
                  </c:pt>
                  <c:pt idx="2">
                    <c:v>轻微偏差</c:v>
                  </c:pt>
                  <c:pt idx="3">
                    <c:v>未调查</c:v>
                  </c:pt>
                </c:lvl>
              </c:multiLvlStrCache>
            </c:multiLvlStrRef>
          </c:cat>
          <c:val>
            <c:numRef>
              <c:f>'2025年度回顾'!$FB$9:$FE$9</c:f>
              <c:numCache>
                <c:formatCode>General</c:formatCode>
                <c:ptCount val="4"/>
                <c:pt idx="0">
                  <c:v>0</c:v>
                </c:pt>
                <c:pt idx="1">
                  <c:v>4</c:v>
                </c:pt>
                <c:pt idx="2">
                  <c:v>217</c:v>
                </c:pt>
                <c:pt idx="3">
                  <c:v>46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ac6f8e0-fb9e-411f-8f32-860168a4b50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2025</a:t>
            </a:r>
            <a:r>
              <a:rPr lang="zh-CN" altLang="zh-CN" sz="1800" b="0" i="0" baseline="0">
                <a:effectLst/>
              </a:rPr>
              <a:t>年官方检查缺陷来源部门</a:t>
            </a:r>
            <a:endParaRPr lang="zh-CN" altLang="zh-CN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tx>
            <c:strRef>
              <c:f>'2025年度回顾'!$BP$8</c:f>
              <c:strCache>
                <c:ptCount val="1"/>
                <c:pt idx="0">
                  <c:v>数量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'2025年度回顾'!$BO$9:$BO$14</c:f>
              <c:strCache>
                <c:ptCount val="6"/>
                <c:pt idx="0">
                  <c:v>一车间</c:v>
                </c:pt>
                <c:pt idx="1">
                  <c:v>质检部</c:v>
                </c:pt>
                <c:pt idx="2">
                  <c:v>质量保证部</c:v>
                </c:pt>
                <c:pt idx="3">
                  <c:v>物控部</c:v>
                </c:pt>
                <c:pt idx="4">
                  <c:v>法规注册部</c:v>
                </c:pt>
                <c:pt idx="5">
                  <c:v>合成车间</c:v>
                </c:pt>
              </c:strCache>
            </c:strRef>
          </c:cat>
          <c:val>
            <c:numRef>
              <c:f>'2025年度回顾'!$BP$9:$BP$14</c:f>
              <c:numCache>
                <c:formatCode>General</c:formatCode>
                <c:ptCount val="6"/>
                <c:pt idx="0">
                  <c:v>26</c:v>
                </c:pt>
                <c:pt idx="1">
                  <c:v>21</c:v>
                </c:pt>
                <c:pt idx="2">
                  <c:v>8</c:v>
                </c:pt>
                <c:pt idx="3">
                  <c:v>6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c857c98-3c2c-451a-9d13-8fa9ea806f3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2025</a:t>
            </a:r>
            <a:r>
              <a:rPr lang="zh-CN" altLang="zh-CN" sz="1800" b="0" i="0" baseline="0">
                <a:effectLst/>
              </a:rPr>
              <a:t>年官方检查缺陷</a:t>
            </a:r>
            <a:r>
              <a:rPr lang="zh-CN" altLang="en-US" sz="1800" b="0" i="0" baseline="0">
                <a:effectLst/>
              </a:rPr>
              <a:t>根本原因分类</a:t>
            </a:r>
            <a:endParaRPr lang="zh-CN" altLang="zh-CN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dLbl>
              <c:idx val="0"/>
              <c:layout>
                <c:manualLayout>
                  <c:x val="-0.0949764873140857"/>
                  <c:y val="-0.25099336541265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'2025年度回顾'!$CA$9:$CA$10</c:f>
              <c:strCache>
                <c:ptCount val="2"/>
                <c:pt idx="0">
                  <c:v>法</c:v>
                </c:pt>
                <c:pt idx="1">
                  <c:v>人</c:v>
                </c:pt>
              </c:strCache>
            </c:strRef>
          </c:cat>
          <c:val>
            <c:numRef>
              <c:f>'2025年度回顾'!$CB$9:$CB$10</c:f>
              <c:numCache>
                <c:formatCode>General</c:formatCode>
                <c:ptCount val="2"/>
                <c:pt idx="0">
                  <c:v>56</c:v>
                </c:pt>
                <c:pt idx="1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1ee6024-e92f-4a35-8751-7e4fac3ad3b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AFBAF8-97F2-4ACF-A032-B234C2D28F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289</Words>
  <Characters>314</Characters>
  <Lines>28</Lines>
  <Paragraphs>7</Paragraphs>
  <TotalTime>8973</TotalTime>
  <ScaleCrop>false</ScaleCrop>
  <LinksUpToDate>false</LinksUpToDate>
  <CharactersWithSpaces>318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2023-10-20T03:29:00Z</dcterms:created>
  <dc:creator>bo_liang</dc:creator>
  <cp:lastModifiedBy>YU</cp:lastModifiedBy>
  <cp:lastPrinted>2023-10-23T01:06:00Z</cp:lastPrinted>
  <dcterms:modified xsi:type="dcterms:W3CDTF">2026-04-30T07:24:12Z</dcterms:modified>
  <cp:revision>425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eyJoZGlkIjoiYjBkNzAxYzA3ODU3NzUzYThjYmIyMDMyNzA1MmYwODYiLCJ1c2VySWQiOiI4NzM2ODM2MDIifQ==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8795820FFDC8400B9BFDF2A4DC29A01D_12</vt:lpwstr>
  </property>
</Properties>
</file>