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C0392B"/>
          <w:sz w:val="40"/>
          <w:szCs w:val="40"/>
        </w:rPr>
        <w:t xml:space="preserve">Documento de cobertura de testing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EP2 — eSports Arena Manager (React + Jasmine/Karma)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Desarrollo FullStack II (DSY1104) · Nicolás Molina, Sebastián Cabrera, José Hernández</w:t>
      </w:r>
    </w:p>
    <w:p>
      <w:pPr>
        <w:pStyle w:val="Heading1"/>
        <w:spacing w:after="160" w:before="360"/>
      </w:pPr>
      <w:r>
        <w:t xml:space="preserve">1. Alcance cubierto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Esta suite de pruebas cubre las 10 pruebas unitarias mínimas exigidas por el caso para EP2: 6 pruebas sobre la lógica de negocio pura (src/utils/reglas.js) y 4 sobre componentes React reutilizables (src/components/), usando react-dom/client dentro de act() para el montaje, como permite el enunciado. El entorno de pruebas se configuró con karma, karma-jasmine, jasmine-core, karma-chrome-launcher, karma-webpack, babel-loader con @babel/preset-react y karma-coverage, ejecutando contra Chrome en modo headless.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Lógica de negocio pura: src/utils/reglas.js (ordenarRanking, calcularPuntos, cuposDisponibles, inscripcionFueraDePlazo, tieneSancionActiva, equipoCompleto).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Componentes: TarjetaTorneo, TablaRanking, LlaveTorneo y FormularioInscripcion.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Total de specs ejecutadas: 19 (10 obligatorias + 9 adicionales que cubren casos borde: equipos sin ranking, fechas límite, equipos activos/inactivos, etc.).</w:t>
      </w:r>
    </w:p>
    <w:p>
      <w:pPr>
        <w:pStyle w:val="Heading1"/>
        <w:spacing w:after="160" w:before="360"/>
      </w:pPr>
      <w:r>
        <w:t xml:space="preserve">2. Casos diseñados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siguiente tabla detalla las 10 pruebas obligatorias del listado del caso, su ubicación en el código y qué verifica cada una.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3500"/>
      </w:tblGrid>
      <w:tr>
        <w:tc>
          <w:tcPr>
            <w:tcW w:type="dxa" w:w="5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34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5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verifica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ordenarRanking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utils/reglas.spec.js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Ordena por puntos y desempata por diferencia de puntaje; no muta el arreglo original.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calcularPuntos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utils/reglas.spec.js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Asigna los puntos de victoria/derrota definidos a partir de una lista de resultados y sus partidas.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cuposDisponibles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utils/reglas.spec.js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 las inscripciones vigentes al cupo máximo y nunca retorna un valor negativo.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inscripcionFueraDePlazo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utils/reglas.spec.js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verdadero cuando la fecha actual supera el cierre de inscripción.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tieneSancionActiva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utils/reglas.spec.js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Bloquea al participante con sanción vigente y permite al que ya la cumplió.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equipoCompleto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utils/reglas.spec.js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 la cantidad de integrantes exigida por el juego del torneo.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TarjetaTorneo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components/torneos/TarjetaTorneo.spec.jsx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 nombre, juego y estado del torneo.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TablaRanking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components/torneos/TablaRanking.spec.jsx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 una fila por participante y respeta el orden recibido por props.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FormularioInscripcion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components/equipo/FormularioInscripcion.spec.jsx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Mantiene deshabilitado el envío cuando el equipo está incompleto; verificado con jasmine.createSpy sobre el manejador onConfirmar.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LlaveTorneo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components/torneos/LlaveTorneo.spec.jsx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Muestra "Participante por definir" cuando la partida aún no tiene rival asignado.</w:t>
            </w:r>
          </w:p>
        </w:tc>
      </w:tr>
    </w:tbl>
    <w:p>
      <w:pPr>
        <w:pStyle w:val="Heading1"/>
        <w:spacing w:after="160" w:before="360"/>
      </w:pPr>
      <w:r>
        <w:t xml:space="preserve">3. Uso de dobles de prueba (mocks/spies)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prueba 9 usa jasmine.createSpy para aislar el componente FormularioInscripcion de cualquier efecto real de envío: el componente recibe la función espía como prop onConfirmar y la prueba verifica dos cosas sin depender de un backend ni de un servicio real: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const onConfirmar = jasmine.createSpy('onConfirmar');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... se monta el formulario con un equipo incompleto ...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boton.click();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expect(onConfirmar).not.toHaveBeenCalled(); // equipo incompleto: nunca se invoca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... se monta de nuevo con un equipo completo y datos válidos ...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boton.click();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expect(onConfirmar).toHaveBeenCalledWith(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jasmine.objectContaining({ torneoId: 't1', tipo: 'equipo', participanteId: 'e1' })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Esto confirma dos reglas de negocio a la vez: que el botón permanece deshabilitado mientras el equipo no cumple el mínimo de integrantes, y que — una vez corregido — el formulario invoca exactamente una vez al manejador con los datos correctos.</w:t>
      </w:r>
    </w:p>
    <w:p>
      <w:pPr>
        <w:pStyle w:val="Heading1"/>
        <w:spacing w:after="160" w:before="360"/>
      </w:pPr>
      <w:r>
        <w:t xml:space="preserve">4. Resultados obtenidos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Ejecución de la suite completa con Karma contra Chrome Headless: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$ CHROME_BIN=&lt;ruta-a-chromium&gt; npx karma start karma.conf.cjs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Chrome Headless 141.0.0.0 (Linux 0.0.0): Executed 19 of 19 SUCCESS (0.07 secs)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TOTAL: 19 SUCCESS</w:t>
      </w:r>
    </w:p>
    <w:p>
      <w:pPr>
        <w:shd w:fill="FBEFEF" w:val="clear"/>
        <w:spacing w:after="200" w:before="120"/>
        <w:ind w:left="200"/>
      </w:pPr>
      <w:r>
        <w:rPr>
          <w:i/>
          <w:iCs/>
          <w:color w:val="444444"/>
          <w:sz w:val="20"/>
          <w:szCs w:val="20"/>
        </w:rPr>
        <w:t xml:space="preserve">Las 19 pruebas pasaron en la última ejecución (0 fallos), incluidas las 10 obligatorias del caso.</w:t>
      </w:r>
    </w:p>
    <w:p>
      <w:pPr>
        <w:pStyle w:val="Heading1"/>
        <w:spacing w:after="160" w:before="360"/>
      </w:pPr>
      <w:r>
        <w:t xml:space="preserve">5. Cobertura por archivo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cobertura se midió con karma-coverage + babel-plugin-istanbul, instrumentando todo el código fuente alcanzado por las pruebas (se excluyen los propios archivos *.spec.js/jsx). Los porcentajes corresponden solo a los módulos ejercitados por esta suite — vistas y servicios se cubren de forma indirecta a través de los componentes y funciones que reutilizan, y quedan para ampliarse con pruebas de integración en una siguiente iteración.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500"/>
        <w:gridCol w:w="1500"/>
        <w:gridCol w:w="1200"/>
      </w:tblGrid>
      <w:tr>
        <w:tc>
          <w:tcPr>
            <w:tcW w:type="dxa" w:w="38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Sentencias</w:t>
            </w:r>
          </w:p>
        </w:tc>
        <w:tc>
          <w:tcPr>
            <w:tcW w:type="dxa" w:w="15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Ramas</w:t>
            </w:r>
          </w:p>
        </w:tc>
        <w:tc>
          <w:tcPr>
            <w:tcW w:type="dxa" w:w="15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Funciones</w:t>
            </w:r>
          </w:p>
        </w:tc>
        <w:tc>
          <w:tcPr>
            <w:tcW w:type="dxa" w:w="1200"/>
            <w:shd w:fill="2C3A4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utils/reglas.js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87.23%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66.66%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88.46%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97.14%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components/torneos/TarjetaTorneo.jsx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50.00%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components/torneos/TablaRanking.jsx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components/torneos/LlaveTorneo.jsx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90.00%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components/equipo/FormularioInscripcion.jsx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75.36%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69.35%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72.22%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79.36%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Total (archivos cubiertos por la suite)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82.03%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71.55%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83.33%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87.27%</w:t>
            </w:r>
          </w:p>
        </w:tc>
      </w:tr>
    </w:tbl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Las ramas sin cubrir en TarjetaTorneo y FormularioInscripcion corresponden principalmente a combinaciones de estado (torneos finalizados sin cupos, inscripciones duplicadas) que se ejercitan manualmente en la demostración en vivo pero no tienen todavía una prueba automatizada dedicada; quedan identificadas como trabajo pendiente para profundizar la cobertura.</w:t>
      </w:r>
    </w:p>
    <w:p>
      <w:pPr>
        <w:pStyle w:val="Heading1"/>
        <w:spacing w:after="160" w:before="360"/>
      </w:pPr>
      <w:r>
        <w:t xml:space="preserve">6. Cómo reproducir la ejecución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npm install (una sola vez, instala dependencias de React, Bootstrap, Karma y Jasmine).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CHROME_BIN=&lt;ruta a un binario de Chrome/Chromium&gt; npm test — ejecuta la suite completa una vez y genera el reporte de cobertura en coverage/.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npm run test:watch — modo observador, útil durante el desarrollo de nuevas pruebas.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El reporte HTML detallado línea por línea queda en coverage/html/index.html.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Cobertura de testing — EP2 eSports Arena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B2733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2026-10-11T14:14:38.476Z</dcterms:created>
  <dcterms:modified xsi:type="dcterms:W3CDTF">2026-10-11T14:14:38.476Z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