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186E1">
      <w:pPr>
        <w:spacing w:before="2100" w:after="360"/>
        <w:jc w:val="center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46"/>
        </w:rPr>
        <w:t>基于多模态AI监测的老年人跌倒风险</w:t>
      </w:r>
      <w:r>
        <w:rPr>
          <w:rFonts w:ascii="微软雅黑" w:hAnsi="微软雅黑" w:eastAsia="微软雅黑"/>
          <w:b/>
          <w:color w:val="auto"/>
          <w:sz w:val="46"/>
        </w:rPr>
        <w:br w:type="textWrapping"/>
      </w:r>
      <w:r>
        <w:rPr>
          <w:rFonts w:ascii="微软雅黑" w:hAnsi="微软雅黑" w:eastAsia="微软雅黑"/>
          <w:b/>
          <w:color w:val="auto"/>
          <w:sz w:val="46"/>
        </w:rPr>
        <w:t>前置防控系统</w:t>
      </w:r>
    </w:p>
    <w:p w14:paraId="7C126B4A">
      <w:pPr>
        <w:spacing w:after="640"/>
        <w:jc w:val="center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8"/>
        </w:rPr>
        <w:t>部署与运行说明、系统设计与技术开发文档</w:t>
      </w:r>
      <w:r>
        <w:rPr>
          <w:rFonts w:ascii="微软雅黑" w:hAnsi="微软雅黑" w:eastAsia="微软雅黑"/>
          <w:b w:val="0"/>
          <w:color w:val="auto"/>
          <w:sz w:val="28"/>
        </w:rPr>
        <w:br w:type="textWrapping"/>
      </w:r>
      <w:r>
        <w:rPr>
          <w:rFonts w:ascii="微软雅黑" w:hAnsi="微软雅黑" w:eastAsia="微软雅黑"/>
          <w:b w:val="0"/>
          <w:color w:val="auto"/>
          <w:sz w:val="28"/>
        </w:rPr>
        <w:t>以及实测数据与功能验证材料</w:t>
      </w:r>
    </w:p>
    <w:p w14:paraId="485EF1CD">
      <w:pPr>
        <w:rPr>
          <w:color w:val="auto"/>
        </w:rPr>
      </w:pPr>
      <w:r>
        <w:rPr>
          <w:color w:val="auto"/>
        </w:rPr>
        <w:br w:type="page"/>
      </w:r>
      <w:r>
        <w:rPr>
          <w:rFonts w:ascii="微软雅黑" w:hAnsi="微软雅黑" w:eastAsia="微软雅黑"/>
          <w:b/>
          <w:color w:val="auto"/>
          <w:sz w:val="31"/>
        </w:rPr>
        <w:t>1. 引言</w:t>
      </w:r>
    </w:p>
    <w:p w14:paraId="7335878A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1.1 背景</w:t>
      </w:r>
    </w:p>
    <w:p w14:paraId="3F8DE19A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居家老年人跌倒具有突发性、场景复杂和处置窗口短等特点。仅在跌倒发生后报警，难以覆盖跌倒前姿态失衡、活动突变和步态异常等可观察征兆。本项目以非接触式视觉骨架为核心，结合可选的萤石设备、身心状态筛查与可解释告警策略，构建“风险前置提示—跌倒事件确认—分级响应—变化随访”的研究原型。</w:t>
      </w:r>
    </w:p>
    <w:p w14:paraId="234CDE2E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系统不把“有视频”直接等同于“可诊断”。所有风险输出均携带质量边界与证据来源：摄像头或传感字段缺失时显式标记 unavailable；心理健康模块只输出筛查或变化建议；现场设备和时延未完成实测时不生成通过结论。</w:t>
      </w:r>
    </w:p>
    <w:p w14:paraId="32050A09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1.2 核心思路</w:t>
      </w:r>
    </w:p>
    <w:p w14:paraId="125B693A">
      <w:pPr>
        <w:pStyle w:val="14"/>
        <w:spacing w:after="80" w:line="288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使用 YOLO11-Pose 将视频转换为 COCO-17 骨架，并在 64 帧长时窗口中进行归一化与质量评估。</w:t>
      </w:r>
    </w:p>
    <w:p w14:paraId="40413DDE">
      <w:pPr>
        <w:pStyle w:val="14"/>
        <w:spacing w:after="80" w:line="288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以 PA-DTSF 长时 TCN 进行阶段与跌倒事件推理，同时以步态稳定性特征形成可解释的跌倒前风险线索。</w:t>
      </w:r>
    </w:p>
    <w:p w14:paraId="24BABDFC">
      <w:pPr>
        <w:pStyle w:val="14"/>
        <w:spacing w:after="80" w:line="288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通过质量门控、告警去重与一次性安全询问，降低低质量观测和频繁问询对老人的打扰。</w:t>
      </w:r>
    </w:p>
    <w:p w14:paraId="69EC7162">
      <w:pPr>
        <w:pStyle w:val="14"/>
        <w:spacing w:after="80" w:line="288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以受试者分组、固定确认集、ROC/PR、F1、Brier、校准与代码测试材料建立可复核的证据链。</w:t>
      </w:r>
    </w:p>
    <w:p w14:paraId="74CEFB02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1.3 目标</w:t>
      </w:r>
    </w:p>
    <w:tbl>
      <w:tblPr>
        <w:tblStyle w:val="33"/>
        <w:tblW w:w="64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</w:tblGrid>
      <w:tr w14:paraId="4D090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13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2D25B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8"/>
              </w:rPr>
              <w:t>目标层</w:t>
            </w:r>
          </w:p>
        </w:tc>
        <w:tc>
          <w:tcPr>
            <w:tcW w:w="3213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7D3C8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8"/>
              </w:rPr>
              <w:t>目标</w:t>
            </w:r>
          </w:p>
        </w:tc>
      </w:tr>
      <w:tr w14:paraId="0CE68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315E3066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8"/>
              </w:rPr>
              <w:t>可运行性</w:t>
            </w:r>
          </w:p>
        </w:tc>
        <w:tc>
          <w:tcPr>
            <w:tcW w:w="3213" w:type="dxa"/>
            <w:vAlign w:val="center"/>
          </w:tcPr>
          <w:p w14:paraId="46CA8E68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8"/>
              </w:rPr>
              <w:t>本地视频/摄像头/授权播放地址接入，骨架推理、风险分级、告警和本地看板闭环</w:t>
            </w:r>
          </w:p>
        </w:tc>
      </w:tr>
      <w:tr w14:paraId="4DBB8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12D76F63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8"/>
              </w:rPr>
              <w:t>算法性</w:t>
            </w:r>
          </w:p>
        </w:tc>
        <w:tc>
          <w:tcPr>
            <w:tcW w:w="3213" w:type="dxa"/>
            <w:vAlign w:val="center"/>
          </w:tcPr>
          <w:p w14:paraId="7783A34E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8"/>
              </w:rPr>
              <w:t>在受试者隔离条件下评估跌倒事件识别，并保留对概率校准和阈值的审计能力</w:t>
            </w:r>
          </w:p>
        </w:tc>
      </w:tr>
      <w:tr w14:paraId="15B82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6B967CFA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8"/>
              </w:rPr>
              <w:t>适老性</w:t>
            </w:r>
          </w:p>
        </w:tc>
        <w:tc>
          <w:tcPr>
            <w:tcW w:w="3213" w:type="dxa"/>
            <w:vAlign w:val="center"/>
          </w:tcPr>
          <w:p w14:paraId="4B6636DC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8"/>
              </w:rPr>
              <w:t>非接触、低打扰、一次性确认、风险提示不替代诊断</w:t>
            </w:r>
          </w:p>
        </w:tc>
      </w:tr>
      <w:tr w14:paraId="07A7E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5C79060B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8"/>
              </w:rPr>
              <w:t>可验证性</w:t>
            </w:r>
          </w:p>
        </w:tc>
        <w:tc>
          <w:tcPr>
            <w:tcW w:w="3213" w:type="dxa"/>
            <w:vAlign w:val="center"/>
          </w:tcPr>
          <w:p w14:paraId="59A0FDE7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8"/>
              </w:rPr>
              <w:t>数据、checkpoint、图表、脚本、测试输出和设备能力分层留痕</w:t>
            </w:r>
          </w:p>
        </w:tc>
      </w:tr>
    </w:tbl>
    <w:p w14:paraId="6597A074">
      <w:pPr>
        <w:spacing w:after="20"/>
        <w:rPr>
          <w:color w:val="auto"/>
        </w:rPr>
      </w:pPr>
    </w:p>
    <w:p w14:paraId="150274BA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1.4 文章架构</w:t>
      </w:r>
    </w:p>
    <w:p w14:paraId="051C2E86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第2章说明模型结构与创新；第3章给出数据来源和处理流程；第4章阐述专业知识注入；第5章描述居家场景适配；第6章给出评估方法、实测数据和功能测试结论。附录提供部署运行步骤、验证命令、测试记录与提交清单。</w:t>
      </w:r>
    </w:p>
    <w:p w14:paraId="2C98776B">
      <w:pPr>
        <w:pStyle w:val="3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31"/>
        </w:rPr>
        <w:t>2. 模型结构</w:t>
      </w:r>
    </w:p>
    <w:p w14:paraId="617EBD4D">
      <w:pPr>
        <w:pStyle w:val="4"/>
        <w:keepNext/>
        <w:pageBreakBefore w:val="0"/>
        <w:rPr>
          <w:rFonts w:ascii="微软雅黑" w:hAnsi="微软雅黑" w:eastAsia="微软雅黑"/>
          <w:b/>
          <w:color w:val="auto"/>
          <w:sz w:val="25"/>
        </w:rPr>
      </w:pPr>
      <w:r>
        <w:rPr>
          <w:rFonts w:ascii="微软雅黑" w:hAnsi="微软雅黑" w:eastAsia="微软雅黑"/>
          <w:b/>
          <w:color w:val="auto"/>
          <w:sz w:val="25"/>
        </w:rPr>
        <w:t>2.1 设计原则</w:t>
      </w:r>
    </w:p>
    <w:p w14:paraId="2A66C5CC">
      <w:pPr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18"/>
        </w:rPr>
        <w:t>安全优先</w:t>
      </w:r>
      <w:r>
        <w:rPr>
          <w:rFonts w:hint="eastAsia"/>
          <w:b w:val="0"/>
          <w:color w:val="auto"/>
          <w:sz w:val="18"/>
          <w:lang w:eastAsia="zh-CN"/>
        </w:rPr>
        <w:t>，</w:t>
      </w:r>
      <w:r>
        <w:rPr>
          <w:rFonts w:ascii="微软雅黑" w:hAnsi="微软雅黑" w:eastAsia="微软雅黑"/>
          <w:b w:val="0"/>
          <w:color w:val="auto"/>
          <w:sz w:val="18"/>
        </w:rPr>
        <w:t>非接触</w:t>
      </w:r>
      <w:r>
        <w:rPr>
          <w:rFonts w:hint="eastAsia"/>
          <w:b w:val="0"/>
          <w:color w:val="auto"/>
          <w:sz w:val="18"/>
          <w:lang w:eastAsia="zh-CN"/>
        </w:rPr>
        <w:t>，</w:t>
      </w:r>
      <w:r>
        <w:rPr>
          <w:rFonts w:ascii="微软雅黑" w:hAnsi="微软雅黑" w:eastAsia="微软雅黑"/>
          <w:b w:val="0"/>
          <w:color w:val="auto"/>
          <w:sz w:val="18"/>
        </w:rPr>
        <w:t>低打扰</w:t>
      </w:r>
      <w:r>
        <w:rPr>
          <w:rFonts w:hint="eastAsia"/>
          <w:b w:val="0"/>
          <w:color w:val="auto"/>
          <w:sz w:val="18"/>
          <w:lang w:eastAsia="zh-CN"/>
        </w:rPr>
        <w:t>，</w:t>
      </w:r>
      <w:r>
        <w:rPr>
          <w:rFonts w:ascii="微软雅黑" w:hAnsi="微软雅黑" w:eastAsia="微软雅黑"/>
          <w:b w:val="0"/>
          <w:color w:val="auto"/>
          <w:sz w:val="18"/>
        </w:rPr>
        <w:t>可解释</w:t>
      </w:r>
      <w:r>
        <w:rPr>
          <w:rFonts w:hint="eastAsia"/>
          <w:b w:val="0"/>
          <w:color w:val="auto"/>
          <w:sz w:val="18"/>
          <w:lang w:eastAsia="zh-CN"/>
        </w:rPr>
        <w:t>，</w:t>
      </w:r>
      <w:r>
        <w:rPr>
          <w:rFonts w:ascii="微软雅黑" w:hAnsi="微软雅黑" w:eastAsia="微软雅黑"/>
          <w:b w:val="0"/>
          <w:color w:val="auto"/>
          <w:sz w:val="18"/>
        </w:rPr>
        <w:t>可追溯</w:t>
      </w:r>
      <w:r>
        <w:rPr>
          <w:rFonts w:hint="eastAsia"/>
          <w:b w:val="0"/>
          <w:color w:val="auto"/>
          <w:sz w:val="18"/>
          <w:lang w:eastAsia="zh-CN"/>
        </w:rPr>
        <w:t>，</w:t>
      </w:r>
      <w:r>
        <w:rPr>
          <w:rFonts w:ascii="微软雅黑" w:hAnsi="微软雅黑" w:eastAsia="微软雅黑"/>
          <w:b w:val="0"/>
          <w:color w:val="auto"/>
          <w:sz w:val="18"/>
        </w:rPr>
        <w:t>渐进扩展</w:t>
      </w:r>
    </w:p>
    <w:p w14:paraId="029E0547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2.2 基础模型选择</w:t>
      </w:r>
    </w:p>
    <w:tbl>
      <w:tblPr>
        <w:tblStyle w:val="33"/>
        <w:tblW w:w="64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</w:tblGrid>
      <w:tr w14:paraId="5DA9F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13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99284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组件</w:t>
            </w:r>
          </w:p>
        </w:tc>
        <w:tc>
          <w:tcPr>
            <w:tcW w:w="3213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AA464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选择与作用</w:t>
            </w:r>
          </w:p>
        </w:tc>
      </w:tr>
      <w:tr w14:paraId="25333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3326F34C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姿态感知</w:t>
            </w:r>
          </w:p>
        </w:tc>
        <w:tc>
          <w:tcPr>
            <w:tcW w:w="3213" w:type="dxa"/>
            <w:vAlign w:val="center"/>
          </w:tcPr>
          <w:p w14:paraId="7C1B7319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YOLO11-Pose / COCO-17：将视频转为人体关键点和置信度。</w:t>
            </w:r>
          </w:p>
        </w:tc>
      </w:tr>
      <w:tr w14:paraId="2CEEE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220E3F66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跌倒事件</w:t>
            </w:r>
          </w:p>
        </w:tc>
        <w:tc>
          <w:tcPr>
            <w:tcW w:w="3213" w:type="dxa"/>
            <w:vAlign w:val="center"/>
          </w:tcPr>
          <w:p w14:paraId="43BFE6AF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PA-DTSF：长时 TCN 处理 64 帧归一化骨架，输出阶段、跌倒事件、前跌倒与恢复相关头。</w:t>
            </w:r>
          </w:p>
        </w:tc>
      </w:tr>
      <w:tr w14:paraId="46273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7DD9DFE8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前置风险</w:t>
            </w:r>
          </w:p>
        </w:tc>
        <w:tc>
          <w:tcPr>
            <w:tcW w:w="3213" w:type="dxa"/>
            <w:vAlign w:val="center"/>
          </w:tcPr>
          <w:p w14:paraId="1BAB0AE2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GaitStabilityAnalyzer：活动突变、身体倾斜、重心变化、步态稳定性等尺度归一特征。</w:t>
            </w:r>
          </w:p>
        </w:tc>
      </w:tr>
      <w:tr w14:paraId="21E7E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498D45CF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身心状态</w:t>
            </w:r>
          </w:p>
        </w:tc>
        <w:tc>
          <w:tcPr>
            <w:tcW w:w="3213" w:type="dxa"/>
            <w:vAlign w:val="center"/>
          </w:tcPr>
          <w:p w14:paraId="562A722B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GDS-15 版本化筛查 + PMCC 变化提示。</w:t>
            </w:r>
          </w:p>
        </w:tc>
      </w:tr>
      <w:tr w14:paraId="6CA2D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77F79035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响应</w:t>
            </w:r>
          </w:p>
        </w:tc>
        <w:tc>
          <w:tcPr>
            <w:tcW w:w="3213" w:type="dxa"/>
            <w:vAlign w:val="center"/>
          </w:tcPr>
          <w:p w14:paraId="74719348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质量门控、事件状态机、告警去重、联系人提示和本地 Gradio 看板。</w:t>
            </w:r>
          </w:p>
        </w:tc>
      </w:tr>
    </w:tbl>
    <w:p w14:paraId="72D40ADC">
      <w:pPr>
        <w:spacing w:after="20"/>
        <w:rPr>
          <w:color w:val="auto"/>
        </w:rPr>
      </w:pPr>
    </w:p>
    <w:p w14:paraId="08402AC1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2.3 整体架构描述</w:t>
      </w:r>
    </w:p>
    <w:p w14:paraId="531CBDC6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6083935" cy="3649980"/>
            <wp:effectExtent l="0" t="0" r="1206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65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A264">
      <w:pPr>
        <w:spacing w:before="40" w:after="160"/>
        <w:jc w:val="center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18"/>
        </w:rPr>
        <w:t>图1 系统总体架构。实装视觉闭环与可选多模态接口分层，未验证数据源以 unavailable 表示。</w:t>
      </w:r>
    </w:p>
    <w:p w14:paraId="3D65D6B8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运行链路为：输入适配器接收本地视频、摄像头或已授权的播放地址；姿态适配器生成 COCO-17 骨架及置信度；窗口模块组织长短时间尺度观测；长时分支进入 PA-DTSF；决策服务结合质量门控、阶段状态、风险阈值与告警策略生成可解释事件。身心状态模块独立运行，不将一次回答推断为心理疾病。</w:t>
      </w:r>
    </w:p>
    <w:p w14:paraId="6F019636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2.4 创新点和扩展潜力</w:t>
      </w:r>
    </w:p>
    <w:p w14:paraId="3417A1D4">
      <w:pPr>
        <w:pStyle w:val="16"/>
        <w:spacing w:after="80" w:line="288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从“跌倒后识别”延伸到“跌倒前风险线索”：将步态稳定性、活动突变与姿态变化作为前置风险依据，并保持与跌倒事件模型的证据边界分离。</w:t>
      </w:r>
    </w:p>
    <w:p w14:paraId="032DD2E6">
      <w:pPr>
        <w:pStyle w:val="16"/>
        <w:spacing w:after="80" w:line="288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质量感知多模态：信息源缺失时降级为 vision_only，而非用虚拟雷达或生理数据补全；这使系统在真实设备接入不完整时仍可解释。</w:t>
      </w:r>
    </w:p>
    <w:p w14:paraId="38AF35F4">
      <w:pPr>
        <w:pStyle w:val="16"/>
        <w:spacing w:after="80" w:line="288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以受试者分组和校准为中心的评价：冻结确认集、温度缩放、阈值审计和 promotion gate 共同抑制“在测试集上调参”的风险。</w:t>
      </w:r>
    </w:p>
    <w:p w14:paraId="2E713511">
      <w:pPr>
        <w:pStyle w:val="16"/>
        <w:spacing w:after="80" w:line="288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适老化交互：使用一次性确认、长静默期和人工关注建议，降低重复问询和过度医疗化表达。</w:t>
      </w:r>
    </w:p>
    <w:p w14:paraId="0B025526">
      <w:pPr>
        <w:pStyle w:val="16"/>
        <w:spacing w:after="80" w:line="288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可扩展性：后续可在保护隐私和获得标注的前提下接入 SDNL1、语音诈骗线索和家庭环境上下文；每个新源都应独立做可靠性、隐私和泛化评估。</w:t>
      </w:r>
    </w:p>
    <w:p w14:paraId="4BF8252A">
      <w:pPr>
        <w:pStyle w:val="3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31"/>
        </w:rPr>
        <w:t>3. 数据处理方法</w:t>
      </w:r>
    </w:p>
    <w:p w14:paraId="2B12CCC5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3.1 数据来源</w:t>
      </w:r>
    </w:p>
    <w:tbl>
      <w:tblPr>
        <w:tblStyle w:val="33"/>
        <w:tblW w:w="64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</w:tblGrid>
      <w:tr w14:paraId="23B6D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13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AAA34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数据源</w:t>
            </w:r>
          </w:p>
        </w:tc>
        <w:tc>
          <w:tcPr>
            <w:tcW w:w="3213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13650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内容</w:t>
            </w:r>
          </w:p>
        </w:tc>
      </w:tr>
      <w:tr w14:paraId="3BCD5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55B3F635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GMDCSA24 v2.1</w:t>
            </w:r>
          </w:p>
        </w:tc>
        <w:tc>
          <w:tcPr>
            <w:tcW w:w="3213" w:type="dxa"/>
            <w:vAlign w:val="center"/>
          </w:tcPr>
          <w:p w14:paraId="38B0CDF5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160 段公开视频；4 名受试者。Subject 1–4 的 ADL/Fall 数量分别为 16/16、23/25、22/21、20/17。</w:t>
            </w:r>
          </w:p>
        </w:tc>
      </w:tr>
      <w:tr w14:paraId="4FF28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197CF3CA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冻结 PA-DTSF pose cache</w:t>
            </w:r>
          </w:p>
        </w:tc>
        <w:tc>
          <w:tcPr>
            <w:tcW w:w="3213" w:type="dxa"/>
            <w:vAlign w:val="center"/>
          </w:tcPr>
          <w:p w14:paraId="2B254D5A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64×17×3 长时姿态缓存、数据锁与 split manifest。</w:t>
            </w:r>
          </w:p>
        </w:tc>
      </w:tr>
      <w:tr w14:paraId="64C2C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494A3601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本地视频/摄像头/授权播放地址</w:t>
            </w:r>
          </w:p>
        </w:tc>
        <w:tc>
          <w:tcPr>
            <w:tcW w:w="3213" w:type="dxa"/>
            <w:vAlign w:val="center"/>
          </w:tcPr>
          <w:p w14:paraId="07AEA5CA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真实运行时输入。</w:t>
            </w:r>
          </w:p>
        </w:tc>
      </w:tr>
      <w:tr w14:paraId="03914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70309CDF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萤石设备清单</w:t>
            </w:r>
          </w:p>
        </w:tc>
        <w:tc>
          <w:tcPr>
            <w:tcW w:w="3213" w:type="dxa"/>
            <w:vAlign w:val="center"/>
          </w:tcPr>
          <w:p w14:paraId="6D02B73D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CS-C6c-V101-1J4WF 与 CS-EP-SDNL1 在线库存。</w:t>
            </w:r>
          </w:p>
        </w:tc>
      </w:tr>
      <w:tr w14:paraId="79C5B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29226EEE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GDS-15 与日常观测</w:t>
            </w:r>
          </w:p>
        </w:tc>
        <w:tc>
          <w:tcPr>
            <w:tcW w:w="3213" w:type="dxa"/>
            <w:vAlign w:val="center"/>
          </w:tcPr>
          <w:p w14:paraId="6F4E3624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版本化 15 项筛查配置与 14 日变化窗口。</w:t>
            </w:r>
          </w:p>
        </w:tc>
      </w:tr>
    </w:tbl>
    <w:p w14:paraId="15623985">
      <w:pPr>
        <w:spacing w:after="20"/>
        <w:rPr>
          <w:color w:val="auto"/>
        </w:rPr>
      </w:pPr>
    </w:p>
    <w:p w14:paraId="42DA0C57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3.2 数据处理流程</w:t>
      </w:r>
    </w:p>
    <w:p w14:paraId="73F31291">
      <w:pPr>
        <w:pStyle w:val="5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3"/>
        </w:rPr>
        <w:t>（1）数据清洗</w:t>
      </w:r>
    </w:p>
    <w:p w14:paraId="6DC632F9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数据集下载后记录 MD5 与 SHA256，扫描得到 160 段视频及受试者目录。训练/评估阶段将视频转为 COCO-17 关键点；缓存读取禁止 pickle，并检查长时姿态形状必须为 (64, 17, 3)。对于无效坐标、置信度异常、缺失关键点与不存在的文件，系统以错误或 unavailable 表达，不填充为有效观测。</w:t>
      </w:r>
    </w:p>
    <w:p w14:paraId="4102E703">
      <w:pPr>
        <w:pStyle w:val="5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3"/>
        </w:rPr>
        <w:t>（2）数据增强</w:t>
      </w:r>
    </w:p>
    <w:p w14:paraId="181BDFB8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训练数据管线支持左右镜像、时间缩放、按身体尺度换算的坐标噪声、关键点 dropout 和连续 2–6 帧遮挡。增强只在 train 模式生效，validation 与固定确认集禁止随机增强。该管线已具备单元测试，但当前冻结 release 的 32 片段确认结果不应被解释为“已经由这组增强重新训练后的增益”。</w:t>
      </w:r>
    </w:p>
    <w:p w14:paraId="593DBC1D">
      <w:pPr>
        <w:pStyle w:val="5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3"/>
        </w:rPr>
        <w:t>（3）数据融合</w:t>
      </w:r>
    </w:p>
    <w:p w14:paraId="47B964E8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系统采用质量门控而不是强行拼接。当前 PA-DTSF release 仅使用长时骨架，短时分支输入零向量并设置 short_quality=0；当雷达、SDNL1 或其他源缺失时，输出质量状态为 vision_only/unavailable。未来多源融合应以同步时间戳、可用性掩码、质量得分和来源字段作为共同输入，而不是以零值表示“正常”。</w:t>
      </w:r>
    </w:p>
    <w:p w14:paraId="3E21FB36">
      <w:pPr>
        <w:pStyle w:val="5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3"/>
        </w:rPr>
        <w:t>（4）专业知识注入</w:t>
      </w:r>
    </w:p>
    <w:p w14:paraId="0AE511F4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数据级知识注入包括：COCO-17 左右关节对称关系、躯干尺度归一化、跌倒阶段标签、受试者分组划分、质量阈值与缺失掩码。它们将人体结构、动作连续性与安全边界编码为可检验约束，减少模型把摄像机距离、像素尺度或缺失值误学为风险。</w:t>
      </w:r>
    </w:p>
    <w:p w14:paraId="0C97773B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3.3 数据处理创新价值</w:t>
      </w:r>
    </w:p>
    <w:p w14:paraId="0C9CD9A0">
      <w:pPr>
        <w:pStyle w:val="16"/>
        <w:spacing w:after="80" w:line="288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把数据质量作为模型输入和输出的一部分，而非只在预处理阶段静默丢弃。</w:t>
      </w:r>
    </w:p>
    <w:p w14:paraId="3B681572">
      <w:pPr>
        <w:pStyle w:val="16"/>
        <w:spacing w:after="80" w:line="288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以身体尺度归一化和跨受试者划分降低个体体型、摄像机位置和动作幅度的干扰。</w:t>
      </w:r>
    </w:p>
    <w:p w14:paraId="2D00F0D7">
      <w:pPr>
        <w:pStyle w:val="16"/>
        <w:spacing w:after="80" w:line="288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使用可复核的数据锁、划分清单和 checkpoint 校验值，使指标可重新生成。</w:t>
      </w:r>
    </w:p>
    <w:p w14:paraId="3EFB6B8F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3.4 总结</w:t>
      </w:r>
    </w:p>
    <w:p w14:paraId="47DE9256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数据处理的目标不是扩大数据量而是保证来源、形状、划分和质量状态的一致性。当前公开数据适用于算法研究；真实老人、夜间红外、复杂遮挡和家庭长期数据仍需补充。</w:t>
      </w:r>
    </w:p>
    <w:p w14:paraId="4D56236F">
      <w:pPr>
        <w:pStyle w:val="3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31"/>
        </w:rPr>
        <w:t>4. 专业知识注入体制</w:t>
      </w:r>
    </w:p>
    <w:p w14:paraId="79E9304B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4.1 专业知识体系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2C31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A4F12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知识类别</w:t>
            </w:r>
          </w:p>
        </w:tc>
        <w:tc>
          <w:tcPr>
            <w:tcW w:w="41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6E32C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编码方式</w:t>
            </w:r>
          </w:p>
        </w:tc>
        <w:tc>
          <w:tcPr>
            <w:tcW w:w="351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6E92C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作用</w:t>
            </w:r>
          </w:p>
        </w:tc>
      </w:tr>
      <w:tr w14:paraId="6205B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26EC7D6E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人体运动学</w:t>
            </w:r>
          </w:p>
        </w:tc>
        <w:tc>
          <w:tcPr>
            <w:tcW w:w="3213" w:type="dxa"/>
            <w:vAlign w:val="center"/>
          </w:tcPr>
          <w:p w14:paraId="25817C54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COCO-17 关键点、髋/肩中点、踝部轨迹、躯干尺度归一化。</w:t>
            </w:r>
          </w:p>
        </w:tc>
        <w:tc>
          <w:tcPr>
            <w:tcW w:w="3213" w:type="dxa"/>
            <w:vAlign w:val="center"/>
          </w:tcPr>
          <w:p w14:paraId="412D0E24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形成与人体尺度相对稳定的步态和姿态特征。</w:t>
            </w:r>
          </w:p>
        </w:tc>
      </w:tr>
      <w:tr w14:paraId="7311F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1FB1BA93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跌倒过程</w:t>
            </w:r>
          </w:p>
        </w:tc>
        <w:tc>
          <w:tcPr>
            <w:tcW w:w="3213" w:type="dxa"/>
            <w:vAlign w:val="center"/>
          </w:tcPr>
          <w:p w14:paraId="6C55CE57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normal_adl、prefall_abnormal、descending、impact、fallen、recovering 阶段结构。</w:t>
            </w:r>
          </w:p>
        </w:tc>
        <w:tc>
          <w:tcPr>
            <w:tcW w:w="3213" w:type="dxa"/>
            <w:vAlign w:val="center"/>
          </w:tcPr>
          <w:p w14:paraId="70676D50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将瞬时事件放入时序过程，支持前置提示和恢复观察。</w:t>
            </w:r>
          </w:p>
        </w:tc>
      </w:tr>
      <w:tr w14:paraId="4E711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75462BE5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安全策略</w:t>
            </w:r>
          </w:p>
        </w:tc>
        <w:tc>
          <w:tcPr>
            <w:tcW w:w="3213" w:type="dxa"/>
            <w:vAlign w:val="center"/>
          </w:tcPr>
          <w:p w14:paraId="35BA86A2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质量门控、状态机、告警去重、一次性帮助确认。</w:t>
            </w:r>
          </w:p>
        </w:tc>
        <w:tc>
          <w:tcPr>
            <w:tcW w:w="3213" w:type="dxa"/>
            <w:vAlign w:val="center"/>
          </w:tcPr>
          <w:p w14:paraId="29EC3409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避免低质量输入和重复问询直接转化为高等级告警。</w:t>
            </w:r>
          </w:p>
        </w:tc>
      </w:tr>
      <w:tr w14:paraId="6D591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1B76E105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心理筛查伦理</w:t>
            </w:r>
          </w:p>
        </w:tc>
        <w:tc>
          <w:tcPr>
            <w:tcW w:w="3213" w:type="dxa"/>
            <w:vAlign w:val="center"/>
          </w:tcPr>
          <w:p w14:paraId="6E36771F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GDS-15 版本、固定题目 ID、非诊断声明、邀请节流。</w:t>
            </w:r>
          </w:p>
        </w:tc>
        <w:tc>
          <w:tcPr>
            <w:tcW w:w="3213" w:type="dxa"/>
            <w:vAlign w:val="center"/>
          </w:tcPr>
          <w:p w14:paraId="723E2948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使筛查、变化提示和医学诊断在系统逻辑上可区分。</w:t>
            </w:r>
          </w:p>
        </w:tc>
      </w:tr>
      <w:tr w14:paraId="05EA0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08BC5194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隐私治理</w:t>
            </w:r>
          </w:p>
        </w:tc>
        <w:tc>
          <w:tcPr>
            <w:tcW w:w="3213" w:type="dxa"/>
            <w:vAlign w:val="center"/>
          </w:tcPr>
          <w:p w14:paraId="39DE310D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默认不留存连续视频；事件片段需显式 opt-in，10 秒前/20 秒后窗口、7 天保留。</w:t>
            </w:r>
          </w:p>
        </w:tc>
        <w:tc>
          <w:tcPr>
            <w:tcW w:w="3213" w:type="dxa"/>
            <w:vAlign w:val="center"/>
          </w:tcPr>
          <w:p w14:paraId="31A8DA66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降低居家持续监控的数据暴露面。</w:t>
            </w:r>
          </w:p>
        </w:tc>
      </w:tr>
    </w:tbl>
    <w:p w14:paraId="653CF24E">
      <w:pPr>
        <w:spacing w:after="20"/>
        <w:rPr>
          <w:color w:val="auto"/>
        </w:rPr>
      </w:pPr>
    </w:p>
    <w:p w14:paraId="6C405B58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4.2 知识注入方法</w:t>
      </w:r>
    </w:p>
    <w:p w14:paraId="04D8B6C0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第一，结构化特征注入：GaitStabilityAnalyzer 从关键点序列提取重心横向摆动、步宽、步态变异、左右对称、躯干角变化和质量；legacy 前置风险计算还组合 activity_burst、lean_trend、com_vel_y 与重心下降。第二，约束注入：数据形状、关节对、缺失掩码、受试者分组和温度/阈值选择均由代码校验。第三，规则与学习协同：TCN 处理时序骨架，规则模块输出可解释因素，最终告警由质量和状态机共同限制。</w:t>
      </w:r>
    </w:p>
    <w:p w14:paraId="4884C5D8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4.3 创新价值</w:t>
      </w:r>
    </w:p>
    <w:p w14:paraId="5BA9DA9F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该体制的创新点不在于把专业词汇写进说明书，而在于把它们转化为输入结构、合法性校验、推理门控和交互策略。即使可选传感器未接入，系统也能说明“为何仅以视觉做出风险提示”与“为何拒绝给出结论”，提升比赛演示和后续工程扩展的可信度。</w:t>
      </w:r>
    </w:p>
    <w:p w14:paraId="6ACCCA80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4.4 总结</w:t>
      </w:r>
    </w:p>
    <w:p w14:paraId="44F78E05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知识注入让模型具备可解释的安全边界，但不能替代真实老年人群、临床研究或专业人员判断。后续应由康复、老年医学和心理专业人员参与标注与阈值审查。</w:t>
      </w:r>
    </w:p>
    <w:p w14:paraId="13F6A1FD">
      <w:pPr>
        <w:pStyle w:val="3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31"/>
        </w:rPr>
        <w:t>5. 场景适配能力</w:t>
      </w:r>
    </w:p>
    <w:p w14:paraId="254E0BB8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5.1 场景聚焦和适配目标</w:t>
      </w:r>
    </w:p>
    <w:p w14:paraId="6A2F928A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场景聚焦于居家室内：老人独处或家属无法持续陪伴时，系统以固定摄像头/本地视频为主要感知入口，优先完成可解释的跌倒风险和事件闭环。适配目标包括普通活动不频繁打扰、疑似跌倒可提示家属关注、设备或传感器缺失时明确降级、心理模块只在合适时机给出筛查邀请。</w:t>
      </w:r>
    </w:p>
    <w:p w14:paraId="3E41A462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5.2 场景适配方法</w:t>
      </w:r>
    </w:p>
    <w:p w14:paraId="10F79EBD">
      <w:pPr>
        <w:pStyle w:val="5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3"/>
        </w:rPr>
        <w:t>（1）多模态输入适配</w:t>
      </w:r>
    </w:p>
    <w:p w14:paraId="7960F678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输入适配器支持 local_video、webcam 与经萤石授权得到的播放地址。视觉链路使用骨架和置信度；SDNL1 等数据源是可选输入，接口或字段缺失时不产生伪生理数据。2026-08-05 的平台库存结果显示 CS-C6c-V101-1J4WF 与 CS-EP-SDNL1 均在线，但直播、对讲和 SDNL1 数据字段尚未实测。</w:t>
      </w:r>
    </w:p>
    <w:p w14:paraId="2338FBD5">
      <w:pPr>
        <w:pStyle w:val="5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3"/>
        </w:rPr>
        <w:t>（2）确保输出可行性</w:t>
      </w:r>
    </w:p>
    <w:p w14:paraId="5B3C75F7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输出层采用分级告警：前置风险提示、跌倒事件告警、恢复确认和家属建议动作。可用性不是二元的：vision_only 表示仅有视觉证据仍可处理；unavailable 表示功能未知或未验证。系统不自动呼叫急救服务，不基于一次问答推断心理状态。</w:t>
      </w:r>
    </w:p>
    <w:p w14:paraId="24A36F3B">
      <w:pPr>
        <w:pStyle w:val="5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3"/>
        </w:rPr>
        <w:t>（3）交互式原型系统</w:t>
      </w:r>
    </w:p>
    <w:p w14:paraId="08495637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`scripts/run_live_monitor.py` 可基于 checkpoint、本地视频/摄像头或授权流启动实时服务，默认可使用本地 Gradio 看板；`--no-browser` 用于无界面冒烟运行。告警以本地 JSONL 留痕，默认不写入连续视频。比赛演示应使用公开回放或受保护的健康成人模拟，画面必须标明 DEMO/OFFLINE REPLAY，不得让老人做跌倒动作。</w:t>
      </w:r>
    </w:p>
    <w:p w14:paraId="054F5E4E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5.3 场景适配的创新价值</w:t>
      </w:r>
    </w:p>
    <w:p w14:paraId="6EE4E850">
      <w:pPr>
        <w:pStyle w:val="16"/>
        <w:spacing w:after="80" w:line="288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把“未接入”明确表达为 unavailable，避免多模态方案常见的“参数写了但能力未验证”问题。</w:t>
      </w:r>
    </w:p>
    <w:p w14:paraId="5C3CCA85">
      <w:pPr>
        <w:pStyle w:val="16"/>
        <w:spacing w:after="80" w:line="288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从视觉单源即可运行，再以质量状态驱动增强，不让可选传感器成为系统演示的单点阻塞。</w:t>
      </w:r>
    </w:p>
    <w:p w14:paraId="64B9A57F">
      <w:pPr>
        <w:pStyle w:val="16"/>
        <w:spacing w:after="80" w:line="288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通过一次性确认与邀请节流解决高频问询带来的适老性问题。</w:t>
      </w:r>
    </w:p>
    <w:p w14:paraId="780F03A6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5.4 适配能力的扩展性</w:t>
      </w:r>
    </w:p>
    <w:p w14:paraId="2EECE57D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扩展前提是每个新增来源具有独立数据协议、质量字段、可用性状态和分组验证。未来可在合规前提下加入 SDNL1、生理趋势、语音诈骗风险线索和环境上下文；但诈骗识别当前未形成有效数据集、模型或实测报告，因此不纳入本报告的性能承诺。</w:t>
      </w:r>
    </w:p>
    <w:p w14:paraId="3BE943E6">
      <w:pPr>
        <w:pStyle w:val="3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31"/>
        </w:rPr>
        <w:t>6. 性能评估方法</w:t>
      </w:r>
    </w:p>
    <w:p w14:paraId="423B944A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6.1 评估目标与指标</w:t>
      </w:r>
    </w:p>
    <w:tbl>
      <w:tblPr>
        <w:tblStyle w:val="33"/>
        <w:tblW w:w="4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0"/>
        <w:gridCol w:w="2180"/>
      </w:tblGrid>
      <w:tr w14:paraId="05A66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499" w:hRule="atLeast"/>
          <w:tblHeader/>
          <w:jc w:val="center"/>
        </w:trPr>
        <w:tc>
          <w:tcPr>
            <w:tcW w:w="218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98D18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维度</w:t>
            </w:r>
          </w:p>
        </w:tc>
        <w:tc>
          <w:tcPr>
            <w:tcW w:w="218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6A4F2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指标</w:t>
            </w:r>
          </w:p>
        </w:tc>
      </w:tr>
      <w:tr w14:paraId="73CDD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641" w:hRule="atLeast"/>
          <w:jc w:val="center"/>
        </w:trPr>
        <w:tc>
          <w:tcPr>
            <w:tcW w:w="2180" w:type="dxa"/>
            <w:vAlign w:val="center"/>
          </w:tcPr>
          <w:p w14:paraId="6FFC8FF2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跌倒事件分类</w:t>
            </w:r>
          </w:p>
        </w:tc>
        <w:tc>
          <w:tcPr>
            <w:tcW w:w="2180" w:type="dxa"/>
            <w:vAlign w:val="center"/>
          </w:tcPr>
          <w:p w14:paraId="5D456193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Precision、Recall、F1、ROC-AUC、Average Precision、混淆矩阵。</w:t>
            </w:r>
          </w:p>
        </w:tc>
      </w:tr>
      <w:tr w14:paraId="73463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325" w:hRule="atLeast"/>
          <w:jc w:val="center"/>
        </w:trPr>
        <w:tc>
          <w:tcPr>
            <w:tcW w:w="2180" w:type="dxa"/>
            <w:vAlign w:val="center"/>
          </w:tcPr>
          <w:p w14:paraId="7609D761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概率可靠性</w:t>
            </w:r>
          </w:p>
        </w:tc>
        <w:tc>
          <w:tcPr>
            <w:tcW w:w="2180" w:type="dxa"/>
            <w:vAlign w:val="center"/>
          </w:tcPr>
          <w:p w14:paraId="1A37DC81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Brier、ECE、温度/阈值审计。</w:t>
            </w:r>
          </w:p>
        </w:tc>
      </w:tr>
      <w:tr w14:paraId="13E94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641" w:hRule="atLeast"/>
          <w:jc w:val="center"/>
        </w:trPr>
        <w:tc>
          <w:tcPr>
            <w:tcW w:w="2180" w:type="dxa"/>
            <w:vAlign w:val="center"/>
          </w:tcPr>
          <w:p w14:paraId="1E5DDDCB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实时性能</w:t>
            </w:r>
          </w:p>
        </w:tc>
        <w:tc>
          <w:tcPr>
            <w:tcW w:w="2180" w:type="dxa"/>
            <w:vAlign w:val="center"/>
          </w:tcPr>
          <w:p w14:paraId="73375E11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全链路 P50/P95 延迟、FPS、重连、误报/小时。</w:t>
            </w:r>
          </w:p>
        </w:tc>
      </w:tr>
      <w:tr w14:paraId="2FAA9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641" w:hRule="atLeast"/>
          <w:jc w:val="center"/>
        </w:trPr>
        <w:tc>
          <w:tcPr>
            <w:tcW w:w="2180" w:type="dxa"/>
            <w:vAlign w:val="center"/>
          </w:tcPr>
          <w:p w14:paraId="322DA523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功能正确性</w:t>
            </w:r>
          </w:p>
        </w:tc>
        <w:tc>
          <w:tcPr>
            <w:tcW w:w="2180" w:type="dxa"/>
            <w:vAlign w:val="center"/>
          </w:tcPr>
          <w:p w14:paraId="7B4FB4AD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单元、集成、设备离线夹具、服务流、release 加载。</w:t>
            </w:r>
          </w:p>
        </w:tc>
      </w:tr>
      <w:tr w14:paraId="2980B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8" w:hRule="atLeast"/>
          <w:jc w:val="center"/>
        </w:trPr>
        <w:tc>
          <w:tcPr>
            <w:tcW w:w="2180" w:type="dxa"/>
            <w:vAlign w:val="center"/>
          </w:tcPr>
          <w:p w14:paraId="01CC1150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身心状态</w:t>
            </w:r>
          </w:p>
        </w:tc>
        <w:tc>
          <w:tcPr>
            <w:tcW w:w="2180" w:type="dxa"/>
            <w:vAlign w:val="center"/>
          </w:tcPr>
          <w:p w14:paraId="4ACB6012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问卷流程、变化提示、邀请节流、伦理边界。</w:t>
            </w:r>
          </w:p>
        </w:tc>
      </w:tr>
    </w:tbl>
    <w:p w14:paraId="57E9FAD2">
      <w:pPr>
        <w:spacing w:after="20"/>
        <w:rPr>
          <w:color w:val="auto"/>
        </w:rPr>
      </w:pPr>
    </w:p>
    <w:p w14:paraId="0D5A64E4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6.2 评估方法与流程</w:t>
      </w:r>
    </w:p>
    <w:p w14:paraId="38056F98">
      <w:pPr>
        <w:pStyle w:val="5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3"/>
        </w:rPr>
        <w:t>（1）数据集划分</w:t>
      </w:r>
    </w:p>
    <w:p w14:paraId="0A407278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历史基线采用 4 折 leave-one-subject-out：每折保留 1 名受试者评估，总计 151 段。当前 PA-DTSF release 使用冻结的 GMDCSA24 v2.1 数据锁和 subject-level 留出确认集，确认集共 32 段、正例 16 段，固定阈值为 0.50。由于该确认集结果已被用于项目决策，后续优化仅可作为固定 confirmation evidence，不能作为新的盲测声明。</w:t>
      </w:r>
    </w:p>
    <w:p w14:paraId="2DD3D92F">
      <w:pPr>
        <w:pStyle w:val="5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3"/>
        </w:rPr>
        <w:t>（2）性能测试</w:t>
      </w:r>
    </w:p>
    <w:tbl>
      <w:tblPr>
        <w:tblStyle w:val="33"/>
        <w:tblW w:w="72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</w:tblGrid>
      <w:tr w14:paraId="501FA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5C8AB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6"/>
              </w:rPr>
              <w:t>证据对象</w:t>
            </w:r>
          </w:p>
        </w:tc>
        <w:tc>
          <w:tcPr>
            <w:tcW w:w="2409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2904F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6"/>
              </w:rPr>
              <w:t>样本/条件</w:t>
            </w:r>
          </w:p>
        </w:tc>
        <w:tc>
          <w:tcPr>
            <w:tcW w:w="2409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75D54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6"/>
              </w:rPr>
              <w:t>实测结果</w:t>
            </w:r>
          </w:p>
        </w:tc>
      </w:tr>
      <w:tr w14:paraId="00F97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2405C190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6"/>
              </w:rPr>
              <w:t>历史 PoseC3D LOSOCV</w:t>
            </w:r>
          </w:p>
        </w:tc>
        <w:tc>
          <w:tcPr>
            <w:tcW w:w="2409" w:type="dxa"/>
            <w:vAlign w:val="center"/>
          </w:tcPr>
          <w:p w14:paraId="71E4E4EC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6"/>
              </w:rPr>
              <w:t>4 折、151 段、受试者留一。</w:t>
            </w:r>
          </w:p>
        </w:tc>
        <w:tc>
          <w:tcPr>
            <w:tcW w:w="2409" w:type="dxa"/>
            <w:vAlign w:val="center"/>
          </w:tcPr>
          <w:p w14:paraId="11A7BAB3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6"/>
              </w:rPr>
              <w:t>Accuracy 0.914；Fall Precision 0.901；Recall 0.914；F1 0.908；TP/FP/FN/TN=64/7/6/74。</w:t>
            </w:r>
          </w:p>
        </w:tc>
      </w:tr>
      <w:tr w14:paraId="64708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039507EF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6"/>
              </w:rPr>
              <w:t>当前 PA-DTSF 冻结确认集</w:t>
            </w:r>
          </w:p>
        </w:tc>
        <w:tc>
          <w:tcPr>
            <w:tcW w:w="2409" w:type="dxa"/>
            <w:vAlign w:val="center"/>
          </w:tcPr>
          <w:p w14:paraId="5DABCE83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6"/>
              </w:rPr>
              <w:t>GMDCSA24 v2.1，32 段、16 个跌倒正例，阈值 0.50。</w:t>
            </w:r>
          </w:p>
        </w:tc>
        <w:tc>
          <w:tcPr>
            <w:tcW w:w="2409" w:type="dxa"/>
            <w:vAlign w:val="center"/>
          </w:tcPr>
          <w:p w14:paraId="1A0FCABC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6"/>
              </w:rPr>
              <w:t>Precision 0.800；Recall 0.750；F1 0.774；ROC-AUC 0.836；AP 0.890；Brier 0.215。</w:t>
            </w:r>
          </w:p>
        </w:tc>
      </w:tr>
      <w:tr w14:paraId="6EE23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05329DDC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6"/>
              </w:rPr>
              <w:t>GPU/核心功能测试</w:t>
            </w:r>
          </w:p>
        </w:tc>
        <w:tc>
          <w:tcPr>
            <w:tcW w:w="2409" w:type="dxa"/>
            <w:vAlign w:val="center"/>
          </w:tcPr>
          <w:p w14:paraId="6FA71776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6"/>
              </w:rPr>
              <w:t>Python 3.12.10；RTX 4060 Laptop GPU；核心集成与模块测试。</w:t>
            </w:r>
          </w:p>
        </w:tc>
        <w:tc>
          <w:tcPr>
            <w:tcW w:w="2409" w:type="dxa"/>
            <w:vAlign w:val="center"/>
          </w:tcPr>
          <w:p w14:paraId="79312EEB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6"/>
              </w:rPr>
              <w:t>CUDA=True；58 passed in 1.95s（2026-08-05）。</w:t>
            </w:r>
          </w:p>
        </w:tc>
      </w:tr>
      <w:tr w14:paraId="7207A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652338D0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6"/>
              </w:rPr>
              <w:t>全量 pytest</w:t>
            </w:r>
          </w:p>
        </w:tc>
        <w:tc>
          <w:tcPr>
            <w:tcW w:w="2409" w:type="dxa"/>
            <w:vAlign w:val="center"/>
          </w:tcPr>
          <w:p w14:paraId="22494C9D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6"/>
              </w:rPr>
              <w:t>当前工作树全部测试。</w:t>
            </w:r>
          </w:p>
        </w:tc>
        <w:tc>
          <w:tcPr>
            <w:tcW w:w="2409" w:type="dxa"/>
            <w:vAlign w:val="center"/>
          </w:tcPr>
          <w:p w14:paraId="52E0616D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6"/>
              </w:rPr>
              <w:t>430 passed，2 failed，18.25s（2026-08-05）。</w:t>
            </w:r>
          </w:p>
        </w:tc>
      </w:tr>
    </w:tbl>
    <w:p w14:paraId="6A387B4D">
      <w:pPr>
        <w:spacing w:after="20"/>
        <w:rPr>
          <w:color w:val="auto"/>
        </w:rPr>
      </w:pPr>
    </w:p>
    <w:p w14:paraId="68934C3D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6047740" cy="2473325"/>
            <wp:effectExtent l="0" t="0" r="1016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7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542B">
      <w:pPr>
        <w:spacing w:before="40" w:after="160"/>
        <w:jc w:val="center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18"/>
        </w:rPr>
        <w:t>图2 当前 PA-DTSF 冻结确认集 ROC/PR 曲线：ROC-AUC=0.836，AP=0.890。</w:t>
      </w:r>
    </w:p>
    <w:p w14:paraId="6C994B68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4572000" cy="35852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8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530A">
      <w:pPr>
        <w:spacing w:before="40" w:after="160"/>
        <w:jc w:val="center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18"/>
        </w:rPr>
        <w:t>图3 当前 PA-DTSF 冻结确认集混淆矩阵（阈值 0.50）。</w:t>
      </w:r>
    </w:p>
    <w:p w14:paraId="5A9E6317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91455" cy="4277995"/>
            <wp:effectExtent l="0" t="0" r="444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427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9494">
      <w:pPr>
        <w:spacing w:before="40" w:after="160"/>
        <w:jc w:val="center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18"/>
        </w:rPr>
        <w:t>图4 当前 PA-DTSF 冻结确认集校准图。Brier=0.215；样本量较小，图形仅用于研究性质量审计。</w:t>
      </w:r>
    </w:p>
    <w:p w14:paraId="3462CDD6">
      <w:pPr>
        <w:pStyle w:val="5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3"/>
        </w:rPr>
        <w:t>（3）解释能力测试</w:t>
      </w:r>
    </w:p>
    <w:p w14:paraId="717C1FCD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解释能力不以“模型注意力热图”替代运行证据，而以可复核输出验证：告警记录包含 event level、score、reasons、quality、recommended_action 与 recovery 状态；步态模块可返回 activity_burst、lean_trend、com_vel_y 等特征；身心模块固定携带 non-diagnosis 声明。控制回放中已生成一条 critical fall 事件记录，理由为“confirmed fall evidence from vision”，质量标记为 vision_only。</w:t>
      </w:r>
    </w:p>
    <w:p w14:paraId="49FF1BE0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6.3 总结</w:t>
      </w:r>
    </w:p>
    <w:p w14:paraId="4DFCE455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现有证据支持：数据可追溯、模型可加载、视觉骨架风险链路可运行、关键图表可复现、核心功能测试通过，以及两类受试者隔离跌倒评估结果。现有证据不支持：真实老年人群泛化、临床诊断、实时 P95 延迟达标、误报/小时达标、完整萤石直播/对讲/SDNL1 实测、心理健康准确率或诈骗识别准确率。后续提交应把这些内容作为明确的现场验证计划。</w:t>
      </w:r>
    </w:p>
    <w:p w14:paraId="56ADE83B">
      <w:pPr>
        <w:pStyle w:val="3"/>
        <w:keepNext/>
        <w:pageBreakBefore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31"/>
        </w:rPr>
        <w:t>附录 A：部署与运行说明</w:t>
      </w:r>
    </w:p>
    <w:p w14:paraId="52728538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A.1 推荐环境</w:t>
      </w:r>
    </w:p>
    <w:p w14:paraId="1038F653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建议使用 Windows 11、Python 3.10、NVIDIA GPU（本机已识别 RTX 4060 Laptop GPU）与 CUDA 12.1 组合。项目中 `requirements.txt` 推荐先安装 PyTorch 2.4.1+cu121，再使用 OpenMMLab 对应预编译 mmcv；`environment.yml` 记录了另一组历史锁定版本，因此正式复现实验前应将二者收敛为单一锁定环境，并在报告中记录最终 `pip freeze`/conda export。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900EE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F5A6B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7"/>
              </w:rPr>
              <w:t>conda create -n elderly-ai python=3.10 -y</w:t>
            </w:r>
            <w:r>
              <w:rPr>
                <w:color w:val="auto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7"/>
              </w:rPr>
              <w:t>conda activate elderly-ai</w:t>
            </w:r>
            <w:r>
              <w:rPr>
                <w:color w:val="auto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7"/>
              </w:rPr>
              <w:t>pip install torch==2.4.1 torchvision==0.19.1 --index-url https://download.pytorch.org/whl/cu121</w:t>
            </w:r>
            <w:r>
              <w:rPr>
                <w:color w:val="auto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7"/>
              </w:rPr>
              <w:t>pip install -U openmim</w:t>
            </w:r>
            <w:r>
              <w:rPr>
                <w:color w:val="auto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7"/>
              </w:rPr>
              <w:t>mim install mmengine</w:t>
            </w:r>
            <w:r>
              <w:rPr>
                <w:color w:val="auto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7"/>
              </w:rPr>
              <w:t>mim install mmcv==2.2.0</w:t>
            </w:r>
            <w:r>
              <w:rPr>
                <w:color w:val="auto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7"/>
              </w:rPr>
              <w:t>pip install -r requirements.txt</w:t>
            </w:r>
            <w:r>
              <w:rPr>
                <w:color w:val="auto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7"/>
              </w:rPr>
              <w:t>python scripts/test_cuda.py</w:t>
            </w:r>
          </w:p>
        </w:tc>
      </w:tr>
    </w:tbl>
    <w:p w14:paraId="6F500FC5">
      <w:pPr>
        <w:spacing w:after="40"/>
        <w:rPr>
          <w:color w:val="auto"/>
        </w:rPr>
      </w:pPr>
    </w:p>
    <w:p w14:paraId="09AAA0DD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A.2 最小离线验证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D453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9D79D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7"/>
              </w:rPr>
              <w:t>Copy-Item .env.example .env</w:t>
            </w:r>
            <w:r>
              <w:rPr>
                <w:color w:val="auto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7"/>
              </w:rPr>
              <w:t>python scripts/probe_ezviz_devices.py --offline-fixture --write-report docs/device-capability-report.md</w:t>
            </w:r>
            <w:r>
              <w:rPr>
                <w:color w:val="auto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7"/>
              </w:rPr>
              <w:t>python -m pytest tests/integration/test_monitoring_flow.py -q</w:t>
            </w:r>
            <w:r>
              <w:rPr>
                <w:color w:val="auto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7"/>
              </w:rPr>
              <w:t>python scripts/run_pipeline.py --input &lt;local-video.mp4&gt;</w:t>
            </w:r>
          </w:p>
        </w:tc>
      </w:tr>
    </w:tbl>
    <w:p w14:paraId="3D1376F9">
      <w:pPr>
        <w:spacing w:after="40"/>
        <w:rPr>
          <w:color w:val="auto"/>
        </w:rPr>
      </w:pPr>
    </w:p>
    <w:p w14:paraId="3F849551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离线 fixture 不发起网络访问，其输出 unavailable 仅用于验证接口和降级逻辑，不得写成设备实测。</w:t>
      </w:r>
    </w:p>
    <w:p w14:paraId="2AAAC209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A.3 已发布模型的本地实时运行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3EBC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AD5CF">
            <w:pPr>
              <w:spacing w:after="0" w:line="259" w:lineRule="auto"/>
              <w:rPr>
                <w:color w:val="auto"/>
              </w:rPr>
            </w:pPr>
            <w:r>
              <w:rPr>
                <w:rFonts w:ascii="Consolas" w:hAnsi="Consolas" w:eastAsia="Consolas"/>
                <w:b w:val="0"/>
                <w:color w:val="auto"/>
                <w:sz w:val="17"/>
              </w:rPr>
              <w:t>python scripts/run_live_monitor.py `</w:t>
            </w:r>
            <w:r>
              <w:rPr>
                <w:color w:val="auto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7"/>
              </w:rPr>
              <w:t xml:space="preserve">  --checkpoint outputs/releases/padtfs-gmdcsa24-gpu-norm/checkpoint.pt `</w:t>
            </w:r>
            <w:r>
              <w:rPr>
                <w:color w:val="auto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7"/>
              </w:rPr>
              <w:t xml:space="preserve">  --input &lt;local-video.mp4&gt; `</w:t>
            </w:r>
            <w:r>
              <w:rPr>
                <w:color w:val="auto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7"/>
              </w:rPr>
              <w:t xml:space="preserve">  --device auto `</w:t>
            </w:r>
            <w:r>
              <w:rPr>
                <w:color w:val="auto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7"/>
              </w:rPr>
              <w:t xml:space="preserve">  --smoke-seconds 10 `</w:t>
            </w:r>
            <w:r>
              <w:rPr>
                <w:color w:val="auto"/>
              </w:rPr>
              <w:br w:type="textWrapping"/>
            </w:r>
            <w:r>
              <w:rPr>
                <w:rFonts w:ascii="Consolas" w:hAnsi="Consolas" w:eastAsia="Consolas"/>
                <w:b w:val="0"/>
                <w:color w:val="auto"/>
                <w:sz w:val="17"/>
              </w:rPr>
              <w:t xml:space="preserve">  --no-browser</w:t>
            </w:r>
          </w:p>
        </w:tc>
      </w:tr>
    </w:tbl>
    <w:p w14:paraId="07DFB080">
      <w:pPr>
        <w:spacing w:after="40"/>
        <w:rPr>
          <w:color w:val="auto"/>
        </w:rPr>
      </w:pPr>
    </w:p>
    <w:p w14:paraId="2CA3FC8D">
      <w:pPr>
        <w:pStyle w:val="19"/>
        <w:spacing w:before="0" w:after="140" w:line="307" w:lineRule="auto"/>
        <w:jc w:val="both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去掉 `--no-browser` 可启动本地看板。输入可为本地视频、摄像头编号或萤石平台授权返回的播放地址。不要将 AppKey、Secret、设备验证码、序列号、token 或带签名的播放地址写入报告、截图或 Git。</w:t>
      </w:r>
    </w:p>
    <w:p w14:paraId="376021A0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A.4 现场设备验证步骤</w:t>
      </w:r>
    </w:p>
    <w:p w14:paraId="59F3A45D">
      <w:pPr>
        <w:pStyle w:val="14"/>
        <w:spacing w:after="80" w:line="288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在本机 `.env` 设置 EZVIZ_APP_KEY、EZVIZ_APP_SECRET 和经授权取得的必要信息，文件不得提交。</w:t>
      </w:r>
    </w:p>
    <w:p w14:paraId="0D7A10F3">
      <w:pPr>
        <w:pStyle w:val="14"/>
        <w:spacing w:after="80" w:line="288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运行设备清单探测，记录在线状态；对直播、重连、对讲和 SDNL1 字段分别做实际 API/设备验证。</w:t>
      </w:r>
    </w:p>
    <w:p w14:paraId="6BFE9E44">
      <w:pPr>
        <w:pStyle w:val="14"/>
        <w:spacing w:after="80" w:line="288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进行至少 30 分钟受控观察，记录断流次数、恢复时间、平均 FPS、端到端 P95 告警延迟、普通活动误报/小时。</w:t>
      </w:r>
      <w:bookmarkStart w:id="0" w:name="_GoBack"/>
      <w:bookmarkEnd w:id="0"/>
    </w:p>
    <w:p w14:paraId="2E0D8D74">
      <w:pPr>
        <w:pStyle w:val="14"/>
        <w:spacing w:after="80" w:line="288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0"/>
        </w:rPr>
        <w:t>将现场结果与 release ID、模型 SHA256、设备型号、时间、环境条件关联保存；缺失值保持 unavailable。</w:t>
      </w:r>
    </w:p>
    <w:p w14:paraId="4F1F6541">
      <w:pPr>
        <w:pStyle w:val="3"/>
        <w:keepNext/>
        <w:pageBreakBefore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31"/>
        </w:rPr>
        <w:t>附录 B：功能测试报告（2026-08-05）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74011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B0C50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测试组</w:t>
            </w:r>
          </w:p>
        </w:tc>
        <w:tc>
          <w:tcPr>
            <w:tcW w:w="325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2C149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命令/范围</w:t>
            </w:r>
          </w:p>
        </w:tc>
        <w:tc>
          <w:tcPr>
            <w:tcW w:w="207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D9D5F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结果</w:t>
            </w:r>
          </w:p>
        </w:tc>
        <w:tc>
          <w:tcPr>
            <w:tcW w:w="229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19A3B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结论</w:t>
            </w:r>
          </w:p>
        </w:tc>
      </w:tr>
      <w:tr w14:paraId="36A4E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7ABA0CC2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CUDA 可用性</w:t>
            </w:r>
          </w:p>
        </w:tc>
        <w:tc>
          <w:tcPr>
            <w:tcW w:w="2409" w:type="dxa"/>
            <w:vAlign w:val="center"/>
          </w:tcPr>
          <w:p w14:paraId="5AA93E94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python scripts/test_cuda.py</w:t>
            </w:r>
          </w:p>
        </w:tc>
        <w:tc>
          <w:tcPr>
            <w:tcW w:w="2409" w:type="dxa"/>
            <w:vAlign w:val="center"/>
          </w:tcPr>
          <w:p w14:paraId="7CF44814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cuda: True；NVIDIA GeForce RTX 4060 Laptop GPU。</w:t>
            </w:r>
          </w:p>
        </w:tc>
        <w:tc>
          <w:tcPr>
            <w:tcW w:w="2409" w:type="dxa"/>
            <w:vAlign w:val="center"/>
          </w:tcPr>
          <w:p w14:paraId="596A6FEB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GPU 推理/训练环境可用。</w:t>
            </w:r>
          </w:p>
        </w:tc>
      </w:tr>
      <w:tr w14:paraId="26E9B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2359520C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核心集成与功能</w:t>
            </w:r>
          </w:p>
        </w:tc>
        <w:tc>
          <w:tcPr>
            <w:tcW w:w="2409" w:type="dxa"/>
            <w:vAlign w:val="center"/>
          </w:tcPr>
          <w:p w14:paraId="720BDC35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monitoring flow、phase release、device client、GDS-15、交互策略、步态稳定性等。</w:t>
            </w:r>
          </w:p>
        </w:tc>
        <w:tc>
          <w:tcPr>
            <w:tcW w:w="2409" w:type="dxa"/>
            <w:vAlign w:val="center"/>
          </w:tcPr>
          <w:p w14:paraId="490C40CE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58 passed in 1.95s。</w:t>
            </w:r>
          </w:p>
        </w:tc>
        <w:tc>
          <w:tcPr>
            <w:tcW w:w="2409" w:type="dxa"/>
            <w:vAlign w:val="center"/>
          </w:tcPr>
          <w:p w14:paraId="550501F8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核心闭环、release 加载、离线设备夹具、筛查流程与步态模块可执行。</w:t>
            </w:r>
          </w:p>
        </w:tc>
      </w:tr>
      <w:tr w14:paraId="45D33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44DACB7F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全量回归</w:t>
            </w:r>
          </w:p>
        </w:tc>
        <w:tc>
          <w:tcPr>
            <w:tcW w:w="2409" w:type="dxa"/>
            <w:vAlign w:val="center"/>
          </w:tcPr>
          <w:p w14:paraId="3B184F7A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python -m pytest -q</w:t>
            </w:r>
          </w:p>
        </w:tc>
        <w:tc>
          <w:tcPr>
            <w:tcW w:w="2409" w:type="dxa"/>
            <w:vAlign w:val="center"/>
          </w:tcPr>
          <w:p w14:paraId="53553333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430 passed，2 failed，18.25s。</w:t>
            </w:r>
          </w:p>
        </w:tc>
        <w:tc>
          <w:tcPr>
            <w:tcW w:w="2409" w:type="dxa"/>
            <w:vAlign w:val="center"/>
          </w:tcPr>
          <w:p w14:paraId="0CD03EB8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总体覆盖高，但当前分支未达到全绿。</w:t>
            </w:r>
          </w:p>
        </w:tc>
      </w:tr>
    </w:tbl>
    <w:p w14:paraId="0D15F5B6">
      <w:pPr>
        <w:spacing w:after="20"/>
        <w:rPr>
          <w:color w:val="auto"/>
        </w:rPr>
      </w:pPr>
    </w:p>
    <w:p w14:paraId="4A34EA7F">
      <w:pPr>
        <w:pStyle w:val="4"/>
        <w:keepNext/>
        <w:pageBreakBefore w:val="0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5"/>
        </w:rPr>
        <w:t>B.1 全量失败项与根因记录</w:t>
      </w:r>
    </w:p>
    <w:tbl>
      <w:tblPr>
        <w:tblStyle w:val="33"/>
        <w:tblW w:w="72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</w:tblGrid>
      <w:tr w14:paraId="6DE47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20079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6"/>
              </w:rPr>
              <w:t>失败用例</w:t>
            </w:r>
          </w:p>
        </w:tc>
        <w:tc>
          <w:tcPr>
            <w:tcW w:w="2409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3C19F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6"/>
              </w:rPr>
              <w:t>现象</w:t>
            </w:r>
          </w:p>
        </w:tc>
        <w:tc>
          <w:tcPr>
            <w:tcW w:w="2409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A0221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6"/>
              </w:rPr>
              <w:t>已定位根因</w:t>
            </w:r>
          </w:p>
        </w:tc>
      </w:tr>
      <w:tr w14:paraId="4C8CE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580F431F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6"/>
              </w:rPr>
              <w:t>test_evaluate_and_promote_can_reject_poor_candidate</w:t>
            </w:r>
          </w:p>
        </w:tc>
        <w:tc>
          <w:tcPr>
            <w:tcW w:w="2409" w:type="dxa"/>
            <w:vAlign w:val="center"/>
          </w:tcPr>
          <w:p w14:paraId="28B80C94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6"/>
              </w:rPr>
              <w:t>阈值搜索抛出“no threshold satisfies recall_floor”，测试未能验证“候选拒绝”。</w:t>
            </w:r>
          </w:p>
        </w:tc>
        <w:tc>
          <w:tcPr>
            <w:tcW w:w="2409" w:type="dxa"/>
            <w:vAlign w:val="center"/>
          </w:tcPr>
          <w:p w14:paraId="707A83F7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6"/>
              </w:rPr>
              <w:t>样本按 subject 分组后，纯 ADL 受试者的 Recall 被按 0 参与“每受试者 Recall ≥0.60”约束，导致所有阈值被过滤。</w:t>
            </w:r>
          </w:p>
        </w:tc>
      </w:tr>
      <w:tr w14:paraId="7ECAA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62109DD5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6"/>
              </w:rPr>
              <w:t>test_inner_search_rejects_mismatched_lengths</w:t>
            </w:r>
          </w:p>
        </w:tc>
        <w:tc>
          <w:tcPr>
            <w:tcW w:w="2409" w:type="dxa"/>
            <w:vAlign w:val="center"/>
          </w:tcPr>
          <w:p w14:paraId="68D26FF4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6"/>
              </w:rPr>
              <w:t>期望 same length，但返回阈值不可行错误。</w:t>
            </w:r>
          </w:p>
        </w:tc>
        <w:tc>
          <w:tcPr>
            <w:tcW w:w="2409" w:type="dxa"/>
            <w:vAlign w:val="center"/>
          </w:tcPr>
          <w:p w14:paraId="5711086D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6"/>
              </w:rPr>
              <w:t>inner_threshold_search 未在进入分组/zip 之前校验 logits、labels、subjects 长度一致。</w:t>
            </w:r>
          </w:p>
        </w:tc>
      </w:tr>
    </w:tbl>
    <w:p w14:paraId="223A6174">
      <w:pPr>
        <w:spacing w:after="20"/>
        <w:rPr>
          <w:color w:val="auto"/>
        </w:rPr>
      </w:pPr>
    </w:p>
    <w:p w14:paraId="6AEB540F">
      <w:pPr>
        <w:spacing w:after="40"/>
        <w:rPr>
          <w:color w:val="auto"/>
        </w:rPr>
      </w:pPr>
    </w:p>
    <w:p w14:paraId="2BD255B9">
      <w:pPr>
        <w:pStyle w:val="3"/>
        <w:keepNext/>
        <w:pageBreakBefore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31"/>
        </w:rPr>
        <w:t>附录 C：实测证据与提交检查清单</w:t>
      </w:r>
    </w:p>
    <w:tbl>
      <w:tblPr>
        <w:tblStyle w:val="33"/>
        <w:tblW w:w="64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</w:tblGrid>
      <w:tr w14:paraId="5B09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13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54AC2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材料</w:t>
            </w:r>
          </w:p>
        </w:tc>
        <w:tc>
          <w:tcPr>
            <w:tcW w:w="3213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0FF00">
            <w:pPr>
              <w:spacing w:after="0" w:line="269" w:lineRule="auto"/>
              <w:jc w:val="center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已具备</w:t>
            </w:r>
          </w:p>
        </w:tc>
      </w:tr>
      <w:tr w14:paraId="0063F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41DDC7E1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数据完整性</w:t>
            </w:r>
          </w:p>
        </w:tc>
        <w:tc>
          <w:tcPr>
            <w:tcW w:w="3213" w:type="dxa"/>
            <w:vAlign w:val="center"/>
          </w:tcPr>
          <w:p w14:paraId="036AB03B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GMDCSA24 v2.1 已下载，160 视频扫描；MD5=3d36f2c5c1a666b99639e4e9fd843efb。</w:t>
            </w:r>
          </w:p>
        </w:tc>
      </w:tr>
      <w:tr w14:paraId="6A782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0C0F41AD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模型与图表</w:t>
            </w:r>
          </w:p>
        </w:tc>
        <w:tc>
          <w:tcPr>
            <w:tcW w:w="3213" w:type="dxa"/>
            <w:vAlign w:val="center"/>
          </w:tcPr>
          <w:p w14:paraId="17DE06A0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PA-DTSF checkpoint、SHA256、ROC/PR、混淆矩阵、阈值曲线、校准图与预测记录。</w:t>
            </w:r>
          </w:p>
        </w:tc>
      </w:tr>
      <w:tr w14:paraId="0917B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50177EC5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设备库存</w:t>
            </w:r>
          </w:p>
        </w:tc>
        <w:tc>
          <w:tcPr>
            <w:tcW w:w="3213" w:type="dxa"/>
            <w:vAlign w:val="center"/>
          </w:tcPr>
          <w:p w14:paraId="60202D0C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两台设备在 live inventory 中显示 available。</w:t>
            </w:r>
          </w:p>
        </w:tc>
      </w:tr>
      <w:tr w14:paraId="0CD33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71BDFA95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功能测试</w:t>
            </w:r>
          </w:p>
        </w:tc>
        <w:tc>
          <w:tcPr>
            <w:tcW w:w="3213" w:type="dxa"/>
            <w:vAlign w:val="center"/>
          </w:tcPr>
          <w:p w14:paraId="07A618CB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核心集 58/58 通过，完整输出已在本报告记录。</w:t>
            </w:r>
          </w:p>
        </w:tc>
      </w:tr>
      <w:tr w14:paraId="0D54D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13" w:type="dxa"/>
            <w:vAlign w:val="center"/>
          </w:tcPr>
          <w:p w14:paraId="19702B25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隐私与安全</w:t>
            </w:r>
          </w:p>
        </w:tc>
        <w:tc>
          <w:tcPr>
            <w:tcW w:w="3213" w:type="dxa"/>
            <w:vAlign w:val="center"/>
          </w:tcPr>
          <w:p w14:paraId="5836FA80">
            <w:pPr>
              <w:spacing w:after="0" w:line="269" w:lineRule="auto"/>
              <w:jc w:val="left"/>
              <w:rPr>
                <w:color w:val="auto"/>
              </w:rPr>
            </w:pPr>
            <w:r>
              <w:rPr>
                <w:rFonts w:ascii="微软雅黑" w:hAnsi="微软雅黑" w:eastAsia="微软雅黑"/>
                <w:b w:val="0"/>
                <w:color w:val="auto"/>
                <w:sz w:val="17"/>
              </w:rPr>
              <w:t>默认无连续音视频留存；事件片段 opt-in；敏感凭据不入库。</w:t>
            </w:r>
          </w:p>
        </w:tc>
      </w:tr>
    </w:tbl>
    <w:p w14:paraId="455BD06D">
      <w:pPr>
        <w:spacing w:after="20"/>
        <w:rPr>
          <w:color w:val="auto"/>
        </w:rPr>
      </w:pPr>
    </w:p>
    <w:p w14:paraId="66247E11">
      <w:pPr>
        <w:pStyle w:val="19"/>
        <w:spacing w:before="80" w:after="140" w:line="307" w:lineRule="auto"/>
        <w:jc w:val="both"/>
        <w:rPr>
          <w:color w:val="auto"/>
        </w:rPr>
      </w:pPr>
    </w:p>
    <w:sectPr>
      <w:headerReference r:id="rId5" w:type="default"/>
      <w:footerReference r:id="rId6" w:type="default"/>
      <w:pgSz w:w="11906" w:h="16838"/>
      <w:pgMar w:top="1134" w:right="1134" w:bottom="1134" w:left="113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8499FF">
    <w:pPr>
      <w:pStyle w:val="24"/>
      <w:spacing w:after="0"/>
      <w:jc w:val="center"/>
    </w:pPr>
    <w:r>
      <w:rPr>
        <w:rFonts w:ascii="微软雅黑" w:hAnsi="微软雅黑" w:eastAsia="微软雅黑"/>
        <w:b w:val="0"/>
        <w:color w:val="5B6573"/>
        <w:sz w:val="16"/>
      </w:rPr>
      <w:t xml:space="preserve">Look Model  |  V1.0  |  2026-08-05  |  第 </w:t>
    </w:r>
    <w:r>
      <w:fldChar w:fldCharType="begin"/>
    </w:r>
    <w:r>
      <w:instrText xml:space="preserve">PAGE</w:instrText>
    </w:r>
    <w:r>
      <w:fldChar w:fldCharType="end"/>
    </w:r>
    <w:r>
      <w:rPr>
        <w:rFonts w:ascii="微软雅黑" w:hAnsi="微软雅黑" w:eastAsia="微软雅黑"/>
        <w:b w:val="0"/>
        <w:color w:val="5B6573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D710FD">
    <w:pPr>
      <w:pStyle w:val="25"/>
      <w:spacing w:after="0"/>
      <w:jc w:val="right"/>
    </w:pPr>
    <w:r>
      <w:rPr>
        <w:rFonts w:ascii="微软雅黑" w:hAnsi="微软雅黑" w:eastAsia="微软雅黑"/>
        <w:b w:val="0"/>
        <w:color w:val="5B6573"/>
        <w:sz w:val="17"/>
      </w:rPr>
      <w:t>老年人居家多模态监测研究原型  |  技术报告与验证材料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26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307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F4E79"/>
      <w:sz w:val="3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E7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odyText"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3928</Words>
  <Characters>4948</Characters>
  <Lines>0</Lines>
  <Paragraphs>0</Paragraphs>
  <TotalTime>5</TotalTime>
  <ScaleCrop>false</ScaleCrop>
  <LinksUpToDate>false</LinksUpToDate>
  <CharactersWithSpaces>5118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Look Model 项目组</dc:creator>
  <dc:description>Design preset: narrative_proposal with A4 Chinese competition-paper override.</dc:description>
  <cp:lastModifiedBy>13898661392</cp:lastModifiedBy>
  <dcterms:modified xsi:type="dcterms:W3CDTF">2026-08-05T10:30:23Z</dcterms:modified>
  <dc:subject>部署运行、系统设计、数据处理、专业知识注入、场景适配和性能评估</dc:subject>
  <dc:title>老年人多模态AI监测系统技术报告与验证材料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eyJoZGlkIjoiMTFjMGYxYjk0Yzk5YjZmNTUyOWViNzFiZGE5Yzc4MzAiLCJ1c2VySWQiOiI4Mzg4NzMyMjAifQ==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43999EEF68EF45C7BF46352FFEDBCA87_12</vt:lpwstr>
  </property>
</Properties>
</file>