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Arial" w:hAnsi="Arial"/>
          <w:b/>
          <w:color w:val="0070C0"/>
          <w:sz w:val="22"/>
        </w:rPr>
        <w:t>ZEGEL | ESCUELA DE TECNOLOGÍA</w:t>
      </w:r>
    </w:p>
    <w:p>
      <w:pPr>
        <w:spacing w:before="80" w:after="80"/>
      </w:pPr>
      <w:r>
        <w:rPr>
          <w:rFonts w:ascii="Arial" w:hAnsi="Arial"/>
          <w:b/>
          <w:color w:val="002060"/>
          <w:sz w:val="36"/>
        </w:rPr>
        <w:t>INFORME TÉCNICO DE EVALUACIÓN PARCIAL (EP)</w:t>
      </w:r>
    </w:p>
    <w:p>
      <w:pPr>
        <w:spacing w:before="0" w:after="280"/>
      </w:pPr>
      <w:r>
        <w:rPr>
          <w:rFonts w:ascii="Arial" w:hAnsi="Arial"/>
          <w:color w:val="595959"/>
          <w:sz w:val="21"/>
        </w:rPr>
        <w:t>Unidad Didáctica: Desarrollo Web — Ciclo 1 | Ponderación: 40% del Promedio Final</w:t>
      </w:r>
    </w:p>
    <w:tbl>
      <w:tblPr>
        <w:tblW w:type="auto" w:w="0"/>
        <w:jc w:val="center"/>
        <w:tblLook w:firstColumn="1" w:firstRow="1" w:lastColumn="0" w:lastRow="0" w:noHBand="0" w:noVBand="1" w:val="04A0"/>
      </w:tblPr>
      <w:tblGrid>
        <w:gridCol w:w="9360"/>
      </w:tblGrid>
      <w:tr>
        <w:tc>
          <w:tcPr>
            <w:tcW w:type="dxa" w:w="9360"/>
            <w:shd w:fill="EBF1F5"/>
            <w:tcMar>
              <w:top w:w="140" w:type="dxa"/>
              <w:bottom w:w="140" w:type="dxa"/>
              <w:left w:w="200" w:type="dxa"/>
              <w:right w:w="150" w:type="dxa"/>
            </w:tcMar>
            <w:tcBorders>
              <w:left w:val="single" w:sz="24" w:space="0" w:color="002060"/>
              <w:top w:val="none"/>
              <w:right w:val="none"/>
              <w:bottom w:val="none"/>
            </w:tcBorders>
          </w:tcPr>
          <w:p>
            <w:pPr>
              <w:spacing w:before="40" w:after="60"/>
            </w:pPr>
            <w:r>
              <w:rPr>
                <w:rFonts w:ascii="Arial" w:hAnsi="Arial"/>
                <w:b/>
                <w:color w:val="002060"/>
                <w:sz w:val="19"/>
              </w:rPr>
              <w:t>NORMAS DE ENTREGA (SEMANA 7)</w:t>
              <w:br/>
            </w:r>
            <w:r>
              <w:rPr>
                <w:rFonts w:ascii="Arial" w:hAnsi="Arial"/>
                <w:color w:val="262626"/>
                <w:sz w:val="19"/>
              </w:rPr>
              <w:t>1. Completa cuidadosamente los campos identificados entre corchetes [...] con la información de tu proyecto.</w:t>
              <w:br/>
              <w:t>2. Incluye el hipervínculo que enlace a tu producto (puede ser tu sitio web publicado en GitHub Pages/Netlify/Vercel, tu repositorio de GitHub o tu carpeta compartida en la nube).</w:t>
              <w:br/>
              <w:t>3. Guarda y exporta este documento final en formato PDF con la nomenclatura: EP_DesarrolloWeb_Apellidos_Nombres.pdf</w:t>
              <w:br/>
              <w:t>4. Sube el PDF a la plataforma EVA en el plazo límite de la Semana 7.</w:t>
            </w:r>
          </w:p>
        </w:tc>
      </w:tr>
    </w:tbl>
    <w:p>
      <w:pPr>
        <w:spacing w:after="80"/>
      </w:pPr>
    </w:p>
    <w:p>
      <w:pPr>
        <w:keepNext/>
        <w:spacing w:before="280" w:after="80"/>
      </w:pPr>
      <w:r>
        <w:rPr>
          <w:rFonts w:ascii="Arial" w:hAnsi="Arial"/>
          <w:b/>
          <w:color w:val="0070C0"/>
          <w:sz w:val="24"/>
        </w:rPr>
        <w:t>Ficha Técnica y Datos Generales del Proyecto</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4680"/>
        <w:gridCol w:w="4680"/>
      </w:tblGrid>
      <w:tr>
        <w:tc>
          <w:tcPr>
            <w:tcW w:type="dxa" w:w="3312"/>
            <w:shd w:fill="F4F6F8"/>
            <w:tcMar>
              <w:top w:w="70" w:type="dxa"/>
              <w:bottom w:w="70" w:type="dxa"/>
              <w:left w:w="100" w:type="dxa"/>
              <w:right w:w="100" w:type="dxa"/>
            </w:tcMar>
          </w:tcPr>
          <w:p>
            <w:pPr>
              <w:spacing w:before="20" w:after="20"/>
            </w:pPr>
            <w:r>
              <w:rPr>
                <w:rFonts w:ascii="Arial" w:hAnsi="Arial"/>
                <w:b/>
                <w:color w:val="262626"/>
                <w:sz w:val="19"/>
              </w:rPr>
              <w:t>Título del Proyecto Web:</w:t>
            </w:r>
          </w:p>
        </w:tc>
        <w:tc>
          <w:tcPr>
            <w:tcW w:type="dxa" w:w="6048"/>
            <w:tcMar>
              <w:top w:w="70" w:type="dxa"/>
              <w:bottom w:w="70" w:type="dxa"/>
              <w:left w:w="100" w:type="dxa"/>
              <w:right w:w="100" w:type="dxa"/>
            </w:tcMar>
          </w:tcPr>
          <w:p>
            <w:pPr>
              <w:spacing w:before="20" w:after="20"/>
            </w:pPr>
            <w:r>
              <w:rPr>
                <w:rFonts w:ascii="Arial" w:hAnsi="Arial"/>
                <w:color w:val="006699"/>
                <w:sz w:val="19"/>
              </w:rPr>
              <w:t xml:space="preserve">Sitio Web Corporativo para DataForge Analytics: analítica de datos, Machine Learning y dashboards para PyMEs</w:t>
            </w:r>
          </w:p>
        </w:tc>
      </w:tr>
      <w:tr>
        <w:tc>
          <w:tcPr>
            <w:tcW w:type="dxa" w:w="3312"/>
            <w:shd w:fill="F4F6F8"/>
            <w:tcMar>
              <w:top w:w="70" w:type="dxa"/>
              <w:bottom w:w="70" w:type="dxa"/>
              <w:left w:w="100" w:type="dxa"/>
              <w:right w:w="100" w:type="dxa"/>
            </w:tcMar>
          </w:tcPr>
          <w:p>
            <w:pPr>
              <w:spacing w:before="20" w:after="20"/>
            </w:pPr>
            <w:r>
              <w:rPr>
                <w:rFonts w:ascii="Arial" w:hAnsi="Arial"/>
                <w:b/>
                <w:color w:val="262626"/>
                <w:sz w:val="19"/>
              </w:rPr>
              <w:t>Estudiante(s):</w:t>
            </w:r>
          </w:p>
        </w:tc>
        <w:tc>
          <w:tcPr>
            <w:tcW w:type="dxa" w:w="6048"/>
            <w:tcMar>
              <w:top w:w="70" w:type="dxa"/>
              <w:bottom w:w="70" w:type="dxa"/>
              <w:left w:w="100" w:type="dxa"/>
              <w:right w:w="100" w:type="dxa"/>
            </w:tcMar>
          </w:tcPr>
          <w:p>
            <w:pPr>
              <w:spacing w:before="20" w:after="20"/>
            </w:pPr>
            <w:r>
              <w:rPr>
                <w:rFonts w:ascii="Arial" w:hAnsi="Arial"/>
                <w:color w:val="006699"/>
                <w:sz w:val="19"/>
              </w:rPr>
              <w:t xml:space="preserve">[COMPLETAR: Apellidos y Nombres completos]</w:t>
            </w:r>
          </w:p>
        </w:tc>
      </w:tr>
      <w:tr>
        <w:tc>
          <w:tcPr>
            <w:tcW w:type="dxa" w:w="3312"/>
            <w:shd w:fill="F4F6F8"/>
            <w:tcMar>
              <w:top w:w="70" w:type="dxa"/>
              <w:bottom w:w="70" w:type="dxa"/>
              <w:left w:w="100" w:type="dxa"/>
              <w:right w:w="100" w:type="dxa"/>
            </w:tcMar>
          </w:tcPr>
          <w:p>
            <w:pPr>
              <w:spacing w:before="20" w:after="20"/>
            </w:pPr>
            <w:r>
              <w:rPr>
                <w:rFonts w:ascii="Arial" w:hAnsi="Arial"/>
                <w:b/>
                <w:color w:val="262626"/>
                <w:sz w:val="19"/>
              </w:rPr>
              <w:t>Código(s) de Estudiante:</w:t>
            </w:r>
          </w:p>
        </w:tc>
        <w:tc>
          <w:tcPr>
            <w:tcW w:type="dxa" w:w="6048"/>
            <w:tcMar>
              <w:top w:w="70" w:type="dxa"/>
              <w:bottom w:w="70" w:type="dxa"/>
              <w:left w:w="100" w:type="dxa"/>
              <w:right w:w="100" w:type="dxa"/>
            </w:tcMar>
          </w:tcPr>
          <w:p>
            <w:pPr>
              <w:spacing w:before="20" w:after="20"/>
            </w:pPr>
            <w:r>
              <w:rPr>
                <w:rFonts w:ascii="Arial" w:hAnsi="Arial"/>
                <w:color w:val="006699"/>
                <w:sz w:val="19"/>
              </w:rPr>
              <w:t xml:space="preserve">[COMPLETAR: Código de estudiante]</w:t>
            </w:r>
          </w:p>
        </w:tc>
      </w:tr>
      <w:tr>
        <w:tc>
          <w:tcPr>
            <w:tcW w:type="dxa" w:w="3312"/>
            <w:shd w:fill="F4F6F8"/>
            <w:tcMar>
              <w:top w:w="70" w:type="dxa"/>
              <w:bottom w:w="70" w:type="dxa"/>
              <w:left w:w="100" w:type="dxa"/>
              <w:right w:w="100" w:type="dxa"/>
            </w:tcMar>
          </w:tcPr>
          <w:p>
            <w:pPr>
              <w:spacing w:before="20" w:after="20"/>
            </w:pPr>
            <w:r>
              <w:rPr>
                <w:rFonts w:ascii="Arial" w:hAnsi="Arial"/>
                <w:b/>
                <w:color w:val="262626"/>
                <w:sz w:val="19"/>
              </w:rPr>
              <w:t>Carrera Profesional:</w:t>
            </w:r>
          </w:p>
        </w:tc>
        <w:tc>
          <w:tcPr>
            <w:tcW w:type="dxa" w:w="6048"/>
            <w:tcMar>
              <w:top w:w="70" w:type="dxa"/>
              <w:bottom w:w="70" w:type="dxa"/>
              <w:left w:w="100" w:type="dxa"/>
              <w:right w:w="100" w:type="dxa"/>
            </w:tcMar>
          </w:tcPr>
          <w:p>
            <w:pPr>
              <w:spacing w:before="20" w:after="20"/>
            </w:pPr>
            <w:r>
              <w:rPr>
                <w:rFonts w:ascii="Arial" w:hAnsi="Arial"/>
                <w:color w:val="006699"/>
                <w:sz w:val="19"/>
              </w:rPr>
              <w:t xml:space="preserve">[COMPLETAR: Desarrollo de Sistemas de Información / Diseño Web]</w:t>
            </w:r>
          </w:p>
        </w:tc>
      </w:tr>
      <w:tr>
        <w:tc>
          <w:tcPr>
            <w:tcW w:type="dxa" w:w="3312"/>
            <w:shd w:fill="F4F6F8"/>
            <w:tcMar>
              <w:top w:w="70" w:type="dxa"/>
              <w:bottom w:w="70" w:type="dxa"/>
              <w:left w:w="100" w:type="dxa"/>
              <w:right w:w="100" w:type="dxa"/>
            </w:tcMar>
          </w:tcPr>
          <w:p>
            <w:pPr>
              <w:spacing w:before="20" w:after="20"/>
            </w:pPr>
            <w:r>
              <w:rPr>
                <w:rFonts w:ascii="Arial" w:hAnsi="Arial"/>
                <w:b/>
                <w:color w:val="262626"/>
                <w:sz w:val="19"/>
              </w:rPr>
              <w:t>Ciclo y Turno / Horario:</w:t>
            </w:r>
          </w:p>
        </w:tc>
        <w:tc>
          <w:tcPr>
            <w:tcW w:type="dxa" w:w="6048"/>
            <w:tcMar>
              <w:top w:w="70" w:type="dxa"/>
              <w:bottom w:w="70" w:type="dxa"/>
              <w:left w:w="100" w:type="dxa"/>
              <w:right w:w="100" w:type="dxa"/>
            </w:tcMar>
          </w:tcPr>
          <w:p>
            <w:pPr>
              <w:spacing w:before="20" w:after="20"/>
            </w:pPr>
            <w:r>
              <w:rPr>
                <w:rFonts w:ascii="Arial" w:hAnsi="Arial"/>
                <w:color w:val="006699"/>
                <w:sz w:val="19"/>
              </w:rPr>
              <w:t xml:space="preserve">[COMPLETAR: Ciclo 1 — turno y horario]</w:t>
            </w:r>
          </w:p>
        </w:tc>
      </w:tr>
      <w:tr>
        <w:tc>
          <w:tcPr>
            <w:tcW w:type="dxa" w:w="3312"/>
            <w:shd w:fill="F4F6F8"/>
            <w:tcMar>
              <w:top w:w="70" w:type="dxa"/>
              <w:bottom w:w="70" w:type="dxa"/>
              <w:left w:w="100" w:type="dxa"/>
              <w:right w:w="100" w:type="dxa"/>
            </w:tcMar>
          </w:tcPr>
          <w:p>
            <w:pPr>
              <w:spacing w:before="20" w:after="20"/>
            </w:pPr>
            <w:r>
              <w:rPr>
                <w:rFonts w:ascii="Arial" w:hAnsi="Arial"/>
                <w:b/>
                <w:color w:val="262626"/>
                <w:sz w:val="19"/>
              </w:rPr>
              <w:t>Docente Evaluador:</w:t>
            </w:r>
          </w:p>
        </w:tc>
        <w:tc>
          <w:tcPr>
            <w:tcW w:type="dxa" w:w="6048"/>
            <w:tcMar>
              <w:top w:w="70" w:type="dxa"/>
              <w:bottom w:w="70" w:type="dxa"/>
              <w:left w:w="100" w:type="dxa"/>
              <w:right w:w="100" w:type="dxa"/>
            </w:tcMar>
          </w:tcPr>
          <w:p>
            <w:pPr>
              <w:spacing w:before="20" w:after="20"/>
            </w:pPr>
            <w:r>
              <w:rPr>
                <w:rFonts w:ascii="Arial" w:hAnsi="Arial"/>
                <w:color w:val="006699"/>
                <w:sz w:val="19"/>
              </w:rPr>
              <w:t xml:space="preserve">[COMPLETAR: Nombre del docente evaluador]</w:t>
            </w:r>
          </w:p>
        </w:tc>
      </w:tr>
      <w:tr>
        <w:tc>
          <w:tcPr>
            <w:tcW w:type="dxa" w:w="3312"/>
            <w:shd w:fill="F4F6F8"/>
            <w:tcMar>
              <w:top w:w="70" w:type="dxa"/>
              <w:bottom w:w="70" w:type="dxa"/>
              <w:left w:w="100" w:type="dxa"/>
              <w:right w:w="100" w:type="dxa"/>
            </w:tcMar>
          </w:tcPr>
          <w:p>
            <w:pPr>
              <w:spacing w:before="20" w:after="20"/>
            </w:pPr>
            <w:r>
              <w:rPr>
                <w:rFonts w:ascii="Arial" w:hAnsi="Arial"/>
                <w:b/>
                <w:color w:val="262626"/>
                <w:sz w:val="19"/>
              </w:rPr>
              <w:t>Hipervínculo al Producto (Enlace web o Nube):</w:t>
            </w:r>
          </w:p>
        </w:tc>
        <w:tc>
          <w:tcPr>
            <w:tcW w:type="dxa" w:w="6048"/>
            <w:tcMar>
              <w:top w:w="70" w:type="dxa"/>
              <w:bottom w:w="70" w:type="dxa"/>
              <w:left w:w="100" w:type="dxa"/>
              <w:right w:w="100" w:type="dxa"/>
            </w:tcMar>
          </w:tcPr>
          <w:p>
            <w:pPr>
              <w:spacing w:before="20" w:after="20"/>
            </w:pPr>
            <w:r>
              <w:rPr>
                <w:rFonts w:ascii="Arial" w:hAnsi="Arial"/>
                <w:color w:val="006699"/>
                <w:sz w:val="19"/>
              </w:rPr>
              <w:t xml:space="preserve">https://dataforge.pe (dominio propuesto, desplegado en Vercel) — [COMPLETAR: URL real publicada]</w:t>
            </w:r>
          </w:p>
        </w:tc>
      </w:tr>
      <w:tr>
        <w:tc>
          <w:tcPr>
            <w:tcW w:type="dxa" w:w="3312"/>
            <w:shd w:fill="F4F6F8"/>
            <w:tcMar>
              <w:top w:w="70" w:type="dxa"/>
              <w:bottom w:w="70" w:type="dxa"/>
              <w:left w:w="100" w:type="dxa"/>
              <w:right w:w="100" w:type="dxa"/>
            </w:tcMar>
          </w:tcPr>
          <w:p>
            <w:pPr>
              <w:spacing w:before="20" w:after="20"/>
            </w:pPr>
            <w:r>
              <w:rPr>
                <w:rFonts w:ascii="Arial" w:hAnsi="Arial"/>
                <w:b/>
                <w:color w:val="262626"/>
                <w:sz w:val="19"/>
              </w:rPr>
              <w:t>Repositorio o Carpeta de Código Fuente:</w:t>
            </w:r>
          </w:p>
        </w:tc>
        <w:tc>
          <w:tcPr>
            <w:tcW w:type="dxa" w:w="6048"/>
            <w:tcMar>
              <w:top w:w="70" w:type="dxa"/>
              <w:bottom w:w="70" w:type="dxa"/>
              <w:left w:w="100" w:type="dxa"/>
              <w:right w:w="100" w:type="dxa"/>
            </w:tcMar>
          </w:tcPr>
          <w:p>
            <w:pPr>
              <w:spacing w:before="20" w:after="20"/>
            </w:pPr>
            <w:r>
              <w:rPr>
                <w:rFonts w:ascii="Arial" w:hAnsi="Arial"/>
                <w:color w:val="006699"/>
                <w:sz w:val="19"/>
              </w:rPr>
              <w:t xml:space="preserve">[COMPLETAR: URL del repositorio en GitHub] — estructura: index.html, contacto.html, portal.html y mapa_sitio.html en la raíz; carpetas servicios/, casos_exito/, nosotros/, clientes/, blog/ y assets/.</w:t>
            </w:r>
          </w:p>
        </w:tc>
      </w:tr>
    </w:tbl>
    <w:p>
      <w:pPr>
        <w:spacing w:after="200"/>
      </w:pPr>
    </w:p>
    <w:p>
      <w:pPr>
        <w:keepNext/>
        <w:spacing w:before="360" w:after="120"/>
      </w:pPr>
      <w:r>
        <w:rPr>
          <w:rFonts w:ascii="Arial" w:hAnsi="Arial"/>
          <w:b/>
          <w:color w:val="002060"/>
          <w:sz w:val="28"/>
        </w:rPr>
        <w:t>PARTE 1: FUNDAMENTOS PARA LA CREACIÓN DEL SITIO WEB</w:t>
      </w:r>
    </w:p>
    <w:p>
      <w:pPr>
        <w:spacing w:before="40" w:after="160" w:line="276" w:lineRule="auto"/>
      </w:pPr>
      <w:r>
        <w:rPr>
          <w:rFonts w:ascii="Arial" w:hAnsi="Arial"/>
          <w:b/>
          <w:color w:val="262626"/>
          <w:sz w:val="20"/>
        </w:rPr>
        <w:t xml:space="preserve">Criterio de Evaluación: </w:t>
      </w:r>
      <w:r>
        <w:rPr>
          <w:rFonts w:ascii="Arial" w:hAnsi="Arial"/>
          <w:color w:val="262626"/>
          <w:sz w:val="20"/>
        </w:rPr>
        <w:t>Puntaje Asignado: 8 Puntos (Criterio 2 de la Rúbrica Oficial de Zegel)</w:t>
      </w:r>
    </w:p>
    <w:p>
      <w:pPr>
        <w:keepNext/>
        <w:spacing w:before="280" w:after="80"/>
      </w:pPr>
      <w:r>
        <w:rPr>
          <w:rFonts w:ascii="Arial" w:hAnsi="Arial"/>
          <w:b/>
          <w:color w:val="0070C0"/>
          <w:sz w:val="24"/>
        </w:rPr>
        <w:t>1.1 Identificación y Compatibilidad de Navegadores Web</w:t>
      </w:r>
    </w:p>
    <w:p>
      <w:pPr>
        <w:spacing w:before="40" w:after="100" w:line="276" w:lineRule="auto"/>
      </w:pPr>
      <w:r>
        <w:rPr>
          <w:rFonts w:ascii="Arial" w:hAnsi="Arial"/>
          <w:color w:val="262626"/>
          <w:sz w:val="20"/>
        </w:rPr>
        <w:t>Explica cómo tu sitio web responde a los distintos navegadores del mercado y garantiza la compatibilidad multi-motor:</w:t>
      </w:r>
    </w:p>
    <w:p>
      <w:pPr>
        <w:spacing w:before="40" w:after="100" w:line="276" w:lineRule="auto"/>
      </w:pPr>
      <w:r>
        <w:rPr>
          <w:rFonts w:ascii="Arial" w:hAnsi="Arial"/>
          <w:b/>
          <w:color w:val="262626"/>
          <w:sz w:val="20"/>
        </w:rPr>
        <w:t xml:space="preserve">• Motor Blink (Google Chrome / Edge / Brave): </w:t>
      </w:r>
      <w:r>
        <w:rPr>
          <w:rFonts w:ascii="Arial" w:hAnsi="Arial"/>
          <w:color w:val="262626"/>
          <w:sz w:val="20"/>
        </w:rPr>
        <w:t xml:space="preserve">El sitio está escrito solo con HTML5 estándar (WHATWG), sin CSS ni JavaScript, y se prueba en Google Chrome y Microsoft Edge, ambos basados en el motor Blink. Blink interpreta todos los elementos usados (header, nav, main, section, article, footer, figure, table, form, picture y video) y los controles de formulario nativos (email, tel, number, date, select, radio y checkbox), por lo que las 14 páginas se muestran con la hoja de estilos predeterminada del navegador, sin ajustes.</w:t>
      </w:r>
    </w:p>
    <w:p>
      <w:pPr>
        <w:spacing w:before="40" w:after="100" w:line="276" w:lineRule="auto"/>
      </w:pPr>
      <w:r>
        <w:rPr>
          <w:rFonts w:ascii="Arial" w:hAnsi="Arial"/>
          <w:b/>
          <w:color w:val="262626"/>
          <w:sz w:val="20"/>
        </w:rPr>
        <w:t xml:space="preserve">• Motor Gecko (Mozilla Firefox): </w:t>
      </w:r>
      <w:r>
        <w:rPr>
          <w:rFonts w:ascii="Arial" w:hAnsi="Arial"/>
          <w:color w:val="262626"/>
          <w:sz w:val="20"/>
        </w:rPr>
        <w:t xml:space="preserve">Firefox usa el motor Gecko, que implementa los mismos estándares abiertos (HTML Living Standard). Al no depender de CSS ni de scripts, no hay reglas que se interpreten de forma distinta: Gecko muestra la misma estructura y soporta de forma nativa la validación de formularios (required, pattern, min, max), el reproductor &lt;video&gt; con subtítulos &lt;track&gt; y la selección de imagen con &lt;picture&gt;.</w:t>
      </w:r>
    </w:p>
    <w:p>
      <w:pPr>
        <w:spacing w:before="40" w:after="100" w:line="276" w:lineRule="auto"/>
      </w:pPr>
      <w:r>
        <w:rPr>
          <w:rFonts w:ascii="Arial" w:hAnsi="Arial"/>
          <w:b/>
          <w:color w:val="262626"/>
          <w:sz w:val="20"/>
        </w:rPr>
        <w:t xml:space="preserve">• Motor WebKit (Apple Safari): </w:t>
      </w:r>
      <w:r>
        <w:rPr>
          <w:rFonts w:ascii="Arial" w:hAnsi="Arial"/>
          <w:color w:val="262626"/>
          <w:sz w:val="20"/>
        </w:rPr>
        <w:t xml:space="preserve">Safari (motor WebKit) en iPhone, iPad y Mac es el entorno móvil más exigente. Cada página declara &lt;meta name="viewport" content="width=device-width,initial-scale=1"&gt;, de modo que el contenido se ajusta al ancho del dispositivo y fluye en una sola columna. Safari reproduce el video en MP4 (H.264), reproduce imágenes WebP desde la versión 14 y ofrece su propio selector de fecha para type="date". [COMPLETAR: dispositivo y versión de Safari/iOS con que lo probaste].</w:t>
      </w:r>
    </w:p>
    <w:p>
      <w:pPr>
        <w:spacing w:before="40" w:after="100" w:line="276" w:lineRule="auto"/>
      </w:pPr>
      <w:r>
        <w:rPr>
          <w:rFonts w:ascii="Arial" w:hAnsi="Arial"/>
          <w:b/>
          <w:color w:val="262626"/>
          <w:sz w:val="20"/>
        </w:rPr>
        <w:t xml:space="preserve">• Garantía de Compatibilidad Estándar: </w:t>
      </w:r>
      <w:r>
        <w:rPr>
          <w:rFonts w:ascii="Arial" w:hAnsi="Arial"/>
          <w:color w:val="262626"/>
          <w:sz w:val="20"/>
        </w:rPr>
        <w:t xml:space="preserve">Como el sitio solo usa elementos HTML5 vigentes (el validador oficial del W3C no reporta etiquetas obsoletas ni errores de anidación), el mismo código funciona en Blink, Gecko y WebKit. Para los recursos que no todos los navegadores soportan se ofrecen alternativas: el video tiene fuentes en WebM y MP4 y un enlace de descarga, la imagen del hero tiene PNG de respaldo dentro de &lt;picture&gt;, y los campos type="date" y type="number" se muestran como texto en un navegador que no los reconoce, manteniendo el sitio usable.</w:t>
      </w:r>
    </w:p>
    <w:p>
      <w:pPr>
        <w:keepNext/>
        <w:spacing w:before="280" w:after="80"/>
      </w:pPr>
      <w:r>
        <w:rPr>
          <w:rFonts w:ascii="Arial" w:hAnsi="Arial"/>
          <w:b/>
          <w:color w:val="0070C0"/>
          <w:sz w:val="24"/>
        </w:rPr>
        <w:t>1.2 Arquitectura de Información y Mapa de Sitio</w:t>
      </w:r>
    </w:p>
    <w:p>
      <w:pPr>
        <w:spacing w:before="40" w:after="100" w:line="276" w:lineRule="auto"/>
      </w:pPr>
      <w:r>
        <w:rPr>
          <w:rFonts w:ascii="Arial" w:hAnsi="Arial"/>
          <w:b/>
          <w:color w:val="262626"/>
          <w:sz w:val="20"/>
        </w:rPr>
        <w:t xml:space="preserve">• Descripción de la Arquitectura del Negocio: </w:t>
      </w:r>
      <w:r>
        <w:rPr>
          <w:rFonts w:ascii="Arial" w:hAnsi="Arial"/>
          <w:color w:val="262626"/>
          <w:sz w:val="20"/>
        </w:rPr>
        <w:t xml:space="preserve">DataForge Analytics es una consultora boutique de analítica de datos, Machine Learning y dashboards dirigida a PyMEs de 20 a 200 empleados en retail, salud, logística y fintech, que generan muchos datos pero no tienen equipo de analítica y deciden por intuición. El portal atiende a dos perfiles: el decisor de negocio (gerente o dueño), que busca valor, resultados medibles y costos, y el perfil técnico (jefe de TI), que busca viabilidad, stack y seguridad. El sitio tiene 14 páginas: Inicio (propuesta de valor, métricas y video demostrativo), Servicios (5 servicios, un producto SaaS próximo y tabla de inversión y plazos) con una página de detalle por servicio (en construcción), Casos de éxito (Retail, Salud y Logística), Nosotros, Clientes, Blog (3 publicaciones con su fecha), Contacto (diagnóstico gratuito de 30 minutos), Portal del cliente (login) y Mapa del sitio.</w:t>
      </w:r>
    </w:p>
    <w:p>
      <w:pPr>
        <w:spacing w:before="40" w:after="100" w:line="276" w:lineRule="auto"/>
      </w:pPr>
      <w:r>
        <w:rPr>
          <w:rFonts w:ascii="Arial" w:hAnsi="Arial"/>
          <w:color w:val="262626"/>
          <w:sz w:val="20"/>
        </w:rPr>
        <w:t>A continuación, presenta la estructura jerárquica de archivos y páginas que componen el sitio web:</w:t>
      </w:r>
    </w:p>
    <w:tbl>
      <w:tblPr>
        <w:tblW w:type="auto" w:w="0"/>
        <w:jc w:val="center"/>
        <w:tblLook w:firstColumn="1" w:firstRow="1" w:lastColumn="0" w:lastRow="0" w:noHBand="0" w:noVBand="1" w:val="04A0"/>
      </w:tblPr>
      <w:tblGrid>
        <w:gridCol w:w="9360"/>
      </w:tblGrid>
      <w:tr>
        <w:tc>
          <w:tcPr>
            <w:tcW w:type="dxa" w:w="9360"/>
            <w:shd w:fill="F4F6F8"/>
            <w:tcMar>
              <w:top w:w="100" w:type="dxa"/>
              <w:bottom w:w="100" w:type="dxa"/>
              <w:left w:w="150" w:type="dxa"/>
              <w:right w:w="150" w:type="dxa"/>
            </w:tcMar>
            <w:tcBorders>
              <w:left w:val="single" w:sz="12" w:space="0" w:color="0070C0"/>
              <w:top w:val="none"/>
              <w:right w:val="none"/>
              <w:bottom w:val="none"/>
            </w:tcBorders>
          </w:tcPr>
          <w:p>
            <w:pPr>
              <w:spacing w:before="40" w:after="40"/>
            </w:pPr>
            <w:r>
              <w:rPr>
                <w:rFonts w:ascii="Consolas" w:hAnsi="Consolas"/>
                <w:color w:val="1E1E1E"/>
                <w:sz w:val="17"/>
              </w:rPr>
              <w:t xml:space="preserve">[INICIO: index.html (raíz) — hero, propuesta de valor y video demostrativo]</w:t>
              <w:br/>
              <w:t xml:space="preserve">├── [Servicios: servicios/servicios.html — 5 servicios + tabla (#tarifas)  →  detalle: dashboards-bi.html, analitica-descriptiva.html, machine-learning.html, mlops.html, data-strategy.html]</w:t>
              <w:br/>
              <w:t xml:space="preserve">├── [Casos de éxito: casos_exito/casos_exito.html — Retail, Salud, Logística]</w:t>
              <w:br/>
              <w:t xml:space="preserve">├── [Nosotros: nosotros/nosotros.html — Equipo y Metodología en 4 pasos]</w:t>
              <w:br/>
              <w:t xml:space="preserve">├── [Clientes: clientes/clientes.html  |  Blog: blog/blog.html]</w:t>
              <w:br/>
              <w:t xml:space="preserve">└── [Contacto: contacto.html  |  Portal cliente: portal.html  |  Mapa del sitio: mapa_sitio.html]</w:t>
            </w:r>
          </w:p>
        </w:tc>
      </w:tr>
    </w:tbl>
    <w:p>
      <w:pPr>
        <w:spacing w:after="60"/>
      </w:pPr>
    </w:p>
    <w:tbl>
      <w:tblPr>
        <w:tblW w:type="auto" w:w="0"/>
        <w:jc w:val="center"/>
        <w:tblLook w:firstColumn="1" w:firstRow="1" w:lastColumn="0" w:lastRow="0" w:noHBand="0" w:noVBand="1" w:val="04A0"/>
      </w:tblPr>
      <w:tblGrid>
        <w:gridCol w:w="9360"/>
      </w:tblGrid>
      <w:tr>
        <w:tc>
          <w:tcPr>
            <w:tcW w:type="dxa" w:w="9360"/>
            <w:shd w:fill="FAFAFA"/>
            <w:tcMar>
              <w:top w:w="200" w:type="dxa"/>
              <w:bottom w:w="200" w:type="dxa"/>
              <w:left w:w="200" w:type="dxa"/>
              <w:right w:w="200" w:type="dxa"/>
            </w:tcMar>
            <w:tcBorders>
              <w:left w:val="dashed" w:sz="8" w:space="0" w:color="D9D9D9"/>
              <w:right w:val="dashed" w:sz="8" w:space="0" w:color="D9D9D9"/>
              <w:top w:val="dashed" w:sz="8" w:space="0" w:color="D9D9D9"/>
              <w:bottom w:val="dashed" w:sz="8" w:space="0" w:color="D9D9D9"/>
            </w:tcBorders>
          </w:tcPr>
          <w:p>
            <w:pPr>
              <w:jc w:val="center"/>
            </w:pPr>
            <w:r>
              <w:rPr>
                <w:rFonts w:ascii="Arial" w:hAnsi="Arial"/>
                <w:i/>
                <w:color w:val="595959"/>
                <w:sz w:val="19"/>
              </w:rPr>
              <w:t>📷 [ Inserte aquí el diagrama visual del Mapa de Sitio (elaborado en Lucidchart, Miro, Figma o dibujo técnico) ]</w:t>
            </w:r>
          </w:p>
        </w:tc>
      </w:tr>
    </w:tbl>
    <w:p>
      <w:pPr>
        <w:spacing w:after="80"/>
      </w:pPr>
    </w:p>
    <w:p>
      <w:pPr>
        <w:spacing w:before="40" w:after="100" w:line="276" w:lineRule="auto"/>
      </w:pPr>
      <w:r>
        <w:rPr>
          <w:rFonts w:ascii="Arial" w:hAnsi="Arial"/>
          <w:b/>
          <w:color w:val="262626"/>
          <w:sz w:val="20"/>
        </w:rPr>
        <w:t xml:space="preserve">• Justificación de la Regla de los 3 Clics: </w:t>
      </w:r>
      <w:r>
        <w:rPr>
          <w:rFonts w:ascii="Arial" w:hAnsi="Arial"/>
          <w:color w:val="262626"/>
          <w:sz w:val="20"/>
        </w:rPr>
        <w:t xml:space="preserve">Las 14 páginas comparten el mismo header con &lt;nav aria-label="Principal"&gt;, que enlaza a Servicios, Casos de éxito, Nosotros, Clientes y Blog, además de "Portal cliente" y "Contáctanos". Por eso cada sección principal está a 1 clic desde el inicio y desde cualquier otra página, y la conversión principal (contacto) está a 1 clic desde el header y desde el botón "Solicitar diagnóstico gratis" del hero. El pie de página repite los enlaces de Servicios, Casos de éxito y Nosotros e incluye el enlace al Mapa del sitio (mapa_sitio.html), un directorio jerárquico con todas las páginas. Las páginas de detalle de cada servicio están a 2 clics del inicio (Servicios → detalle) y además se enlazan desde el pie de página, por lo que ningún contenido supera los 3 clics.</w:t>
      </w:r>
    </w:p>
    <w:p>
      <w:pPr>
        <w:keepNext/>
        <w:spacing w:before="280" w:after="80"/>
      </w:pPr>
      <w:r>
        <w:rPr>
          <w:rFonts w:ascii="Arial" w:hAnsi="Arial"/>
          <w:b/>
          <w:color w:val="0070C0"/>
          <w:sz w:val="24"/>
        </w:rPr>
        <w:t>1.3 Infraestructura Web: Servidores, Hosting, Dominio y DNS</w:t>
      </w:r>
    </w:p>
    <w:p>
      <w:pPr>
        <w:spacing w:before="40" w:after="100" w:line="276" w:lineRule="auto"/>
      </w:pPr>
      <w:r>
        <w:rPr>
          <w:rFonts w:ascii="Arial" w:hAnsi="Arial"/>
          <w:b/>
          <w:color w:val="262626"/>
          <w:sz w:val="20"/>
        </w:rPr>
        <w:t xml:space="preserve">• Servidor Web y Hosting Empleado: </w:t>
      </w:r>
      <w:r>
        <w:rPr>
          <w:rFonts w:ascii="Arial" w:hAnsi="Arial"/>
          <w:color w:val="262626"/>
          <w:sz w:val="20"/>
        </w:rPr>
        <w:t xml:space="preserve">Según la propuesta, el sitio se despliega en Vercel Pro (plan contratado, US$ 20/mes) con despliegue continuo conectado al repositorio y una red de distribución de contenido (CDN) global. El contenido se sirve desde nodos cercanos al visitante, lo que reduce la latencia, y la plataforma ofrece alta disponibilidad 24/7 sin administrar servidores propios. Cada cambio subido al repositorio se publica automáticamente. La página de inicio se llama index.html y está en la raíz del proyecto porque Vercel, como cualquier servidor web, entrega ese archivo por defecto al abrir el dominio, sin escribir el nombre del archivo en la dirección.</w:t>
      </w:r>
    </w:p>
    <w:p>
      <w:pPr>
        <w:spacing w:before="40" w:after="100" w:line="276" w:lineRule="auto"/>
      </w:pPr>
      <w:r>
        <w:rPr>
          <w:rFonts w:ascii="Arial" w:hAnsi="Arial"/>
          <w:b/>
          <w:color w:val="262626"/>
          <w:sz w:val="20"/>
        </w:rPr>
        <w:t xml:space="preserve">• Protocolo de Seguridad (HTTPS): </w:t>
      </w:r>
      <w:r>
        <w:rPr>
          <w:rFonts w:ascii="Arial" w:hAnsi="Arial"/>
          <w:color w:val="262626"/>
          <w:sz w:val="20"/>
        </w:rPr>
        <w:t xml:space="preserve">HTTPS es HTTP sobre TLS (puerto 443). Cifra la comunicación entre el visitante y el sitio, impide que terceros lean o alteren los datos y autentica al servidor. Esto es crítico porque el sitio recoge datos de contacto de empresas y tiene un portal de clientes con login. Además, genera confianza y favorece el posicionamiento en buscadores. El certificado lo gestiona Cloudflare (Let's Encrypt) con renovación automática.</w:t>
      </w:r>
    </w:p>
    <w:p>
      <w:pPr>
        <w:spacing w:before="40" w:after="100" w:line="276" w:lineRule="auto"/>
      </w:pPr>
      <w:r>
        <w:rPr>
          <w:rFonts w:ascii="Arial" w:hAnsi="Arial"/>
          <w:b/>
          <w:color w:val="262626"/>
          <w:sz w:val="20"/>
        </w:rPr>
        <w:t xml:space="preserve">• Dominio Propuesto y Resolución DNS: </w:t>
      </w:r>
      <w:r>
        <w:rPr>
          <w:rFonts w:ascii="Arial" w:hAnsi="Arial"/>
          <w:color w:val="262626"/>
          <w:sz w:val="20"/>
        </w:rPr>
        <w:t xml:space="preserve">Dominio propuesto: www.dataforge.pe (registrado en NIC.pe, plan anual de S/ 45). Cuando el usuario escribe el dominio, su equipo consulta un servidor DNS, que lo traduce a la dirección IP del servidor. Para el dominio raíz se usa un registro A que apunta a la IP del hosting, y para el subdominio www un registro CNAME que apunta al dominio de Vercel. El DNS lo administra Cloudflare, que además acelera la carga y protege contra ataques.</w:t>
      </w:r>
    </w:p>
    <w:p>
      <w:pPr>
        <w:keepNext/>
        <w:spacing w:before="280" w:after="80"/>
      </w:pPr>
      <w:r>
        <w:rPr>
          <w:rFonts w:ascii="Arial" w:hAnsi="Arial"/>
          <w:b/>
          <w:color w:val="0070C0"/>
          <w:sz w:val="24"/>
        </w:rPr>
        <w:t>1.4 Criterio Técnico en la Selección de Elementos Gráficos</w:t>
      </w:r>
    </w:p>
    <w:p>
      <w:pPr>
        <w:spacing w:before="40" w:after="100" w:line="276" w:lineRule="auto"/>
      </w:pPr>
      <w:r>
        <w:rPr>
          <w:rFonts w:ascii="Arial" w:hAnsi="Arial"/>
          <w:color w:val="262626"/>
          <w:sz w:val="20"/>
        </w:rPr>
        <w:t>Justifica técnicamente el formato de cada recurso visual utilizado en tu portal web:</w:t>
      </w:r>
    </w:p>
    <w:p>
      <w:pPr>
        <w:spacing w:before="40" w:after="100" w:line="276" w:lineRule="auto"/>
      </w:pPr>
      <w:r>
        <w:rPr>
          <w:rFonts w:ascii="Arial" w:hAnsi="Arial"/>
          <w:b/>
          <w:color w:val="262626"/>
          <w:sz w:val="20"/>
        </w:rPr>
        <w:t xml:space="preserve">• Logotipos e Iconografía (Formato SVG): </w:t>
      </w:r>
      <w:r>
        <w:rPr>
          <w:rFonts w:ascii="Arial" w:hAnsi="Arial"/>
          <w:color w:val="262626"/>
          <w:sz w:val="20"/>
        </w:rPr>
        <w:t xml:space="preserve">En esta versión solo HTML no se usan íconos SVG decorativos. El logotipo (hexágono con nodos conectados) se recortó de sus márgenes y se publica en WebP a 360 px de ancho para mostrarse a 180 × 47 px (el doble de resolución para pantallas de alta densidad): pesa 8 KB frente a 383 KB del PNG original. El ícono de la marca se generó en los tamaños estándar de favicon: 16 × 16 y 32 × 32 px (pestañas del navegador), 180 × 180 px (apple-touch-icon para iPhone/iPad) y 192 × 192 px (Android). Para logotipos e íconos de formas simples, SVG es el formato recomendado; se propone exportar el logotipo a SVG como mejora.</w:t>
      </w:r>
    </w:p>
    <w:p>
      <w:pPr>
        <w:spacing w:before="40" w:after="100" w:line="276" w:lineRule="auto"/>
      </w:pPr>
      <w:r>
        <w:rPr>
          <w:rFonts w:ascii="Arial" w:hAnsi="Arial"/>
          <w:b/>
          <w:color w:val="262626"/>
          <w:sz w:val="20"/>
        </w:rPr>
        <w:t xml:space="preserve">• Imágenes Fotográficas (Formato WebP / JPG): </w:t>
      </w:r>
      <w:r>
        <w:rPr>
          <w:rFonts w:ascii="Arial" w:hAnsi="Arial"/>
          <w:color w:val="262626"/>
          <w:sz w:val="20"/>
        </w:rPr>
        <w:t xml:space="preserve">Las fotografías y gráficos se publican en WebP (calidad 82), con el tamaño exacto en que se muestran y el doble de resolución para pantallas de alta densidad, y se declaran con los atributos width y height para que la página no se desplace al cargar. Hero: 800 × 696 px (48 KB; antes 283 KB) para mostrarse a 400 × 348 px, con una versión de 400 px (20 KB) para pantallas pequeñas. Tarjetas del blog: 540 × 290 px mostradas a 360 × 193 px (12–20 KB; antes 83–254 KB). Fotos del equipo: 220 × 220 px mostradas a 110 × 110 px (8–12 KB). Panel de clientes: 1200 px de ancho mostrado a 600 × 148 px (24 KB; antes 440 KB). Las imágenes bajo el primer pantallazo usan loading="lazy" y decoding="async"; el hero usa loading="eager". Las imágenes del blog llevan las esquinas redondeadas incorporadas en el propio archivo (WebP con transparencia), sin depender de CSS. Las páginas de detalle de cada servicio usan una ilustración propia en español (assets/Servicios/construccion.webp, 800 × 660 px mostrada a 400 × 330 px, con fondo transparente) y un botón &lt;button&gt; dentro de un &lt;form action="servicios.html"&gt; para volver a Servicios sin necesidad de JavaScript.</w:t>
      </w:r>
    </w:p>
    <w:p>
      <w:pPr>
        <w:spacing w:before="40" w:after="100" w:line="276" w:lineRule="auto"/>
      </w:pPr>
      <w:r>
        <w:rPr>
          <w:rFonts w:ascii="Arial" w:hAnsi="Arial"/>
          <w:b/>
          <w:color w:val="262626"/>
          <w:sz w:val="20"/>
        </w:rPr>
        <w:t xml:space="preserve">• Gráficos con Transparencia (Formato PNG): </w:t>
      </w:r>
      <w:r>
        <w:rPr>
          <w:rFonts w:ascii="Arial" w:hAnsi="Arial"/>
          <w:color w:val="262626"/>
          <w:sz w:val="20"/>
        </w:rPr>
        <w:t xml:space="preserve">La ilustración del hero, el logotipo y el panel de logos de clientes se muestran sobre el fondo blanco predeterminado de la página. WebP admite canal alfa (transparencia) con mucho menor peso que PNG-24, por lo que se usa en todos los casos. El PNG se conserva solo como respaldo del hero (&lt;img&gt; dentro de &lt;picture&gt;, reducido a 800 px y 140 KB) y como formato de favicon, donde se requiere el formato clásico.</w:t>
      </w:r>
    </w:p>
    <w:p>
      <w:pPr>
        <w:spacing w:before="40" w:after="100" w:line="276" w:lineRule="auto"/>
      </w:pPr>
      <w:r>
        <w:rPr>
          <w:rFonts w:ascii="Arial" w:hAnsi="Arial"/>
          <w:b/>
          <w:color w:val="262626"/>
          <w:sz w:val="20"/>
        </w:rPr>
        <w:t xml:space="preserve">• Herramientas de Optimización Empleadas: </w:t>
      </w:r>
      <w:r>
        <w:rPr>
          <w:rFonts w:ascii="Arial" w:hAnsi="Arial"/>
          <w:color w:val="262626"/>
          <w:sz w:val="20"/>
        </w:rPr>
        <w:t xml:space="preserve">Conversión a WebP con Pillow/libwebp (calidad 82–90), equivalente a Squoosh.app; el video se codificó con FFmpeg (H.264 y VP9). [COMPLETAR: confirma las herramientas que utilizaste].</w:t>
      </w:r>
    </w:p>
    <w:p>
      <w:pPr>
        <w:keepNext/>
        <w:spacing w:before="360" w:after="120"/>
      </w:pPr>
      <w:r>
        <w:rPr>
          <w:rFonts w:ascii="Arial" w:hAnsi="Arial"/>
          <w:b/>
          <w:color w:val="002060"/>
          <w:sz w:val="28"/>
        </w:rPr>
        <w:t>PARTE 2: DISEÑO Y DESARROLLO DEL SITIO WEB CON HTML5</w:t>
      </w:r>
    </w:p>
    <w:p>
      <w:pPr>
        <w:spacing w:before="40" w:after="160" w:line="276" w:lineRule="auto"/>
      </w:pPr>
      <w:r>
        <w:rPr>
          <w:rFonts w:ascii="Arial" w:hAnsi="Arial"/>
          <w:b/>
          <w:color w:val="262626"/>
          <w:sz w:val="20"/>
        </w:rPr>
        <w:t xml:space="preserve">Criterio de Evaluación: </w:t>
      </w:r>
      <w:r>
        <w:rPr>
          <w:rFonts w:ascii="Arial" w:hAnsi="Arial"/>
          <w:color w:val="262626"/>
          <w:sz w:val="20"/>
        </w:rPr>
        <w:t>Puntaje Asignado: 12 Puntos (Criterio 1 de la Rúbrica Oficial de Zegel)</w:t>
      </w:r>
    </w:p>
    <w:p>
      <w:pPr>
        <w:keepNext/>
        <w:spacing w:before="280" w:after="80"/>
      </w:pPr>
      <w:r>
        <w:rPr>
          <w:rFonts w:ascii="Arial" w:hAnsi="Arial"/>
          <w:b/>
          <w:color w:val="0070C0"/>
          <w:sz w:val="24"/>
        </w:rPr>
        <w:t>2.1 Dominio de la Semántica Web (Estructura del Código)</w:t>
      </w:r>
    </w:p>
    <w:p>
      <w:pPr>
        <w:spacing w:before="40" w:after="100" w:line="276" w:lineRule="auto"/>
      </w:pPr>
      <w:r>
        <w:rPr>
          <w:rFonts w:ascii="Arial" w:hAnsi="Arial"/>
          <w:b/>
          <w:color w:val="262626"/>
          <w:sz w:val="20"/>
        </w:rPr>
        <w:t xml:space="preserve">• Declaración Raíz y Metadatos: </w:t>
      </w:r>
      <w:r>
        <w:rPr>
          <w:rFonts w:ascii="Arial" w:hAnsi="Arial"/>
          <w:color w:val="262626"/>
          <w:sz w:val="20"/>
        </w:rPr>
        <w:t xml:space="preserve">En las 14 páginas: &lt;!DOCTYPE html&gt; activa el modo estándar; &lt;html lang="es"&gt; declara el idioma; &lt;meta charset="utf-8"&gt; fija la codificación para tildes y ñ; &lt;meta name="viewport" content="width=device-width,initial-scale=1"&gt; adapta la página al ancho del móvil. Además, cada página tiene un &lt;title&gt; propio (por ejemplo "Blog | DataForge" o "Contacto | DataForge"), &lt;meta name="description"&gt; para SEO y un favicon con &lt;link rel="icon"&gt;.</w:t>
      </w:r>
    </w:p>
    <w:p>
      <w:pPr>
        <w:spacing w:before="40" w:after="100" w:line="276" w:lineRule="auto"/>
      </w:pPr>
      <w:r>
        <w:rPr>
          <w:rFonts w:ascii="Arial" w:hAnsi="Arial"/>
          <w:b/>
          <w:color w:val="262626"/>
          <w:sz w:val="20"/>
        </w:rPr>
        <w:t xml:space="preserve">• Maquetación Semántica Moderna: </w:t>
      </w:r>
      <w:r>
        <w:rPr>
          <w:rFonts w:ascii="Arial" w:hAnsi="Arial"/>
          <w:color w:val="262626"/>
          <w:sz w:val="20"/>
        </w:rPr>
        <w:t xml:space="preserve">Todas las páginas usan la misma estructura: un enlace "Saltar al contenido" (skip-link), &lt;header&gt; con &lt;nav aria-label="Principal"&gt;, &lt;main id="contenido"&gt;, &lt;section&gt; con aria-labelledby apuntando a su título, y &lt;footer&gt;. Dentro de ellas se usa &lt;article&gt; para cada servicio, caso de éxito y entrada del blog; en los casos de éxito, &lt;p&gt; para el sector, &lt;h2&gt; para el proyecto, &lt;ul&gt; para los resultados y &lt;figure&gt; con &lt;blockquote&gt; y &lt;figcaption&gt; para el testimonio; &lt;ol&gt; y &lt;ul&gt; para los pasos del proceso, el equipo y el mapa del sitio; &lt;time datetime&gt; para las fechas del blog; &lt;figure&gt; y &lt;figcaption&gt; para el video; &lt;table&gt; con &lt;caption&gt; para las tarifas; y &lt;form&gt; con &lt;fieldset&gt; en contacto. Los &lt;div&gt; se limitan a contenedores de diseño.</w:t>
      </w:r>
    </w:p>
    <w:tbl>
      <w:tblPr>
        <w:tblW w:type="auto" w:w="0"/>
        <w:jc w:val="center"/>
        <w:tblLook w:firstColumn="1" w:firstRow="1" w:lastColumn="0" w:lastRow="0" w:noHBand="0" w:noVBand="1" w:val="04A0"/>
      </w:tblPr>
      <w:tblGrid>
        <w:gridCol w:w="9360"/>
      </w:tblGrid>
      <w:tr>
        <w:tc>
          <w:tcPr>
            <w:tcW w:type="dxa" w:w="9360"/>
            <w:shd w:fill="F4F6F8"/>
            <w:tcMar>
              <w:top w:w="100" w:type="dxa"/>
              <w:bottom w:w="100" w:type="dxa"/>
              <w:left w:w="150" w:type="dxa"/>
              <w:right w:w="150" w:type="dxa"/>
            </w:tcMar>
            <w:tcBorders>
              <w:left w:val="single" w:sz="12" w:space="0" w:color="0070C0"/>
              <w:top w:val="none"/>
              <w:right w:val="none"/>
              <w:bottom w:val="none"/>
            </w:tcBorders>
          </w:tcPr>
          <w:p>
            <w:pPr>
              <w:spacing w:before="40" w:after="40"/>
            </w:pPr>
            <w:r>
              <w:rPr>
                <w:rFonts w:ascii="Consolas" w:hAnsi="Consolas"/>
                <w:color w:val="1E1E1E"/>
                <w:sz w:val="17"/>
              </w:rPr>
              <w:t xml:space="preserve">&lt;!-- Semántica real de blog.html --&gt;</w:t>
              <w:br/>
              <w:t xml:space="preserve">&lt;section id="blog" aria-labelledby="blog-title"&gt;</w:t>
              <w:br/>
              <w:t xml:space="preserve">  &lt;header&gt; &lt;h1 id="blog-title"&gt; ... &lt;/h1&gt; &lt;/header&gt;</w:t>
              <w:br/>
              <w:t xml:space="preserve">  &lt;article&gt;</w:t>
              <w:br/>
              <w:t xml:space="preserve">    &lt;h2&gt; ... &lt;/h2&gt;</w:t>
              <w:br/>
              <w:t xml:space="preserve">    &lt;p&gt;Publicado el &lt;time datetime="2026-08-12"&gt;12 de agosto de 2026&lt;/time&gt;&lt;/p&gt;</w:t>
              <w:br/>
              <w:t xml:space="preserve">  &lt;/article&gt;</w:t>
              <w:br/>
              <w:t xml:space="preserve">&lt;/section&gt;</w:t>
              <w:br/>
              <w:t xml:space="preserve">&lt;!-- Común a las 14 páginas: skip-link + header/nav + main#contenido + footer --&gt;</w:t>
            </w:r>
          </w:p>
        </w:tc>
      </w:tr>
    </w:tbl>
    <w:p>
      <w:pPr>
        <w:spacing w:after="60"/>
      </w:pPr>
    </w:p>
    <w:p>
      <w:pPr>
        <w:spacing w:before="40" w:after="100" w:line="276" w:lineRule="auto"/>
      </w:pPr>
      <w:r>
        <w:rPr>
          <w:rFonts w:ascii="Arial" w:hAnsi="Arial"/>
          <w:b/>
          <w:color w:val="262626"/>
          <w:sz w:val="20"/>
        </w:rPr>
        <w:t xml:space="preserve">• Jerarquía de Encabezados (h1 - h6): </w:t>
      </w:r>
      <w:r>
        <w:rPr>
          <w:rFonts w:ascii="Arial" w:hAnsi="Arial"/>
          <w:color w:val="262626"/>
          <w:sz w:val="20"/>
        </w:rPr>
        <w:t xml:space="preserve">Cada una de las 14 páginas tiene un único &lt;h1&gt; con el título principal (por ejemplo "Tus datos ya saben qué hacer…" en el inicio, "Mapa del sitio" o "Bienvenido al Portal del Cliente"), enlazado con aria-labelledby a su sección. Los servicios, casos, entradas del blog y secciones del pie son &lt;h2&gt;, y los pasos de la metodología en Nosotros son &lt;h3&gt; dentro de su &lt;h2&gt;, sin saltar niveles. Como no hay CSS, la jerarquía visual de la página la dan únicamente los niveles de encabezado, y se eligen por la jerarquía del contenido.</w:t>
      </w:r>
    </w:p>
    <w:p>
      <w:pPr>
        <w:keepNext/>
        <w:spacing w:before="280" w:after="80"/>
      </w:pPr>
      <w:r>
        <w:rPr>
          <w:rFonts w:ascii="Arial" w:hAnsi="Arial"/>
          <w:b/>
          <w:color w:val="0070C0"/>
          <w:sz w:val="24"/>
        </w:rPr>
        <w:t>2.2 Buenas Prácticas de Accesibilidad (a11y) y Usabilidad</w:t>
      </w:r>
    </w:p>
    <w:p>
      <w:pPr>
        <w:spacing w:before="40" w:after="100" w:line="276" w:lineRule="auto"/>
      </w:pPr>
      <w:r>
        <w:rPr>
          <w:rFonts w:ascii="Arial" w:hAnsi="Arial"/>
          <w:b/>
          <w:color w:val="262626"/>
          <w:sz w:val="20"/>
        </w:rPr>
        <w:t xml:space="preserve">• Texto Alternativo en Imágenes (alt): </w:t>
      </w:r>
      <w:r>
        <w:rPr>
          <w:rFonts w:ascii="Arial" w:hAnsi="Arial"/>
          <w:color w:val="262626"/>
          <w:sz w:val="20"/>
        </w:rPr>
        <w:t xml:space="preserve">Ejemplos reales: el logotipo lleva alt="DataForge, ir al inicio", que identifica la marca y la función del enlace. Las fotos del equipo (nosotros.html) llevan el nombre de cada persona: alt="Juan José Soto", "Anthony Cruces" y "Christian Calle". El panel de clientes lleva alt="Logotipos de los clientes de DataForge". La ilustración del hero tiene un texto alternativo descriptivo ("Ilustración de un panel de datos conectado a una red de nodos"). Las imágenes de portada del blog son decorativas y usan alt="" para que los lectores de pantalla las ignoren.</w:t>
      </w:r>
    </w:p>
    <w:p>
      <w:pPr>
        <w:spacing w:before="40" w:after="100" w:line="276" w:lineRule="auto"/>
      </w:pPr>
      <w:r>
        <w:rPr>
          <w:rFonts w:ascii="Arial" w:hAnsi="Arial"/>
          <w:b/>
          <w:color w:val="262626"/>
          <w:sz w:val="20"/>
        </w:rPr>
        <w:t xml:space="preserve">• Navegación por Teclado y Enlaces Claros: </w:t>
      </w:r>
      <w:r>
        <w:rPr>
          <w:rFonts w:ascii="Arial" w:hAnsi="Arial"/>
          <w:color w:val="262626"/>
          <w:sz w:val="20"/>
        </w:rPr>
        <w:t xml:space="preserve">El sitio se recorre con Tab, Shift+Tab, Enter y la barra espaciadora porque usa elementos nativos del navegador (enlaces, campos, botones, select, radio y checkbox), que reciben el foco por defecto y en un orden lógico que sigue el del documento. Cada página empieza con un enlace "Saltar al contenido" que lleva a &lt;main id="contenido"&gt;. En el formulario, cada campo tiene su &lt;label for&gt;, los grupos están en &lt;fieldset&gt; con &lt;legend&gt;, y los radios se agrupan y se mueven con las flechas. Los textos de los enlaces son claros ("Contáctanos", "Solicitar diagnóstico gratis", "Ver detalle de Machine Learning aplicado") y el elemento de menú de la página actual se marca con aria-current="page". [COMPLETAR: confirma tu prueba real con teclado].</w:t>
      </w:r>
    </w:p>
    <w:p>
      <w:pPr>
        <w:spacing w:before="40" w:after="100" w:line="276" w:lineRule="auto"/>
      </w:pPr>
      <w:r>
        <w:rPr>
          <w:rFonts w:ascii="Arial" w:hAnsi="Arial"/>
          <w:b/>
          <w:color w:val="262626"/>
          <w:sz w:val="20"/>
        </w:rPr>
        <w:t xml:space="preserve">• Asistencia a Sintetizadores de Voz: </w:t>
      </w:r>
      <w:r>
        <w:rPr>
          <w:rFonts w:ascii="Arial" w:hAnsi="Arial"/>
          <w:color w:val="262626"/>
          <w:sz w:val="20"/>
        </w:rPr>
        <w:t xml:space="preserve">El atributo lang="es" indica el idioma principal. Así, NVDA, JAWS y VoiceOver cargan la voz y reglas de pronunciación del español, en lugar de leer las palabras con acento de otro idioma. También ayuda a la corrección ortográfica y a los traductores automáticos. Para términos en inglés (Machine Learning, MLOps, Dashboards), se puede marcar el fragmento con lang="en".</w:t>
      </w:r>
    </w:p>
    <w:p>
      <w:pPr>
        <w:keepNext/>
        <w:spacing w:before="280" w:after="80"/>
      </w:pPr>
      <w:r>
        <w:rPr>
          <w:rFonts w:ascii="Arial" w:hAnsi="Arial"/>
          <w:b/>
          <w:color w:val="0070C0"/>
          <w:sz w:val="24"/>
        </w:rPr>
        <w:t>2.3 Reconocimiento y Aplicación de Elementos Complejos</w:t>
      </w:r>
    </w:p>
    <w:p>
      <w:pPr>
        <w:spacing w:before="40" w:after="100" w:line="276" w:lineRule="auto"/>
      </w:pPr>
      <w:r>
        <w:rPr>
          <w:rFonts w:ascii="Arial" w:hAnsi="Arial"/>
          <w:color w:val="262626"/>
          <w:sz w:val="20"/>
        </w:rPr>
        <w:t>A continuación, documenta la implementación de los dos componentes técnicos avanzados obligatorios:</w:t>
      </w:r>
    </w:p>
    <w:p>
      <w:pPr>
        <w:keepNext/>
        <w:spacing w:before="200" w:after="60"/>
      </w:pPr>
      <w:r>
        <w:rPr>
          <w:rFonts w:ascii="Arial" w:hAnsi="Arial"/>
          <w:b/>
          <w:color w:val="262626"/>
          <w:sz w:val="21"/>
        </w:rPr>
        <w:t>A. Tabla de Datos Estructurada (&lt;table&gt;)</w:t>
      </w:r>
    </w:p>
    <w:p>
      <w:pPr>
        <w:spacing w:before="40" w:after="100" w:line="276" w:lineRule="auto"/>
      </w:pPr>
      <w:r>
        <w:rPr>
          <w:rFonts w:ascii="Arial" w:hAnsi="Arial"/>
          <w:b/>
          <w:color w:val="262626"/>
          <w:sz w:val="20"/>
        </w:rPr>
        <w:t xml:space="preserve">• Página donde se ubica: </w:t>
      </w:r>
      <w:r>
        <w:rPr>
          <w:rFonts w:ascii="Arial" w:hAnsi="Arial"/>
          <w:color w:val="262626"/>
          <w:sz w:val="20"/>
        </w:rPr>
        <w:t xml:space="preserve">servicios/servicios.html, sección "Inversión y plazos de referencia" (id="tarifas").</w:t>
      </w:r>
    </w:p>
    <w:p>
      <w:pPr>
        <w:spacing w:before="40" w:after="100" w:line="276" w:lineRule="auto"/>
      </w:pPr>
      <w:r>
        <w:rPr>
          <w:rFonts w:ascii="Arial" w:hAnsi="Arial"/>
          <w:b/>
          <w:color w:val="262626"/>
          <w:sz w:val="20"/>
        </w:rPr>
        <w:t xml:space="preserve">• Justificación de Uso: </w:t>
      </w:r>
      <w:r>
        <w:rPr>
          <w:rFonts w:ascii="Arial" w:hAnsi="Arial"/>
          <w:color w:val="262626"/>
          <w:sz w:val="20"/>
        </w:rPr>
        <w:t xml:space="preserve">La tabla compara los cinco servicios de DataForge según línea (Analítica, Machine Learning, Estrategia), entregable principal, plazo estimado e inversión referencial. Son datos con dos dimensiones, servicio y atributo, que el visitante necesita comparar; la tabla permite leerlos por fila y por columna, algo que un párrafo o una lista no permiten con claridad. Responde además a la necesidad del caso de mostrar precios orientativos y tiempos al decisor. Los valores son referenciales y se definen en el diagnóstico gratuito. En esta versión sin CSS, el navegador muestra la tabla sin líneas divisorias, alineada por columnas; los bordes se agregarían con CSS (el atributo border está obsoleto y el validador del W3C lo rechaza).</w:t>
      </w:r>
    </w:p>
    <w:p>
      <w:pPr>
        <w:spacing w:before="40" w:after="100" w:line="276" w:lineRule="auto"/>
      </w:pPr>
      <w:r>
        <w:rPr>
          <w:rFonts w:ascii="Arial" w:hAnsi="Arial"/>
          <w:color w:val="262626"/>
          <w:sz w:val="20"/>
        </w:rPr>
        <w:t>Requisitos técnicos cumplidos en el código de la tabla:</w:t>
      </w:r>
    </w:p>
    <w:p>
      <w:pPr>
        <w:spacing w:before="40" w:after="100" w:line="276" w:lineRule="auto"/>
      </w:pPr>
      <w:r>
        <w:rPr>
          <w:rFonts w:ascii="Arial" w:hAnsi="Arial"/>
          <w:color w:val="262626"/>
          <w:sz w:val="20"/>
        </w:rPr>
        <w:t>• Rótulo descriptivo obligatorio con &lt;caption&gt;.</w:t>
        <w:br/>
        <w:t>• Encabezados de columna agrupados en &lt;thead&gt; con atributos scope="col".</w:t>
        <w:br/>
        <w:t>• Encabezados de fila agrupados en &lt;tbody&gt; con atributos scope="row".</w:t>
        <w:br/>
        <w:t>• Celdas combinadas mediante atributos colspan y/o rowspan.</w:t>
      </w:r>
    </w:p>
    <w:tbl>
      <w:tblPr>
        <w:tblW w:type="auto" w:w="0"/>
        <w:jc w:val="center"/>
        <w:tblLook w:firstColumn="1" w:firstRow="1" w:lastColumn="0" w:lastRow="0" w:noHBand="0" w:noVBand="1" w:val="04A0"/>
      </w:tblPr>
      <w:tblGrid>
        <w:gridCol w:w="9360"/>
      </w:tblGrid>
      <w:tr>
        <w:tc>
          <w:tcPr>
            <w:tcW w:type="dxa" w:w="9360"/>
            <w:shd w:fill="FAFAFA"/>
            <w:tcMar>
              <w:top w:w="200" w:type="dxa"/>
              <w:bottom w:w="200" w:type="dxa"/>
              <w:left w:w="200" w:type="dxa"/>
              <w:right w:w="200" w:type="dxa"/>
            </w:tcMar>
            <w:tcBorders>
              <w:left w:val="dashed" w:sz="8" w:space="0" w:color="D9D9D9"/>
              <w:right w:val="dashed" w:sz="8" w:space="0" w:color="D9D9D9"/>
              <w:top w:val="dashed" w:sz="8" w:space="0" w:color="D9D9D9"/>
              <w:bottom w:val="dashed" w:sz="8" w:space="0" w:color="D9D9D9"/>
            </w:tcBorders>
          </w:tcPr>
          <w:p>
            <w:pPr>
              <w:jc w:val="center"/>
            </w:pPr>
            <w:r>
              <w:rPr>
                <w:rFonts w:ascii="Arial" w:hAnsi="Arial"/>
                <w:i/>
                <w:color w:val="595959"/>
                <w:sz w:val="19"/>
              </w:rPr>
              <w:t xml:space="preserve">📷 [ Inserte aquí la captura de la tabla en servicios.html ]  Fragmento: &lt;table&gt; &lt;caption&gt;Comparativo de servicios…&lt;/caption&gt; &lt;thead&gt;&lt;tr&gt;&lt;th scope="col"&gt;Servicio&lt;/th&gt;…&lt;/tr&gt;&lt;/thead&gt; &lt;tbody&gt;&lt;tr&gt;&lt;th scope="rowgroup" rowspan="2"&gt;Analítica&lt;/th&gt;&lt;th scope="row"&gt;Dashboards &amp; BI&lt;/th&gt;…&lt;/tr&gt;&lt;/tbody&gt; &lt;tfoot&gt;&lt;tr&gt;&lt;td colspan="5"&gt;…&lt;/td&gt;&lt;/tr&gt;&lt;/tfoot&gt; &lt;/table&gt;</w:t>
            </w:r>
          </w:p>
        </w:tc>
      </w:tr>
    </w:tbl>
    <w:p>
      <w:pPr>
        <w:spacing w:after="80"/>
      </w:pPr>
    </w:p>
    <w:p>
      <w:pPr>
        <w:keepNext/>
        <w:spacing w:before="200" w:after="60"/>
      </w:pPr>
      <w:r>
        <w:rPr>
          <w:rFonts w:ascii="Arial" w:hAnsi="Arial"/>
          <w:b/>
          <w:color w:val="262626"/>
          <w:sz w:val="21"/>
        </w:rPr>
        <w:t>B. Formulario de Captura de Datos Accesible (&lt;form&gt;)</w:t>
      </w:r>
    </w:p>
    <w:p>
      <w:pPr>
        <w:spacing w:before="40" w:after="100" w:line="276" w:lineRule="auto"/>
      </w:pPr>
      <w:r>
        <w:rPr>
          <w:rFonts w:ascii="Arial" w:hAnsi="Arial"/>
          <w:b/>
          <w:color w:val="262626"/>
          <w:sz w:val="20"/>
        </w:rPr>
        <w:t xml:space="preserve">• Página donde se ubica: </w:t>
      </w:r>
      <w:r>
        <w:rPr>
          <w:rFonts w:ascii="Arial" w:hAnsi="Arial"/>
          <w:color w:val="262626"/>
          <w:sz w:val="20"/>
        </w:rPr>
        <w:t xml:space="preserve">contacto.html, en la raíz del sitio (enlazado desde "Contáctanos" y desde "Solicitar diagnóstico gratis"). También existe un formulario de inicio de sesión en portal.html.</w:t>
      </w:r>
    </w:p>
    <w:p>
      <w:pPr>
        <w:spacing w:before="40" w:after="100" w:line="276" w:lineRule="auto"/>
      </w:pPr>
      <w:r>
        <w:rPr>
          <w:rFonts w:ascii="Arial" w:hAnsi="Arial"/>
          <w:b/>
          <w:color w:val="262626"/>
          <w:sz w:val="20"/>
        </w:rPr>
        <w:t xml:space="preserve">• Justificación y Usabilidad: </w:t>
      </w:r>
      <w:r>
        <w:rPr>
          <w:rFonts w:ascii="Arial" w:hAnsi="Arial"/>
          <w:color w:val="262626"/>
          <w:sz w:val="20"/>
        </w:rPr>
        <w:t xml:space="preserve">El formulario permite solicitar el diagnóstico gratuito de 30 minutos y está dividido en tres bloques con &lt;fieldset&gt; y &lt;legend&gt;: datos de contacto, sobre tu empresa y tu consulta. Reduce errores de llenado con validación nativa antes de enviar: nombre (pattern, 3 a 60 caracteres), celular peruano (pattern 9[0-9]{8}, tipo tel), correo (type="email"), rubro (select), número de empleados (type="number", min 20, max 200), servicio de interés (radio), fecha preferida (type="date"), mensaje (textarea, minlength 10) y aceptación de privacidad (checkbox). Cada campo tiene label vinculado, placeholder o ayuda explicativa y un title que indica el formato esperado. Al ser una versión solo HTML, no hay script ni servidor: el formulario usa method="post" y valida los datos en el navegador, pero no procesa ni almacena lo enviado. En producción se conectaría a HubSpot y Resend.</w:t>
      </w:r>
    </w:p>
    <w:p>
      <w:pPr>
        <w:spacing w:before="40" w:after="100" w:line="276" w:lineRule="auto"/>
      </w:pPr>
      <w:r>
        <w:rPr>
          <w:rFonts w:ascii="Arial" w:hAnsi="Arial"/>
          <w:color w:val="262626"/>
          <w:sz w:val="20"/>
        </w:rPr>
        <w:t>Requisitos técnicos cumplidos en el código del formulario:</w:t>
      </w:r>
    </w:p>
    <w:p>
      <w:pPr>
        <w:spacing w:before="40" w:after="100" w:line="276" w:lineRule="auto"/>
      </w:pPr>
      <w:r>
        <w:rPr>
          <w:rFonts w:ascii="Arial" w:hAnsi="Arial"/>
          <w:color w:val="262626"/>
          <w:sz w:val="20"/>
        </w:rPr>
        <w:t>• Agrupación lógica de campos con &lt;fieldset&gt; y subtítulo con &lt;legend&gt;.</w:t>
        <w:br/>
        <w:t>• Vinculación accesible obligatoria: cada &lt;label for="campo_id"&gt; asociado a su &lt;input id="campo_id"&gt;.</w:t>
        <w:br/>
        <w:t>• Uso variado de controles: text, email, tel, date, number, radio, checkbox, select y textarea.</w:t>
        <w:br/>
        <w:t>• Validaciones nativas HTML5: required, pattern (ej. DNI/teléfono), min, max, placeholder explicativos.</w:t>
      </w:r>
    </w:p>
    <w:tbl>
      <w:tblPr>
        <w:tblW w:type="auto" w:w="0"/>
        <w:jc w:val="center"/>
        <w:tblLook w:firstColumn="1" w:firstRow="1" w:lastColumn="0" w:lastRow="0" w:noHBand="0" w:noVBand="1" w:val="04A0"/>
      </w:tblPr>
      <w:tblGrid>
        <w:gridCol w:w="9360"/>
      </w:tblGrid>
      <w:tr>
        <w:tc>
          <w:tcPr>
            <w:tcW w:type="dxa" w:w="9360"/>
            <w:shd w:fill="FAFAFA"/>
            <w:tcMar>
              <w:top w:w="200" w:type="dxa"/>
              <w:bottom w:w="200" w:type="dxa"/>
              <w:left w:w="200" w:type="dxa"/>
              <w:right w:w="200" w:type="dxa"/>
            </w:tcMar>
            <w:tcBorders>
              <w:left w:val="dashed" w:sz="8" w:space="0" w:color="D9D9D9"/>
              <w:right w:val="dashed" w:sz="8" w:space="0" w:color="D9D9D9"/>
              <w:top w:val="dashed" w:sz="8" w:space="0" w:color="D9D9D9"/>
              <w:bottom w:val="dashed" w:sz="8" w:space="0" w:color="D9D9D9"/>
            </w:tcBorders>
          </w:tcPr>
          <w:p>
            <w:pPr>
              <w:jc w:val="center"/>
            </w:pPr>
            <w:r>
              <w:rPr>
                <w:rFonts w:ascii="Arial" w:hAnsi="Arial"/>
                <w:i/>
                <w:color w:val="595959"/>
                <w:sz w:val="19"/>
              </w:rPr>
              <w:t xml:space="preserve">📷 [ Inserte aquí la captura de contacto.html en el navegador ]  Fragmento: &lt;fieldset&gt; &lt;legend&gt;Tus datos de contacto&lt;/legend&gt; &lt;label for="telefono"&gt;Celular *&lt;/label&gt; &lt;input id="telefono" name="telefono" type="tel" required maxlength="9" pattern="9[0-9]{8}" placeholder="987654321"&gt; &lt;/fieldset&gt;</w:t>
            </w:r>
          </w:p>
        </w:tc>
      </w:tr>
    </w:tbl>
    <w:p>
      <w:pPr>
        <w:spacing w:after="80"/>
      </w:pPr>
    </w:p>
    <w:p>
      <w:pPr>
        <w:keepNext/>
        <w:spacing w:before="280" w:after="80"/>
      </w:pPr>
      <w:r>
        <w:rPr>
          <w:rFonts w:ascii="Arial" w:hAnsi="Arial"/>
          <w:b/>
          <w:color w:val="0070C0"/>
          <w:sz w:val="24"/>
        </w:rPr>
        <w:t>2.4 Integración de Recursos Multimedia Nativos</w:t>
      </w:r>
    </w:p>
    <w:p>
      <w:pPr>
        <w:spacing w:before="40" w:after="100" w:line="276" w:lineRule="auto"/>
      </w:pPr>
      <w:r>
        <w:rPr>
          <w:rFonts w:ascii="Arial" w:hAnsi="Arial"/>
          <w:b/>
          <w:color w:val="262626"/>
          <w:sz w:val="20"/>
        </w:rPr>
        <w:t xml:space="preserve">• Video / Audio Nativo con Accesibilidad: </w:t>
      </w:r>
      <w:r>
        <w:rPr>
          <w:rFonts w:ascii="Arial" w:hAnsi="Arial"/>
          <w:color w:val="262626"/>
          <w:sz w:val="20"/>
        </w:rPr>
        <w:t xml:space="preserve">index.html incluye una sección "Mira un dashboard en acción" con un video de 36 segundos, una animación de un panel de ventas con datos ficticios (indicadores, gráfico de ventas, ventas por región, alerta temprana y proyección con machine learning). Se publica con &lt;video controls preload="metadata" poster="assets/Home/poster.webp"&gt;, fuentes &lt;source&gt; en WebM (VP9, 688 KB) y MP4 (H.264, 572 KB), subtítulos en español con &lt;track kind="subtitles" srclang="es" label="Español" src="assets/Home/demo-es.vtt" default&gt; para accesibilidad auditiva, un texto alternativo con enlace de descarga y un &lt;figcaption&gt;.</w:t>
      </w:r>
    </w:p>
    <w:p>
      <w:pPr>
        <w:spacing w:before="40" w:after="100" w:line="276" w:lineRule="auto"/>
      </w:pPr>
      <w:r>
        <w:rPr>
          <w:rFonts w:ascii="Arial" w:hAnsi="Arial"/>
          <w:b/>
          <w:color w:val="262626"/>
          <w:sz w:val="20"/>
        </w:rPr>
        <w:t xml:space="preserve">• Elemento &lt;picture&gt; Adaptativo: </w:t>
      </w:r>
      <w:r>
        <w:rPr>
          <w:rFonts w:ascii="Arial" w:hAnsi="Arial"/>
          <w:color w:val="262626"/>
          <w:sz w:val="20"/>
        </w:rPr>
        <w:t xml:space="preserve">El hero de index.html usa &lt;picture&gt; con &lt;source type="image/webp" media="(min-width: 850px)" srcset="assets/Home/fondo.webp"&gt; para pantallas anchas, otra &lt;source media="(max-width: 849px)"&gt; con fondo-400.webp para pantallas pequeñas, y un &lt;img&gt; en PNG de respaldo con width="400" y height="348". Así cada dispositivo descarga el tamaño y formato adecuados.</w:t>
      </w:r>
    </w:p>
    <w:p>
      <w:pPr>
        <w:keepNext/>
        <w:spacing w:before="360" w:after="120"/>
      </w:pPr>
      <w:r>
        <w:rPr>
          <w:rFonts w:ascii="Arial" w:hAnsi="Arial"/>
          <w:b/>
          <w:color w:val="002060"/>
          <w:sz w:val="28"/>
        </w:rPr>
        <w:t>PARTE 3: EVIDENCIAS DE AUDITORÍA Y VALIDACIÓN TÉCNICA</w:t>
      </w:r>
    </w:p>
    <w:p>
      <w:pPr>
        <w:spacing w:before="40" w:after="100" w:line="276" w:lineRule="auto"/>
      </w:pPr>
      <w:r>
        <w:rPr>
          <w:rFonts w:ascii="Arial" w:hAnsi="Arial"/>
          <w:color w:val="262626"/>
          <w:sz w:val="20"/>
        </w:rPr>
        <w:t>Adjunta las evidencias de conformidad técnica y accesibilidad obtenidas mediante herramientas de la industria:</w:t>
      </w:r>
    </w:p>
    <w:p>
      <w:pPr>
        <w:keepNext/>
        <w:spacing w:before="280" w:after="80"/>
      </w:pPr>
      <w:r>
        <w:rPr>
          <w:rFonts w:ascii="Arial" w:hAnsi="Arial"/>
          <w:b/>
          <w:color w:val="0070C0"/>
          <w:sz w:val="24"/>
        </w:rPr>
        <w:t>3.1 Validación Oficial W3C (Nu Html Checker)</w:t>
      </w:r>
    </w:p>
    <w:p>
      <w:pPr>
        <w:spacing w:before="40" w:after="100" w:line="276" w:lineRule="auto"/>
      </w:pPr>
      <w:r>
        <w:rPr>
          <w:rFonts w:ascii="Arial" w:hAnsi="Arial"/>
          <w:color w:val="262626"/>
          <w:sz w:val="20"/>
        </w:rPr>
        <w:t>Ingresa a https://validator.w3.org/nu/ e introduce la URL pública de tu sitio web:</w:t>
      </w:r>
    </w:p>
    <w:tbl>
      <w:tblPr>
        <w:tblW w:type="auto" w:w="0"/>
        <w:jc w:val="center"/>
        <w:tblLook w:firstColumn="1" w:firstRow="1" w:lastColumn="0" w:lastRow="0" w:noHBand="0" w:noVBand="1" w:val="04A0"/>
      </w:tblPr>
      <w:tblGrid>
        <w:gridCol w:w="9360"/>
      </w:tblGrid>
      <w:tr>
        <w:tc>
          <w:tcPr>
            <w:tcW w:type="dxa" w:w="9360"/>
            <w:shd w:fill="FAFAFA"/>
            <w:tcMar>
              <w:top w:w="200" w:type="dxa"/>
              <w:bottom w:w="200" w:type="dxa"/>
              <w:left w:w="200" w:type="dxa"/>
              <w:right w:w="200" w:type="dxa"/>
            </w:tcMar>
            <w:tcBorders>
              <w:left w:val="dashed" w:sz="8" w:space="0" w:color="D9D9D9"/>
              <w:right w:val="dashed" w:sz="8" w:space="0" w:color="D9D9D9"/>
              <w:top w:val="dashed" w:sz="8" w:space="0" w:color="D9D9D9"/>
              <w:bottom w:val="dashed" w:sz="8" w:space="0" w:color="D9D9D9"/>
            </w:tcBorders>
          </w:tcPr>
          <w:p>
            <w:pPr>
              <w:jc w:val="center"/>
            </w:pPr>
            <w:r>
              <w:rPr>
                <w:rFonts w:ascii="Arial" w:hAnsi="Arial"/>
                <w:i/>
                <w:color w:val="595959"/>
                <w:sz w:val="19"/>
              </w:rPr>
              <w:t>📷 [ Inserte aquí la captura de pantalla de validator.w3.org mostrando 0 errores críticos (Document checking completed. No errors or warnings to show.) ]</w:t>
            </w:r>
          </w:p>
        </w:tc>
      </w:tr>
    </w:tbl>
    <w:p>
      <w:pPr>
        <w:spacing w:after="80"/>
      </w:pPr>
    </w:p>
    <w:p>
      <w:pPr>
        <w:spacing w:before="40" w:after="100" w:line="276" w:lineRule="auto"/>
      </w:pPr>
      <w:r>
        <w:rPr>
          <w:rFonts w:ascii="Arial" w:hAnsi="Arial"/>
          <w:b/>
          <w:color w:val="262626"/>
          <w:sz w:val="20"/>
        </w:rPr>
        <w:t xml:space="preserve">• Análisis de Correcciones Realizadas: </w:t>
      </w:r>
      <w:r>
        <w:rPr>
          <w:rFonts w:ascii="Arial" w:hAnsi="Arial"/>
          <w:color w:val="262626"/>
          <w:sz w:val="20"/>
        </w:rPr>
        <w:t xml:space="preserve">Se ejecutó el validador Nu Html Checker (el motor del validador oficial del W3C) sobre las 14 páginas y no reportó errores: no hay etiquetas obsoletas ni problemas de anidación. Solo muestra tres avisos informativos en contacto.html, sobre el atributo inputmode y el tipo de campo date, que dependen del navegador. [COMPLETAR: repite la validación en validator.w3.org sobre la URL publicada y adjunta la captura].</w:t>
      </w:r>
    </w:p>
    <w:p>
      <w:pPr>
        <w:keepNext/>
        <w:spacing w:before="280" w:after="80"/>
      </w:pPr>
      <w:r>
        <w:rPr>
          <w:rFonts w:ascii="Arial" w:hAnsi="Arial"/>
          <w:b/>
          <w:color w:val="0070C0"/>
          <w:sz w:val="24"/>
        </w:rPr>
        <w:t>3.2 Auditoría con Google Lighthouse (Chrome DevTools)</w:t>
      </w:r>
    </w:p>
    <w:p>
      <w:pPr>
        <w:spacing w:before="40" w:after="100" w:line="276" w:lineRule="auto"/>
      </w:pPr>
      <w:r>
        <w:rPr>
          <w:rFonts w:ascii="Arial" w:hAnsi="Arial"/>
          <w:color w:val="262626"/>
          <w:sz w:val="20"/>
        </w:rPr>
        <w:t>Ejecuta una auditoría de Lighthouse en modo Desktop o Mobile desde las Herramientas de Desarrollador de Chrome:</w:t>
      </w:r>
    </w:p>
    <w:tbl>
      <w:tblPr>
        <w:tblW w:type="auto" w:w="0"/>
        <w:jc w:val="center"/>
        <w:tblLook w:firstColumn="1" w:firstRow="1" w:lastColumn="0" w:lastRow="0" w:noHBand="0" w:noVBand="1" w:val="04A0"/>
      </w:tblPr>
      <w:tblGrid>
        <w:gridCol w:w="9360"/>
      </w:tblGrid>
      <w:tr>
        <w:tc>
          <w:tcPr>
            <w:tcW w:type="dxa" w:w="9360"/>
            <w:shd w:fill="FAFAFA"/>
            <w:tcMar>
              <w:top w:w="200" w:type="dxa"/>
              <w:bottom w:w="200" w:type="dxa"/>
              <w:left w:w="200" w:type="dxa"/>
              <w:right w:w="200" w:type="dxa"/>
            </w:tcMar>
            <w:tcBorders>
              <w:left w:val="dashed" w:sz="8" w:space="0" w:color="D9D9D9"/>
              <w:right w:val="dashed" w:sz="8" w:space="0" w:color="D9D9D9"/>
              <w:top w:val="dashed" w:sz="8" w:space="0" w:color="D9D9D9"/>
              <w:bottom w:val="dashed" w:sz="8" w:space="0" w:color="D9D9D9"/>
            </w:tcBorders>
          </w:tcPr>
          <w:p>
            <w:pPr>
              <w:jc w:val="center"/>
            </w:pPr>
            <w:r>
              <w:rPr>
                <w:rFonts w:ascii="Arial" w:hAnsi="Arial"/>
                <w:i/>
                <w:color w:val="595959"/>
                <w:sz w:val="19"/>
              </w:rPr>
              <w:t>📷 [ Inserte aquí la captura de pantalla del reporte Lighthouse mostrando los indicadores (Accesibilidad, SEO, Mejores Prácticas y Rendimiento) ]</w:t>
            </w:r>
          </w:p>
        </w:tc>
      </w:tr>
    </w:tbl>
    <w:p>
      <w:pPr>
        <w:spacing w:after="80"/>
      </w:pPr>
    </w:p>
    <w:p>
      <w:pPr>
        <w:spacing w:before="40" w:after="100" w:line="276" w:lineRule="auto"/>
      </w:pPr>
      <w:r>
        <w:rPr>
          <w:rFonts w:ascii="Arial" w:hAnsi="Arial"/>
          <w:b/>
          <w:color w:val="262626"/>
          <w:sz w:val="20"/>
        </w:rPr>
        <w:t xml:space="preserve">• Análisis del Puntaje de Accesibilidad: </w:t>
      </w:r>
      <w:r>
        <w:rPr>
          <w:rFonts w:ascii="Arial" w:hAnsi="Arial"/>
          <w:color w:val="262626"/>
          <w:sz w:val="20"/>
        </w:rPr>
        <w:t xml:space="preserve">[COMPLETAR con el puntaje real, meta mínima 90/100.] Aspectos del código que favorecen la nota: lang="es", title y description en cada página, un único h1, estructura semántica, labels vinculados en los formularios, alt en las imágenes, tablas con caption y scope, y el video con subtítulos. Como no hay CSS, los textos usan el color predeterminado (negro sobre blanco) con contraste máximo. Aspectos a vigilar: las imágenes sin width y height, y el tamaño del video.</w:t>
      </w:r>
    </w:p>
    <w:p>
      <w:pPr>
        <w:keepNext/>
        <w:spacing w:before="360" w:after="120"/>
      </w:pPr>
      <w:r>
        <w:rPr>
          <w:rFonts w:ascii="Arial" w:hAnsi="Arial"/>
          <w:b/>
          <w:color w:val="002060"/>
          <w:sz w:val="28"/>
        </w:rPr>
        <w:t>PARTE 4: CONCLUSIONES Y APRENDIZAJES</w:t>
      </w:r>
    </w:p>
    <w:p>
      <w:pPr>
        <w:spacing w:before="40" w:after="100" w:line="276" w:lineRule="auto"/>
      </w:pPr>
      <w:r>
        <w:rPr>
          <w:rFonts w:ascii="Arial" w:hAnsi="Arial"/>
          <w:b/>
          <w:color w:val="262626"/>
          <w:sz w:val="20"/>
        </w:rPr>
        <w:t xml:space="preserve">1. Conclusión sobre Semántica y Estándares: </w:t>
      </w:r>
      <w:r>
        <w:rPr>
          <w:rFonts w:ascii="Arial" w:hAnsi="Arial"/>
          <w:color w:val="262626"/>
          <w:sz w:val="20"/>
        </w:rPr>
        <w:t xml:space="preserve">Las etiquetas semánticas (header, nav, main, section, article, footer) describen el rol de cada zona, lo que ayuda a los buscadores a interpretar la jerarquía del contenido y mejora el SEO. Además, vuelven el código más legible y fácil de mantener frente a una estructura de div anidados. En DataForge, un único h1 y títulos ordenados refuerzan la propuesta de valor ante el usuario y ante Google.</w:t>
      </w:r>
    </w:p>
    <w:p>
      <w:pPr>
        <w:spacing w:before="40" w:after="100" w:line="276" w:lineRule="auto"/>
      </w:pPr>
      <w:r>
        <w:rPr>
          <w:rFonts w:ascii="Arial" w:hAnsi="Arial"/>
          <w:b/>
          <w:color w:val="262626"/>
          <w:sz w:val="20"/>
        </w:rPr>
        <w:t xml:space="preserve">2. Conclusión sobre Accesibilidad y Experiencia de Usuario: </w:t>
      </w:r>
      <w:r>
        <w:rPr>
          <w:rFonts w:ascii="Arial" w:hAnsi="Arial"/>
          <w:color w:val="262626"/>
          <w:sz w:val="20"/>
        </w:rPr>
        <w:t xml:space="preserve">La accesibilidad (WCAG) asegura que el sitio pueda ser usado por personas con discapacidad visual, auditiva, motriz o cognitiva. Prácticas como lang, alt, labels, foco visible, navegación con teclado y contraste suficiente amplían la audiencia y benefician a todos. En un sitio corporativo es también una cuestión de profesionalismo y confianza.</w:t>
      </w:r>
    </w:p>
    <w:p>
      <w:pPr>
        <w:spacing w:before="40" w:after="100" w:line="276" w:lineRule="auto"/>
      </w:pPr>
      <w:r>
        <w:rPr>
          <w:rFonts w:ascii="Arial" w:hAnsi="Arial"/>
          <w:b/>
          <w:color w:val="262626"/>
          <w:sz w:val="20"/>
        </w:rPr>
        <w:t xml:space="preserve">3. Reflexión Personal del Estudiante: </w:t>
      </w:r>
      <w:r>
        <w:rPr>
          <w:rFonts w:ascii="Arial" w:hAnsi="Arial"/>
          <w:color w:val="262626"/>
          <w:sz w:val="20"/>
        </w:rPr>
        <w:t xml:space="preserve">[PERSONALIZAR con tu experiencia.] Borrador: En estas 7 semanas pasé de pensar la web como un diseño a entenderla como una estructura con significado. Partí de un caso real (usuarios, contenidos, mapa del sitio y prototipos) antes de escribir código, y construí un sitio de 14 páginas solo con HTML5 semántico: encabezados ordenados, tabla, formularios con validación nativa, imágenes optimizadas y video con subtítulos. Verificarlo con el validador del W3C me enseñó que la semántica y la accesibilidad parten del propio HTML, antes de cualquier estilo.</w:t>
      </w:r>
    </w:p>
    <w:p>
      <w:pPr>
        <w:keepNext/>
        <w:spacing w:before="360" w:after="120"/>
      </w:pPr>
      <w:r>
        <w:rPr>
          <w:rFonts w:ascii="Arial" w:hAnsi="Arial"/>
          <w:b/>
          <w:color w:val="002060"/>
          <w:sz w:val="28"/>
        </w:rPr>
        <w:t>PARTE 5: REFERENCIAS BIBLIOGRÁFICAS</w:t>
      </w:r>
    </w:p>
    <w:p>
      <w:pPr>
        <w:spacing w:before="40" w:after="100" w:line="276" w:lineRule="auto"/>
      </w:pPr>
      <w:r>
        <w:rPr>
          <w:rFonts w:ascii="Arial" w:hAnsi="Arial"/>
          <w:color w:val="262626"/>
          <w:sz w:val="20"/>
        </w:rPr>
        <w:t>Registra las fuentes bibliográficas y referencias consultadas en formato APA / Técnico:</w:t>
      </w:r>
    </w:p>
    <w:p>
      <w:pPr>
        <w:spacing w:before="40" w:after="100" w:line="276" w:lineRule="auto"/>
      </w:pPr>
      <w:r>
        <w:rPr>
          <w:rFonts w:ascii="Arial" w:hAnsi="Arial"/>
          <w:color w:val="262626"/>
          <w:sz w:val="20"/>
        </w:rPr>
        <w:t>• Mozilla Developer Network (MDN). (2026). HTML: HyperText Markup Language. Recuperado de https://developer.mozilla.org/es/docs/Web/HTML</w:t>
        <w:br/>
        <w:t>• World Wide Web Consortium (W3C). (2026). Web Accessibility Initiative (WAI) — WCAG 2.1 Overview. Recuperado de https://www.w3.org/WAI/</w:t>
        <w:br/>
        <w:t>• WHATWG. (2026). HTML Living Standard. Recuperado de https://html.spec.whatwg.org/multipage/</w:t>
        <w:br/>
        <w:t>• Google Developers. (2026). Web Vitals &amp; Accessibility Optimization Guide. Recuperado de https://web.dev/</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95959"/>
        <w:sz w:val="17"/>
      </w:rPr>
      <w:t>Evaluación Parcial (EP) | Informe Técnico Oficial — Ciclo 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95959"/>
        <w:sz w:val="17"/>
      </w:rPr>
      <w:t>ZEGEL | ESCUELA DE TECNOLOGÍA — DESARROLLO WEB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