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多操作工況下工況感知正規化對DAST剩餘壽命預測之影響分析</w:t>
      </w:r>
    </w:p>
    <w:p>
      <w:pPr>
        <w:jc w:val="center"/>
      </w:pPr>
      <w:r>
        <w:rPr>
          <w:sz w:val="24"/>
          <w:szCs w:val="24"/>
          <w:highlight w:val="yellow"/>
        </w:rPr>
        <w:t xml:space="preserve">【作者姓名】</w:t>
      </w:r>
      <w:r>
        <w:rPr>
          <w:sz w:val="24"/>
          <w:szCs w:val="24"/>
        </w:rPr>
        <w:t xml:space="preserve">*</w:t>
      </w:r>
    </w:p>
    <w:p>
      <w:pPr>
        <w:jc w:val="center"/>
      </w:pPr>
      <w:r>
        <w:rPr>
          <w:sz w:val="24"/>
          <w:szCs w:val="24"/>
          <w:highlight w:val="yellow"/>
        </w:rPr>
        <w:t xml:space="preserve">【服務機關與地址】</w:t>
      </w:r>
    </w:p>
    <w:p>
      <w:pPr>
        <w:spacing w:after="200"/>
        <w:jc w:val="center"/>
      </w:pPr>
      <w:r>
        <w:rPr>
          <w:sz w:val="24"/>
          <w:szCs w:val="24"/>
        </w:rPr>
        <w:t xml:space="preserve">*聯絡人電子郵件：</w:t>
      </w:r>
      <w:r>
        <w:rPr>
          <w:sz w:val="24"/>
          <w:szCs w:val="24"/>
          <w:highlight w:val="yellow"/>
        </w:rPr>
        <w:t xml:space="preserve">【待補】</w:t>
      </w:r>
    </w:p>
    <w:p>
      <w:pPr>
        <w:spacing w:after="100" w:before="200"/>
        <w:jc w:val="center"/>
      </w:pPr>
      <w:r>
        <w:rPr>
          <w:b/>
          <w:bCs/>
          <w:sz w:val="22"/>
          <w:szCs w:val="22"/>
        </w:rPr>
        <w:t xml:space="preserve">摘要</w:t>
      </w:r>
    </w:p>
    <w:p>
      <w:pPr>
        <w:spacing w:after="60" w:line="240"/>
        <w:ind w:firstLine="400"/>
        <w:jc w:val="both"/>
      </w:pPr>
      <w:r>
        <w:rPr>
          <w:sz w:val="20"/>
          <w:szCs w:val="20"/>
        </w:rPr>
        <w:t xml:space="preserve">航空發動機在多種操作工況下運轉時，感測器量測值同時反映設備退化與操作條件，使資料驅動的剩餘壽命（remaining useful life, RUL）預測面臨輸入分布異質的問題。本研究以NASA C-MAPSS資料集與雙面向自注意力Transformer（DAST）為基礎，在不修改模型架構的前提下，探討工況感知正規化的影響。研究流程以訓練引擎的操作設定建立K-means工況分群，並於各工況內進行逐感測器z-score正規化；所有統計量僅由訓練引擎估計，並以引擎層級的驗證集選擇模型。分析顯示，在FD002與FD004中，長度40的視窗內約99.9%的感測器變異可由工況切換解釋，且全域正規化無法改變此比例；經工況感知正規化後，該比例降至0.21至0.22，感測器與RUL的平均相關係數由約0.11提高至0.40以上。</w:t>
      </w:r>
      <w:r>
        <w:rPr>
          <w:sz w:val="20"/>
          <w:szCs w:val="20"/>
          <w:highlight w:val="yellow"/>
        </w:rPr>
        <w:t xml:space="preserve">【RQ2：正規化方式比較結果待補實驗後填入。】</w:t>
      </w:r>
      <w:r>
        <w:rPr>
          <w:sz w:val="20"/>
          <w:szCs w:val="20"/>
        </w:rPr>
        <w:t xml:space="preserve">在工況感知正規化之下，12組梯度裁切與學習率暖身設定之間的保留集RMSE差距約為隨機種子間標準差的1至2倍，未呈現一致的額外效益。</w:t>
      </w:r>
    </w:p>
    <w:p>
      <w:pPr>
        <w:spacing w:after="200" w:line="240"/>
        <w:jc w:val="both"/>
      </w:pPr>
      <w:r>
        <w:rPr>
          <w:sz w:val="20"/>
          <w:szCs w:val="20"/>
        </w:rPr>
        <w:t xml:space="preserve">關鍵字：剩餘壽命預測、預知保養、操作工況、正規化、Transformer</w:t>
      </w:r>
    </w:p>
    <w:p>
      <w:pPr>
        <w:sectPr>
          <w:pgSz w:w="11906" w:h="16838" w:orient="portrait"/>
          <w:pgMar w:top="1418" w:right="1418" w:bottom="1418" w:left="1418" w:header="708" w:footer="708" w:gutter="0"/>
          <w:pgNumType/>
          <w:docGrid w:linePitch="360"/>
        </w:sectPr>
      </w:pPr>
    </w:p>
    <w:p>
      <w:pPr>
        <w:spacing w:after="100" w:before="200"/>
        <w:jc w:val="center"/>
      </w:pPr>
      <w:r>
        <w:rPr>
          <w:b/>
          <w:bCs/>
          <w:sz w:val="22"/>
          <w:szCs w:val="22"/>
        </w:rPr>
        <w:t xml:space="preserve">1. 緒論</w:t>
      </w:r>
    </w:p>
    <w:p>
      <w:pPr>
        <w:spacing w:after="60" w:line="240"/>
        <w:ind w:firstLine="400"/>
        <w:jc w:val="both"/>
      </w:pPr>
      <w:r>
        <w:rPr>
          <w:sz w:val="20"/>
          <w:szCs w:val="20"/>
        </w:rPr>
        <w:t xml:space="preserve">剩餘壽命預測是預知保養（predictive maintenance）與預測健康管理（prognostics and health management, PHM）的核心工作，其目的在於依據設備的狀態監測資料估計距離失效尚餘的運轉時間，以協助維修規劃並降低非預期停機。隨著感測資料的累積，資料驅動方法可直接由多變量時間序列學習退化模式；NASA釋出的C-MAPSS航空發動機模擬資料集具備完整的run-to-failure軌跡，已成為評估RUL方法的常用基準[5][6]。</w:t>
      </w:r>
    </w:p>
    <w:p>
      <w:pPr>
        <w:spacing w:after="60" w:line="240"/>
        <w:ind w:firstLine="400"/>
        <w:jc w:val="both"/>
      </w:pPr>
      <w:r>
        <w:rPr>
          <w:sz w:val="20"/>
          <w:szCs w:val="20"/>
        </w:rPr>
        <w:t xml:space="preserve">然而，發動機感測器的量測值不只反映健康狀態，也隨飛行高度、馬赫數與油門解析角等操作設定而改變。C-MAPSS的FD002與FD004子資料集包含六種操作工況（operating condition, OC）[6]，且工況在引擎生命週期中頻繁切換。在此情形下，同一感測器的數值依工況分成數個群，群間差距遠大於退化造成的緩慢變化。本文將此現象稱為「工況造成的感測器分布異質性」，以區別於訓練與測試資料之間的共變量偏移：在C-MAPSS各子資料集中，訓練與測試引擎共享相同的工況集合，問題在於工況與退化訊號混雜於同一輸入之中。</w:t>
      </w:r>
    </w:p>
    <w:p>
      <w:pPr>
        <w:spacing w:after="60" w:line="240"/>
        <w:ind w:firstLine="400"/>
        <w:jc w:val="both"/>
      </w:pPr>
      <w:r>
        <w:rPr>
          <w:sz w:val="20"/>
          <w:szCs w:val="20"/>
        </w:rPr>
        <w:t xml:space="preserve">Zhang等人提出的DAST以平行的感測器編碼器與時間步編碼器，分別學習不同感測器與不同時間位置的重要性，其前處理採用對每一感測器的全域min-max正規化[9]。Huang等人指出多數研究在前處理時忽略工況，並在其時空注意力圖神經網路（STAGNN）中比較全域正規化與依工況分群的正規化[3]。然而，該研究將正規化方式與新模型架構一併評估，較難單獨判斷前處理本身的影響；對於DAST這類既有的Transformer架構，工況處理的作用仍缺乏在固定架構與無資料洩漏協定下的分析。</w:t>
      </w:r>
    </w:p>
    <w:p>
      <w:pPr>
        <w:spacing w:after="60" w:line="240"/>
        <w:ind w:firstLine="400"/>
        <w:jc w:val="both"/>
      </w:pPr>
      <w:r>
        <w:rPr>
          <w:sz w:val="20"/>
          <w:szCs w:val="20"/>
        </w:rPr>
        <w:t xml:space="preserve">因此，本研究固定DAST架構，僅改變輸入前處理，探討三個研究問題。RQ1：工況可解釋多少感測器變異？全域正規化能否消除此變異？RQ2：工況感知z-score正規化能否改善多工況子資料集的RUL預測？RQ3：在工況感知正規化之下，學習率暖身（warmup）與梯度裁切（gradient clipping）是否帶來額外效益？本文的貢獻包括：(1)以視窗層級的工況解釋變異量與感測器–RUL相關係數量化工況對模型輸入的影響，並說明全域正規化在數學上無法移除此影響；(2)建立工況分群與正規化統計量僅由訓練引擎估計、並以引擎層級驗證集選模的前處理流程；(3)在固定DAST下分析訓練策略的敏感度。</w:t>
      </w:r>
    </w:p>
    <w:p>
      <w:pPr>
        <w:spacing w:after="100" w:before="200"/>
        <w:jc w:val="center"/>
      </w:pPr>
      <w:r>
        <w:rPr>
          <w:b/>
          <w:bCs/>
          <w:sz w:val="22"/>
          <w:szCs w:val="22"/>
        </w:rPr>
        <w:t xml:space="preserve">2. 文獻回顧</w:t>
      </w:r>
    </w:p>
    <w:p>
      <w:pPr>
        <w:spacing w:after="60" w:before="120"/>
      </w:pPr>
      <w:r>
        <w:rPr>
          <w:b/>
          <w:bCs/>
          <w:sz w:val="20"/>
          <w:szCs w:val="20"/>
        </w:rPr>
        <w:t xml:space="preserve">2.1 資料驅動RUL預測與Transformer</w:t>
      </w:r>
    </w:p>
    <w:p>
      <w:pPr>
        <w:spacing w:after="60" w:line="240"/>
        <w:ind w:firstLine="400"/>
        <w:jc w:val="both"/>
      </w:pPr>
      <w:r>
        <w:rPr>
          <w:sz w:val="20"/>
          <w:szCs w:val="20"/>
        </w:rPr>
        <w:t xml:space="preserve">Saxena等人說明C-MAPSS退化資料的產生方式，包括以熱力學模擬模型建立感測器響應、於模組的流量與效率施加指數型退化，以及非對稱的評分函數[6]。Ramasso與Saxena整理使用C-MAPSS的預測方法，指出感測器雜訊、操作工況效應與多故障模式是此資料集的主要挑戰，並提醒不同研究在資料使用與評估方式上的差異會影響結果的可比性[5]。在模型方面，Transformer以自注意力機制取代遞迴結構[7]；DAST將此概念延伸至RUL預測，同時在感測器與時間步兩個面向計算注意力，再經特徵融合與解碼器輸出RUL[9]。另外，感測器的選擇對RUL估計的準確度與建置成本亦有影響[4]。</w:t>
      </w:r>
    </w:p>
    <w:p>
      <w:pPr>
        <w:spacing w:after="60" w:before="120"/>
      </w:pPr>
      <w:r>
        <w:rPr>
          <w:b/>
          <w:bCs/>
          <w:sz w:val="20"/>
          <w:szCs w:val="20"/>
        </w:rPr>
        <w:t xml:space="preserve">2.2 多操作工況下的RUL預測</w:t>
      </w:r>
    </w:p>
    <w:p>
      <w:pPr>
        <w:spacing w:after="60" w:line="240"/>
        <w:ind w:firstLine="400"/>
        <w:jc w:val="both"/>
      </w:pPr>
      <w:r>
        <w:rPr>
          <w:sz w:val="20"/>
          <w:szCs w:val="20"/>
        </w:rPr>
        <w:t xml:space="preserve">既有研究處理工況的方式可大致分為三類。第一類在輸入層加入工況資訊：Cheng等人以多維遞迴神經網路將多感測器資料與操作工況資料分通道輸入，處理變動工況與多故障模式[1]；de Pater與Mitici在N-CMAPSS上將操作工況提供給LSTM自編碼器以建立健康指標[2]。第二類為領域適應，Wang等人回顧渦扇發動機RUL的領域適應方法，並將工況變動造成的分布偏移列為主要挑戰之一[8]。第三類則在前處理階段依工況分群後分別正規化[3]。前處理方法不需修改模型架構，較容易套用於既有模型，也是本研究的關注點。</w:t>
      </w:r>
    </w:p>
    <w:p>
      <w:pPr>
        <w:spacing w:after="60" w:before="120"/>
      </w:pPr>
      <w:r>
        <w:rPr>
          <w:b/>
          <w:bCs/>
          <w:sz w:val="20"/>
          <w:szCs w:val="20"/>
        </w:rPr>
        <w:t xml:space="preserve">2.3 依工況分群之正規化</w:t>
      </w:r>
    </w:p>
    <w:p>
      <w:pPr>
        <w:spacing w:after="60" w:line="240"/>
        <w:ind w:firstLine="400"/>
        <w:jc w:val="both"/>
      </w:pPr>
      <w:r>
        <w:rPr>
          <w:sz w:val="20"/>
          <w:szCs w:val="20"/>
        </w:rPr>
        <w:t xml:space="preserve">STAGNN以分群模型辨識操作工況，再對每個工況群分別進行max-min正規化，並在多工況資料集上觀察到較佳的預測表現[3]。本研究與其差異在於：(1)採用z-score而非min-max；(2)固定既有的DAST架構，使效能差異可歸因於前處理；(3)明確以訓練引擎估計工況中心與正規化統計量，並以引擎層級驗證集選模；(4)以視窗層級指標量化正規化對模型輸入的作用。</w:t>
      </w:r>
      <w:r>
        <w:rPr>
          <w:sz w:val="20"/>
          <w:szCs w:val="20"/>
          <w:highlight w:val="yellow"/>
        </w:rPr>
        <w:t xml:space="preserve">【若取得Pasa等人（2019）與Zhang等人（2023）全文，於此補充比較；未取得則刪除本註記。】</w:t>
      </w:r>
    </w:p>
    <w:p>
      <w:pPr>
        <w:spacing w:after="100" w:before="200"/>
        <w:jc w:val="center"/>
      </w:pPr>
      <w:r>
        <w:rPr>
          <w:b/>
          <w:bCs/>
          <w:sz w:val="22"/>
          <w:szCs w:val="22"/>
        </w:rPr>
        <w:t xml:space="preserve">3. 研究方法</w:t>
      </w:r>
    </w:p>
    <w:p>
      <w:pPr>
        <w:spacing w:before="100"/>
        <w:jc w:val="center"/>
      </w:pPr>
      <w:r>
        <w:drawing>
          <wp:inline distT="0" distB="0" distL="0" distR="0">
            <wp:extent cx="2743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43200" cy="3095625"/>
                    </a:xfrm>
                    <a:prstGeom prst="rect">
                      <a:avLst/>
                    </a:prstGeom>
                  </pic:spPr>
                </pic:pic>
              </a:graphicData>
            </a:graphic>
          </wp:inline>
        </w:drawing>
      </w:r>
    </w:p>
    <w:p>
      <w:pPr>
        <w:spacing w:after="120" w:before="60"/>
        <w:jc w:val="center"/>
      </w:pPr>
      <w:r>
        <w:rPr>
          <w:sz w:val="18"/>
          <w:szCs w:val="18"/>
        </w:rPr>
        <w:t xml:space="preserve">圖1. 研究框架</w:t>
      </w:r>
    </w:p>
    <w:p>
      <w:pPr>
        <w:spacing w:after="60" w:line="240"/>
        <w:ind w:firstLine="400"/>
        <w:jc w:val="both"/>
      </w:pPr>
      <w:r>
        <w:rPr>
          <w:sz w:val="20"/>
          <w:szCs w:val="20"/>
        </w:rPr>
        <w:t xml:space="preserve">研究框架如圖1所示。左側為訓練引擎的流程，負責估計工況分群中心與正規化統計量；右側的驗證與保留引擎只套用這些已估計的參數，不重新計算。正規化後的資料經滑動視窗處理後輸入DAST，並以驗證集選擇模型。</w:t>
      </w:r>
    </w:p>
    <w:p>
      <w:pPr>
        <w:spacing w:after="60" w:before="120"/>
      </w:pPr>
      <w:r>
        <w:rPr>
          <w:b/>
          <w:bCs/>
          <w:sz w:val="20"/>
          <w:szCs w:val="20"/>
        </w:rPr>
        <w:t xml:space="preserve">3.1 問題定義與RUL標籤</w:t>
      </w:r>
    </w:p>
    <w:p>
      <w:pPr>
        <w:spacing w:after="60" w:line="240"/>
        <w:ind w:firstLine="400"/>
        <w:jc w:val="both"/>
      </w:pPr>
      <w:r>
        <w:rPr>
          <w:sz w:val="20"/>
          <w:szCs w:val="20"/>
        </w:rPr>
        <w:t xml:space="preserve">設第i台引擎在第t個cycle的觀測包含操作設定o = (op1, op2, op3)與21個感測器量測值。依DAST原文，移除在退化過程中維持定值的感測器s1、s5、s6、s10、s16、s18、s19，保留其餘14個感測器[9]。訓練引擎在cycle t的RUL標籤採分段線性形式：</w:t>
      </w:r>
    </w:p>
    <w:p>
      <w:pPr>
        <w:tabs>
          <w:tab w:val="center" w:pos="2161"/>
          <w:tab w:val="right" w:pos="4322"/>
        </w:tabs>
        <w:spacing w:after="120" w:before="120"/>
      </w:pPr>
      <w:r>
        <w:tab/>
      </w:r>
      <m:oMath>
        <m:sSub>
          <m:sSubPr/>
          <m:e>
            <m:r>
              <m:t>y</m:t>
            </m:r>
          </m:e>
          <m:sub>
            <m:r>
              <m:t>i,t</m:t>
            </m:r>
          </m:sub>
        </m:sSub>
        <m:r>
          <m:t xml:space="preserve"> = min(</m:t>
        </m:r>
        <m:sSub>
          <m:sSubPr/>
          <m:e>
            <m:r>
              <m:t>T</m:t>
            </m:r>
          </m:e>
          <m:sub>
            <m:r>
              <m:t>i</m:t>
            </m:r>
          </m:sub>
        </m:sSub>
        <m:r>
          <m:t xml:space="preserve"> − t, </m:t>
        </m:r>
        <m:sSub>
          <m:sSubPr/>
          <m:e>
            <m:r>
              <m:t>R</m:t>
            </m:r>
          </m:e>
          <m:sub>
            <m:r>
              <m:t>max</m:t>
            </m:r>
          </m:sub>
        </m:sSub>
        <m:r>
          <m:t>)</m:t>
        </m:r>
      </m:oMath>
      <w:r>
        <w:rPr>
          <w:sz w:val="20"/>
          <w:szCs w:val="20"/>
        </w:rPr>
        <w:tab/>
        <w:t xml:space="preserve">(1)</w:t>
      </w:r>
    </w:p>
    <w:p>
      <w:pPr>
        <w:spacing w:after="60" w:line="240"/>
        <w:jc w:val="both"/>
      </w:pPr>
      <w:r>
        <w:rPr>
          <w:sz w:val="20"/>
          <w:szCs w:val="20"/>
        </w:rPr>
        <w:t xml:space="preserve">其中T</w:t>
      </w:r>
      <w:r>
        <w:rPr>
          <w:sz w:val="20"/>
          <w:szCs w:val="20"/>
          <w:vertAlign w:val="subscript"/>
        </w:rPr>
        <w:t xml:space="preserve">i</w:t>
      </w:r>
      <w:r>
        <w:rPr>
          <w:sz w:val="20"/>
          <w:szCs w:val="20"/>
        </w:rPr>
        <w:t xml:space="preserve">為引擎i的失效cycle，R</w:t>
      </w:r>
      <w:r>
        <w:rPr>
          <w:sz w:val="20"/>
          <w:szCs w:val="20"/>
          <w:vertAlign w:val="subscript"/>
        </w:rPr>
        <w:t xml:space="preserve">max</w:t>
      </w:r>
      <w:r>
        <w:rPr>
          <w:sz w:val="20"/>
          <w:szCs w:val="20"/>
        </w:rPr>
        <w:t xml:space="preserve"> = 125，與DAST的設定一致[9]。</w:t>
      </w:r>
    </w:p>
    <w:p>
      <w:pPr>
        <w:spacing w:after="60" w:before="120"/>
      </w:pPr>
      <w:r>
        <w:rPr>
          <w:b/>
          <w:bCs/>
          <w:sz w:val="20"/>
          <w:szCs w:val="20"/>
        </w:rPr>
        <w:t xml:space="preserve">3.2 工況辨識</w:t>
      </w:r>
    </w:p>
    <w:p>
      <w:pPr>
        <w:spacing w:after="60" w:line="240"/>
        <w:ind w:firstLine="400"/>
        <w:jc w:val="both"/>
      </w:pPr>
      <w:r>
        <w:rPr>
          <w:sz w:val="20"/>
          <w:szCs w:val="20"/>
        </w:rPr>
        <w:t xml:space="preserve">將三個操作設定分別除以其在訓練引擎上的標準差，得到標準化設定õ，再以K-means分群，並依最近中心指派工況：</w:t>
      </w:r>
    </w:p>
    <w:p>
      <w:pPr>
        <w:tabs>
          <w:tab w:val="center" w:pos="2161"/>
          <w:tab w:val="right" w:pos="4322"/>
        </w:tabs>
        <w:spacing w:after="120" w:before="120"/>
      </w:pPr>
      <w:r>
        <w:tab/>
      </w:r>
      <m:oMath>
        <m:sSub>
          <m:sSubPr/>
          <m:e>
            <m:r>
              <m:t>c</m:t>
            </m:r>
          </m:e>
          <m:sub>
            <m:r>
              <m:t>i,t</m:t>
            </m:r>
          </m:sub>
        </m:sSub>
        <m:r>
          <m:t xml:space="preserve"> = </m:t>
        </m:r>
        <m:sSub>
          <m:sSubPr/>
          <m:e>
            <m:r>
              <m:t>argmin</m:t>
            </m:r>
          </m:e>
          <m:sub>
            <m:r>
              <m:t>k</m:t>
            </m:r>
          </m:sub>
        </m:sSub>
        <m:r>
          <m:t xml:space="preserve"> ‖</m:t>
        </m:r>
        <m:sSub>
          <m:sSubPr/>
          <m:e>
            <m:r>
              <m:t>õ</m:t>
            </m:r>
          </m:e>
          <m:sub>
            <m:r>
              <m:t>i,t</m:t>
            </m:r>
          </m:sub>
        </m:sSub>
        <m:r>
          <m:t xml:space="preserve"> − </m:t>
        </m:r>
        <m:sSub>
          <m:sSubPr/>
          <m:e>
            <m:r>
              <m:t>m</m:t>
            </m:r>
          </m:e>
          <m:sub>
            <m:r>
              <m:t>k</m:t>
            </m:r>
          </m:sub>
        </m:sSub>
        <m:r>
          <m:t>‖</m:t>
        </m:r>
      </m:oMath>
      <w:r>
        <w:rPr>
          <w:sz w:val="20"/>
          <w:szCs w:val="20"/>
        </w:rPr>
        <w:tab/>
        <w:t xml:space="preserve">(2)</w:t>
      </w:r>
    </w:p>
    <w:p>
      <w:pPr>
        <w:spacing w:after="60" w:line="240"/>
        <w:jc w:val="both"/>
      </w:pPr>
      <w:r>
        <w:rPr>
          <w:sz w:val="20"/>
          <w:szCs w:val="20"/>
        </w:rPr>
        <w:t xml:space="preserve">FD002與FD004取K = 6，對應其六種工況[6]；FD001與FD003僅有單一工況，取K = 1，以免將操作設定的微小擾動誤分為不同工況。分群中心m</w:t>
      </w:r>
      <w:r>
        <w:rPr>
          <w:sz w:val="20"/>
          <w:szCs w:val="20"/>
          <w:vertAlign w:val="subscript"/>
        </w:rPr>
        <w:t xml:space="preserve">k</w:t>
      </w:r>
      <w:r>
        <w:rPr>
          <w:sz w:val="20"/>
          <w:szCs w:val="20"/>
        </w:rPr>
        <w:t xml:space="preserve">只由訓練引擎估計；驗證與保留引擎以相同中心依式(2)指派工況，不重新分群。</w:t>
      </w:r>
    </w:p>
    <w:p>
      <w:pPr>
        <w:spacing w:after="60" w:before="120"/>
      </w:pPr>
      <w:r>
        <w:rPr>
          <w:b/>
          <w:bCs/>
          <w:sz w:val="20"/>
          <w:szCs w:val="20"/>
        </w:rPr>
        <w:t xml:space="preserve">3.3 工況感知z-score正規化</w:t>
      </w:r>
    </w:p>
    <w:p>
      <w:pPr>
        <w:spacing w:after="60" w:line="240"/>
        <w:ind w:firstLine="400"/>
        <w:jc w:val="both"/>
      </w:pPr>
      <w:r>
        <w:rPr>
          <w:sz w:val="20"/>
          <w:szCs w:val="20"/>
        </w:rPr>
        <w:t xml:space="preserve">對工況c與感測器j，以訓練引擎中屬於工況c的全部資料點計算平均μ</w:t>
      </w:r>
      <w:r>
        <w:rPr>
          <w:sz w:val="20"/>
          <w:szCs w:val="20"/>
          <w:vertAlign w:val="subscript"/>
        </w:rPr>
        <w:t xml:space="preserve">c,j</w:t>
      </w:r>
      <w:r>
        <w:rPr>
          <w:sz w:val="20"/>
          <w:szCs w:val="20"/>
        </w:rPr>
        <w:t xml:space="preserve">與標準差σ</w:t>
      </w:r>
      <w:r>
        <w:rPr>
          <w:sz w:val="20"/>
          <w:szCs w:val="20"/>
          <w:vertAlign w:val="subscript"/>
        </w:rPr>
        <w:t xml:space="preserve">c,j</w:t>
      </w:r>
      <w:r>
        <w:rPr>
          <w:sz w:val="20"/>
          <w:szCs w:val="20"/>
        </w:rPr>
        <w:t xml:space="preserve">，並正規化為：</w:t>
      </w:r>
    </w:p>
    <w:p>
      <w:pPr>
        <w:tabs>
          <w:tab w:val="center" w:pos="2161"/>
          <w:tab w:val="right" w:pos="4322"/>
        </w:tabs>
        <w:spacing w:after="120" w:before="120"/>
      </w:pPr>
      <w:r>
        <w:tab/>
      </w:r>
      <m:oMath>
        <m:sSub>
          <m:sSubPr/>
          <m:e>
            <m:r>
              <m:t>z</m:t>
            </m:r>
          </m:e>
          <m:sub>
            <m:r>
              <m:t>i,t,j</m:t>
            </m:r>
          </m:sub>
        </m:sSub>
        <m:r>
          <m:t xml:space="preserve"> = </m:t>
        </m:r>
        <m:f>
          <m:num>
            <m:sSub>
              <m:sSubPr/>
              <m:e>
                <m:r>
                  <m:t>x</m:t>
                </m:r>
              </m:e>
              <m:sub>
                <m:r>
                  <m:t>i,t,j</m:t>
                </m:r>
              </m:sub>
            </m:sSub>
            <m:r>
              <m:t xml:space="preserve"> − </m:t>
            </m:r>
            <m:sSub>
              <m:sSubPr/>
              <m:e>
                <m:r>
                  <m:t>μ</m:t>
                </m:r>
              </m:e>
              <m:sub>
                <m:r>
                  <m:t>c,j</m:t>
                </m:r>
              </m:sub>
            </m:sSub>
          </m:num>
          <m:den>
            <m:sSub>
              <m:sSubPr/>
              <m:e>
                <m:r>
                  <m:t>σ</m:t>
                </m:r>
              </m:e>
              <m:sub>
                <m:r>
                  <m:t>c,j</m:t>
                </m:r>
              </m:sub>
            </m:sSub>
          </m:den>
        </m:f>
        <m:r>
          <m:t xml:space="preserve">,  c = </m:t>
        </m:r>
        <m:sSub>
          <m:sSubPr/>
          <m:e>
            <m:r>
              <m:t>c</m:t>
            </m:r>
          </m:e>
          <m:sub>
            <m:r>
              <m:t>i,t</m:t>
            </m:r>
          </m:sub>
        </m:sSub>
      </m:oMath>
      <w:r>
        <w:rPr>
          <w:sz w:val="20"/>
          <w:szCs w:val="20"/>
        </w:rPr>
        <w:tab/>
        <w:t xml:space="preserve">(3)</w:t>
      </w:r>
    </w:p>
    <w:p>
      <w:pPr>
        <w:spacing w:after="60" w:line="240"/>
        <w:jc w:val="both"/>
      </w:pPr>
      <w:r>
        <w:rPr>
          <w:sz w:val="20"/>
          <w:szCs w:val="20"/>
        </w:rPr>
        <w:t xml:space="preserve">驗證與保留引擎直接套用訓練引擎的μ與σ。作為對照，全域正規化（無論min-max或z-score）對每一感測器皆為與工況無關的仿射轉換：</w:t>
      </w:r>
    </w:p>
    <w:p>
      <w:pPr>
        <w:tabs>
          <w:tab w:val="center" w:pos="2161"/>
          <w:tab w:val="right" w:pos="4322"/>
        </w:tabs>
        <w:spacing w:after="120" w:before="120"/>
      </w:pPr>
      <w:r>
        <w:tab/>
      </w:r>
      <m:oMath>
        <m:sSub>
          <m:sSubPr/>
          <m:e>
            <m:r>
              <m:t>x̃</m:t>
            </m:r>
          </m:e>
          <m:sub>
            <m:r>
              <m:t>i,t,j</m:t>
            </m:r>
          </m:sub>
        </m:sSub>
        <m:r>
          <m:t xml:space="preserve"> = </m:t>
        </m:r>
        <m:sSub>
          <m:sSubPr/>
          <m:e>
            <m:r>
              <m:t>a</m:t>
            </m:r>
          </m:e>
          <m:sub>
            <m:r>
              <m:t>j</m:t>
            </m:r>
          </m:sub>
        </m:sSub>
        <m:sSub>
          <m:sSubPr/>
          <m:e>
            <m:r>
              <m:t>x</m:t>
            </m:r>
          </m:e>
          <m:sub>
            <m:r>
              <m:t>i,t,j</m:t>
            </m:r>
          </m:sub>
        </m:sSub>
        <m:r>
          <m:t xml:space="preserve"> + </m:t>
        </m:r>
        <m:sSub>
          <m:sSubPr/>
          <m:e>
            <m:r>
              <m:t>b</m:t>
            </m:r>
          </m:e>
          <m:sub>
            <m:r>
              <m:t>j</m:t>
            </m:r>
          </m:sub>
        </m:sSub>
        <m:r>
          <m:t xml:space="preserve">,  </m:t>
        </m:r>
        <m:sSub>
          <m:sSubPr/>
          <m:e>
            <m:r>
              <m:t>a</m:t>
            </m:r>
          </m:e>
          <m:sub>
            <m:r>
              <m:t>j</m:t>
            </m:r>
          </m:sub>
        </m:sSub>
        <m:r>
          <m:t xml:space="preserve"> &gt; 0</m:t>
        </m:r>
      </m:oMath>
      <w:r>
        <w:rPr>
          <w:sz w:val="20"/>
          <w:szCs w:val="20"/>
        </w:rPr>
        <w:tab/>
        <w:t xml:space="preserve">(4)</w:t>
      </w:r>
    </w:p>
    <w:p>
      <w:pPr>
        <w:spacing w:after="60" w:line="240"/>
        <w:jc w:val="both"/>
      </w:pPr>
      <w:r>
        <w:rPr>
          <w:sz w:val="20"/>
          <w:szCs w:val="20"/>
        </w:rPr>
        <w:t xml:space="preserve">仿射轉換只改變各感測器的尺度與位置，不改變不同工況之間的相對位移，因此全域正規化無法移除工況造成的群間差異。第5.1節以量化指標驗證此性質。</w:t>
      </w:r>
    </w:p>
    <w:p>
      <w:pPr>
        <w:spacing w:after="60" w:before="120"/>
      </w:pPr>
      <w:r>
        <w:rPr>
          <w:b/>
          <w:bCs/>
          <w:sz w:val="20"/>
          <w:szCs w:val="20"/>
        </w:rPr>
        <w:t xml:space="preserve">3.4 滑動視窗與統計特徵</w:t>
      </w:r>
    </w:p>
    <w:p>
      <w:pPr>
        <w:spacing w:after="60" w:line="240"/>
        <w:ind w:firstLine="400"/>
        <w:jc w:val="both"/>
      </w:pPr>
      <w:r>
        <w:rPr>
          <w:sz w:val="20"/>
          <w:szCs w:val="20"/>
        </w:rPr>
        <w:t xml:space="preserve">正規化後，以長度T</w:t>
      </w:r>
      <w:r>
        <w:rPr>
          <w:sz w:val="20"/>
          <w:szCs w:val="20"/>
          <w:vertAlign w:val="subscript"/>
        </w:rPr>
        <w:t xml:space="preserve">w</w:t>
      </w:r>
      <w:r>
        <w:rPr>
          <w:sz w:val="20"/>
          <w:szCs w:val="20"/>
        </w:rPr>
        <w:t xml:space="preserve"> = 40、步長1的滑動視窗切分每台引擎的序列，並以視窗最後一個cycle的RUL作為該視窗的標籤[9]。依DAST原文，另對每一視窗計算各感測器的平均值與線性迴歸斜率[9]；兩者以訓練資料擬合的min-max尺度轉換後附加於視窗之後，使模型輸入維度為(T</w:t>
      </w:r>
      <w:r>
        <w:rPr>
          <w:sz w:val="20"/>
          <w:szCs w:val="20"/>
          <w:vertAlign w:val="subscript"/>
        </w:rPr>
        <w:t xml:space="preserve">w</w:t>
      </w:r>
      <w:r>
        <w:rPr>
          <w:sz w:val="20"/>
          <w:szCs w:val="20"/>
        </w:rPr>
        <w:t xml:space="preserve"> + 2) × 14 = 42 × 14。</w:t>
      </w:r>
    </w:p>
    <w:p>
      <w:pPr>
        <w:spacing w:after="60" w:before="120"/>
      </w:pPr>
      <w:r>
        <w:rPr>
          <w:b/>
          <w:bCs/>
          <w:sz w:val="20"/>
          <w:szCs w:val="20"/>
        </w:rPr>
        <w:t xml:space="preserve">3.5 DAST模型</w:t>
      </w:r>
    </w:p>
    <w:p>
      <w:pPr>
        <w:spacing w:after="60" w:line="240"/>
        <w:ind w:firstLine="400"/>
        <w:jc w:val="both"/>
      </w:pPr>
      <w:r>
        <w:rPr>
          <w:sz w:val="20"/>
          <w:szCs w:val="20"/>
        </w:rPr>
        <w:t xml:space="preserve">DAST由感測器編碼器、時間步編碼器、特徵融合層與解碼器組成[9]。感測器編碼器以多頭自注意力學習感測器之間的關係與權重；時間步編碼器則學習不同時間位置的重要性。兩個編碼器平行運作，輸出經特徵融合後送入解碼器預測RUL。本研究不修改DAST的架構，僅調整輸入前處理與訓練策略，模型超參數列於表2。</w:t>
      </w:r>
    </w:p>
    <w:p>
      <w:pPr>
        <w:spacing w:after="60" w:before="120"/>
      </w:pPr>
      <w:r>
        <w:rPr>
          <w:b/>
          <w:bCs/>
          <w:sz w:val="20"/>
          <w:szCs w:val="20"/>
        </w:rPr>
        <w:t xml:space="preserve">3.6 訓練策略</w:t>
      </w:r>
    </w:p>
    <w:p>
      <w:pPr>
        <w:spacing w:after="60" w:line="240"/>
        <w:ind w:firstLine="400"/>
        <w:jc w:val="both"/>
      </w:pPr>
      <w:r>
        <w:rPr>
          <w:sz w:val="20"/>
          <w:szCs w:val="20"/>
        </w:rPr>
        <w:t xml:space="preserve">模型以RMSE作為訓練損失，並使用RAdam最佳化器[9]。學習率暖身在前w個epoch內，將學習率由接近0線性提高至設定值η</w:t>
      </w:r>
      <w:r>
        <w:rPr>
          <w:sz w:val="20"/>
          <w:szCs w:val="20"/>
          <w:vertAlign w:val="subscript"/>
        </w:rPr>
        <w:t xml:space="preserve">0</w:t>
      </w:r>
      <w:r>
        <w:rPr>
          <w:sz w:val="20"/>
          <w:szCs w:val="20"/>
        </w:rPr>
        <w:t xml:space="preserve">：</w:t>
      </w:r>
    </w:p>
    <w:p>
      <w:pPr>
        <w:tabs>
          <w:tab w:val="center" w:pos="2161"/>
          <w:tab w:val="right" w:pos="4322"/>
        </w:tabs>
        <w:spacing w:after="120" w:before="120"/>
      </w:pPr>
      <w:r>
        <w:tab/>
      </w:r>
      <m:oMath>
        <m:sSub>
          <m:sSubPr/>
          <m:e>
            <m:r>
              <m:t>η</m:t>
            </m:r>
          </m:e>
          <m:sub>
            <m:r>
              <m:t>s</m:t>
            </m:r>
          </m:sub>
        </m:sSub>
        <m:r>
          <m:t xml:space="preserve"> = </m:t>
        </m:r>
        <m:sSub>
          <m:sSubPr/>
          <m:e>
            <m:r>
              <m:t>η</m:t>
            </m:r>
          </m:e>
          <m:sub>
            <m:r>
              <m:t>0</m:t>
            </m:r>
          </m:sub>
        </m:sSub>
        <m:r>
          <m:t xml:space="preserve"> · min(1, </m:t>
        </m:r>
        <m:f>
          <m:num>
            <m:r>
              <m:t>s + 1</m:t>
            </m:r>
          </m:num>
          <m:den>
            <m:r>
              <m:t xml:space="preserve">w · </m:t>
            </m:r>
            <m:sSub>
              <m:sSubPr/>
              <m:e>
                <m:r>
                  <m:t>N</m:t>
                </m:r>
              </m:e>
              <m:sub>
                <m:r>
                  <m:t>b</m:t>
                </m:r>
              </m:sub>
            </m:sSub>
          </m:den>
        </m:f>
        <m:r>
          <m:t>)</m:t>
        </m:r>
      </m:oMath>
      <w:r>
        <w:rPr>
          <w:sz w:val="20"/>
          <w:szCs w:val="20"/>
        </w:rPr>
        <w:tab/>
        <w:t xml:space="preserve">(5)</w:t>
      </w:r>
    </w:p>
    <w:p>
      <w:pPr>
        <w:spacing w:after="60" w:line="240"/>
        <w:jc w:val="both"/>
      </w:pPr>
      <w:r>
        <w:rPr>
          <w:sz w:val="20"/>
          <w:szCs w:val="20"/>
        </w:rPr>
        <w:t xml:space="preserve">其中s為參數更新步數，N</w:t>
      </w:r>
      <w:r>
        <w:rPr>
          <w:sz w:val="20"/>
          <w:szCs w:val="20"/>
          <w:vertAlign w:val="subscript"/>
        </w:rPr>
        <w:t xml:space="preserve">b</w:t>
      </w:r>
      <w:r>
        <w:rPr>
          <w:sz w:val="20"/>
          <w:szCs w:val="20"/>
        </w:rPr>
        <w:t xml:space="preserve">為每個epoch的批次數。Transformer原始論文即在學習率排程中採用暖身[7]。梯度裁切則在每次更新前檢查所有參數梯度的整體L2範數，若超過門檻c，便將梯度等比例縮小至範數為c。</w:t>
      </w:r>
    </w:p>
    <w:p>
      <w:pPr>
        <w:spacing w:after="100" w:before="200"/>
        <w:jc w:val="center"/>
      </w:pPr>
      <w:r>
        <w:rPr>
          <w:b/>
          <w:bCs/>
          <w:sz w:val="22"/>
          <w:szCs w:val="22"/>
        </w:rPr>
        <w:t xml:space="preserve">4. 實驗設計</w:t>
      </w:r>
    </w:p>
    <w:p>
      <w:pPr>
        <w:spacing w:after="60" w:before="120"/>
      </w:pPr>
      <w:r>
        <w:rPr>
          <w:b/>
          <w:bCs/>
          <w:sz w:val="20"/>
          <w:szCs w:val="20"/>
        </w:rPr>
        <w:t xml:space="preserve">4.1 資料集</w:t>
      </w:r>
    </w:p>
    <w:p>
      <w:pPr>
        <w:spacing w:after="60" w:line="240"/>
        <w:ind w:firstLine="400"/>
        <w:jc w:val="both"/>
      </w:pPr>
      <w:r>
        <w:rPr>
          <w:sz w:val="20"/>
          <w:szCs w:val="20"/>
        </w:rPr>
        <w:t xml:space="preserve">本研究使用C-MAPSS的四個子資料集[6]，其特性如表1。FD002與FD004為主要分析對象；FD001與FD003只有單一工況，作為參照。</w:t>
      </w:r>
    </w:p>
    <w:p>
      <w:pPr>
        <w:spacing w:after="120" w:before="60"/>
        <w:jc w:val="center"/>
      </w:pPr>
      <w:r>
        <w:rPr>
          <w:sz w:val="18"/>
          <w:szCs w:val="18"/>
        </w:rPr>
        <w:t xml:space="preserve">表1. C-MAPSS子資料集特性</w:t>
      </w:r>
    </w:p>
    <w:tbl>
      <w:tblPr>
        <w:tblW w:type="dxa" w:w="4322"/>
        <w:tblBorders>
          <w:top w:val="single" w:color="auto" w:sz="4"/>
          <w:left w:val="single" w:color="auto" w:sz="4"/>
          <w:bottom w:val="single" w:color="auto" w:sz="4"/>
          <w:right w:val="single" w:color="auto" w:sz="4"/>
          <w:insideH w:val="single" w:color="auto" w:sz="4"/>
          <w:insideV w:val="single" w:color="auto" w:sz="4"/>
        </w:tblBorders>
      </w:tblPr>
      <w:tblGrid>
        <w:gridCol w:w="900"/>
        <w:gridCol w:w="750"/>
        <w:gridCol w:w="850"/>
        <w:gridCol w:w="900"/>
        <w:gridCol w:w="922"/>
      </w:tblGrid>
      <w:tr>
        <w:tc>
          <w:tcPr>
            <w:tcW w:type="dxa" w:w="9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b/>
                <w:bCs/>
                <w:sz w:val="16"/>
                <w:szCs w:val="16"/>
              </w:rPr>
              <w:t xml:space="preserve">資料集</w:t>
            </w:r>
          </w:p>
        </w:tc>
        <w:tc>
          <w:tcPr>
            <w:tcW w:type="dxa" w:w="75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b/>
                <w:bCs/>
                <w:sz w:val="16"/>
                <w:szCs w:val="16"/>
              </w:rPr>
              <w:t xml:space="preserve">工況數</w:t>
            </w:r>
          </w:p>
        </w:tc>
        <w:tc>
          <w:tcPr>
            <w:tcW w:type="dxa" w:w="85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b/>
                <w:bCs/>
                <w:sz w:val="16"/>
                <w:szCs w:val="16"/>
              </w:rPr>
              <w:t xml:space="preserve">故障模式數</w:t>
            </w:r>
          </w:p>
        </w:tc>
        <w:tc>
          <w:tcPr>
            <w:tcW w:type="dxa" w:w="9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b/>
                <w:bCs/>
                <w:sz w:val="16"/>
                <w:szCs w:val="16"/>
              </w:rPr>
              <w:t xml:space="preserve">訓練引擎數</w:t>
            </w:r>
          </w:p>
        </w:tc>
        <w:tc>
          <w:tcPr>
            <w:tcW w:type="dxa" w:w="922"/>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b/>
                <w:bCs/>
                <w:sz w:val="16"/>
                <w:szCs w:val="16"/>
              </w:rPr>
              <w:t xml:space="preserve">本文角色</w:t>
            </w:r>
          </w:p>
        </w:tc>
      </w:tr>
      <w:tr>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FD001</w:t>
            </w:r>
          </w:p>
        </w:tc>
        <w:tc>
          <w:tcPr>
            <w:tcW w:type="dxa" w:w="7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w:t>
            </w:r>
          </w:p>
        </w:tc>
        <w:tc>
          <w:tcPr>
            <w:tcW w:type="dxa" w:w="8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100</w:t>
            </w:r>
          </w:p>
        </w:tc>
        <w:tc>
          <w:tcPr>
            <w:tcW w:type="dxa" w:w="9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單工況參照</w:t>
            </w:r>
          </w:p>
        </w:tc>
      </w:tr>
      <w:tr>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FD002</w:t>
            </w:r>
          </w:p>
        </w:tc>
        <w:tc>
          <w:tcPr>
            <w:tcW w:type="dxa" w:w="7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6</w:t>
            </w:r>
          </w:p>
        </w:tc>
        <w:tc>
          <w:tcPr>
            <w:tcW w:type="dxa" w:w="8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260</w:t>
            </w:r>
          </w:p>
        </w:tc>
        <w:tc>
          <w:tcPr>
            <w:tcW w:type="dxa" w:w="9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多工況主體</w:t>
            </w:r>
          </w:p>
        </w:tc>
      </w:tr>
      <w:tr>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FD003</w:t>
            </w:r>
          </w:p>
        </w:tc>
        <w:tc>
          <w:tcPr>
            <w:tcW w:type="dxa" w:w="7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w:t>
            </w:r>
          </w:p>
        </w:tc>
        <w:tc>
          <w:tcPr>
            <w:tcW w:type="dxa" w:w="8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2</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100</w:t>
            </w:r>
          </w:p>
        </w:tc>
        <w:tc>
          <w:tcPr>
            <w:tcW w:type="dxa" w:w="9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單工況參照</w:t>
            </w:r>
          </w:p>
        </w:tc>
      </w:tr>
      <w:tr>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FD004</w:t>
            </w:r>
          </w:p>
        </w:tc>
        <w:tc>
          <w:tcPr>
            <w:tcW w:type="dxa" w:w="7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6</w:t>
            </w:r>
          </w:p>
        </w:tc>
        <w:tc>
          <w:tcPr>
            <w:tcW w:type="dxa" w:w="8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2</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249</w:t>
            </w:r>
          </w:p>
        </w:tc>
        <w:tc>
          <w:tcPr>
            <w:tcW w:type="dxa" w:w="9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多工況主體</w:t>
            </w:r>
          </w:p>
        </w:tc>
      </w:tr>
    </w:tbl>
    <w:p>
      <w:pPr>
        <w:spacing w:after="60" w:before="120"/>
      </w:pPr>
      <w:r>
        <w:rPr>
          <w:b/>
          <w:bCs/>
          <w:sz w:val="20"/>
          <w:szCs w:val="20"/>
        </w:rPr>
        <w:t xml:space="preserve">4.2 資料切分與評估協定</w:t>
      </w:r>
    </w:p>
    <w:p>
      <w:pPr>
        <w:spacing w:after="60" w:line="240"/>
        <w:ind w:firstLine="400"/>
        <w:jc w:val="both"/>
      </w:pPr>
      <w:r>
        <w:rPr>
          <w:sz w:val="20"/>
          <w:szCs w:val="20"/>
        </w:rPr>
        <w:t xml:space="preserve">為避免測試資料參與模型選擇，本研究只使用各子資料集的官方訓練檔。以引擎為單位，依固定亂數種子（2026）將引擎隨機分為訓練、驗證與保留（holdout）三組，比例為70%、15%、15%；FD002為182、39、39台，FD004為174、37、38台。每台引擎只屬於其中一組，且先切分引擎、再建立滑動視窗，因此不會因視窗重疊而洩漏資訊。工況分群中心、正規化統計量與統計特徵的尺度轉換皆只由訓練引擎估計。每個epoch結束時計算驗證引擎的RMSE，保存最低者的模型參數，最後以該模型在保留引擎上評估一次；官方測試集在此協定中完全未被使用。</w:t>
      </w:r>
    </w:p>
    <w:p>
      <w:pPr>
        <w:spacing w:after="60" w:line="240"/>
        <w:ind w:firstLine="400"/>
        <w:jc w:val="both"/>
      </w:pPr>
      <w:r>
        <w:rPr>
          <w:sz w:val="20"/>
          <w:szCs w:val="20"/>
        </w:rPr>
        <w:t xml:space="preserve">保留引擎的評估涵蓋其生命週期內的所有滑動視窗，而非只有最後一個視窗，因此本文的數值不宜與以官方測試集最後一個視窗評估的文獻結果（如[9]）直接比較。</w:t>
      </w:r>
    </w:p>
    <w:p>
      <w:pPr>
        <w:spacing w:after="60" w:before="120"/>
      </w:pPr>
      <w:r>
        <w:rPr>
          <w:b/>
          <w:bCs/>
          <w:sz w:val="20"/>
          <w:szCs w:val="20"/>
        </w:rPr>
        <w:t xml:space="preserve">4.3 評估指標</w:t>
      </w:r>
    </w:p>
    <w:p>
      <w:pPr>
        <w:spacing w:after="60" w:line="240"/>
        <w:ind w:firstLine="400"/>
        <w:jc w:val="both"/>
      </w:pPr>
      <w:r>
        <w:rPr>
          <w:sz w:val="20"/>
          <w:szCs w:val="20"/>
        </w:rPr>
        <w:t xml:space="preserve">RMSE定義如下，其中N為評估視窗數：</w:t>
      </w:r>
    </w:p>
    <w:p>
      <w:pPr>
        <w:tabs>
          <w:tab w:val="center" w:pos="2161"/>
          <w:tab w:val="right" w:pos="4322"/>
        </w:tabs>
        <w:spacing w:after="120" w:before="120"/>
      </w:pPr>
      <w:r>
        <w:tab/>
      </w:r>
      <m:oMath>
        <m:r>
          <m:t xml:space="preserve">RMSE = </m:t>
        </m:r>
        <m:rad>
          <m:radPr>
            <m:degHide m:val="1"/>
          </m:radPr>
          <m:deg/>
          <m:e>
            <m:f>
              <m:num>
                <m:r>
                  <m:t>1</m:t>
                </m:r>
              </m:num>
              <m:den>
                <m:r>
                  <m:t>N</m:t>
                </m:r>
              </m:den>
            </m:f>
            <m:nary>
              <m:naryPr>
                <m:chr m:val="∑"/>
                <m:limLoc m:val="undOvr"/>
              </m:naryPr>
              <m:sub>
                <m:r>
                  <m:t>n=1</m:t>
                </m:r>
              </m:sub>
              <m:sup>
                <m:r>
                  <m:t>N</m:t>
                </m:r>
              </m:sup>
              <m:e>
                <m:sSup>
                  <m:sSupPr/>
                  <m:e>
                    <m:r>
                      <m:t>(</m:t>
                    </m:r>
                    <m:sSub>
                      <m:sSubPr/>
                      <m:e>
                        <m:r>
                          <m:t>ŷ</m:t>
                        </m:r>
                      </m:e>
                      <m:sub>
                        <m:r>
                          <m:t>n</m:t>
                        </m:r>
                      </m:sub>
                    </m:sSub>
                    <m:r>
                      <m:t xml:space="preserve"> − </m:t>
                    </m:r>
                    <m:sSub>
                      <m:sSubPr/>
                      <m:e>
                        <m:r>
                          <m:t>y</m:t>
                        </m:r>
                      </m:e>
                      <m:sub>
                        <m:r>
                          <m:t>n</m:t>
                        </m:r>
                      </m:sub>
                    </m:sSub>
                    <m:r>
                      <m:t>)</m:t>
                    </m:r>
                  </m:e>
                  <m:sup>
                    <m:r>
                      <m:t>2</m:t>
                    </m:r>
                  </m:sup>
                </m:sSup>
              </m:e>
            </m:nary>
          </m:e>
        </m:rad>
      </m:oMath>
      <w:r>
        <w:rPr>
          <w:sz w:val="20"/>
          <w:szCs w:val="20"/>
        </w:rPr>
        <w:tab/>
        <w:t xml:space="preserve">(6)</w:t>
      </w:r>
    </w:p>
    <w:p>
      <w:pPr>
        <w:spacing w:after="60" w:line="240"/>
        <w:jc w:val="both"/>
      </w:pPr>
      <w:r>
        <w:rPr>
          <w:sz w:val="20"/>
          <w:szCs w:val="20"/>
        </w:rPr>
        <w:t xml:space="preserve">NASA Score的單點評分為s(d) = exp(−d/13) − 1（d &lt; 0）或exp(d/10) − 1（d ≥ 0），其中d = ŷ − y；此評分對高估RUL（延後預警）的懲罰較重[6]。本文先在每台引擎內取平均，再對所有保留引擎取平均：</w:t>
      </w:r>
    </w:p>
    <w:p>
      <w:pPr>
        <w:tabs>
          <w:tab w:val="center" w:pos="2161"/>
          <w:tab w:val="right" w:pos="4322"/>
        </w:tabs>
        <w:spacing w:after="120" w:before="120"/>
      </w:pPr>
      <w:r>
        <w:tab/>
      </w:r>
      <m:oMath>
        <m:r>
          <m:t xml:space="preserve">Score = </m:t>
        </m:r>
        <m:f>
          <m:num>
            <m:r>
              <m:t>1</m:t>
            </m:r>
          </m:num>
          <m:den>
            <m:r>
              <m:t>U</m:t>
            </m:r>
          </m:den>
        </m:f>
        <m:nary>
          <m:naryPr>
            <m:chr m:val="∑"/>
            <m:limLoc m:val="undOvr"/>
          </m:naryPr>
          <m:sub>
            <m:r>
              <m:t>u=1</m:t>
            </m:r>
          </m:sub>
          <m:sup>
            <m:r>
              <m:t>U</m:t>
            </m:r>
          </m:sup>
          <m:e>
            <m:f>
              <m:num>
                <m:r>
                  <m:t>1</m:t>
                </m:r>
              </m:num>
              <m:den>
                <m:sSub>
                  <m:sSubPr/>
                  <m:e>
                    <m:r>
                      <m:t>N</m:t>
                    </m:r>
                  </m:e>
                  <m:sub>
                    <m:r>
                      <m:t>u</m:t>
                    </m:r>
                  </m:sub>
                </m:sSub>
              </m:den>
            </m:f>
            <m:nary>
              <m:naryPr>
                <m:chr m:val="∑"/>
                <m:limLoc m:val="undOvr"/>
                <m:supHide m:val="1"/>
              </m:naryPr>
              <m:sub>
                <m:r>
                  <m:t>n∈u</m:t>
                </m:r>
              </m:sub>
              <m:sup/>
              <m:e>
                <m:r>
                  <m:t>s(</m:t>
                </m:r>
                <m:sSub>
                  <m:sSubPr/>
                  <m:e>
                    <m:r>
                      <m:t>d</m:t>
                    </m:r>
                  </m:e>
                  <m:sub>
                    <m:r>
                      <m:t>n</m:t>
                    </m:r>
                  </m:sub>
                </m:sSub>
                <m:r>
                  <m:t>)</m:t>
                </m:r>
              </m:e>
            </m:nary>
          </m:e>
        </m:nary>
      </m:oMath>
      <w:r>
        <w:rPr>
          <w:sz w:val="20"/>
          <w:szCs w:val="20"/>
        </w:rPr>
        <w:tab/>
        <w:t xml:space="preserve">(7)</w:t>
      </w:r>
    </w:p>
    <w:p>
      <w:pPr>
        <w:spacing w:after="60" w:line="240"/>
        <w:jc w:val="both"/>
      </w:pPr>
      <w:r>
        <w:rPr>
          <w:sz w:val="20"/>
          <w:szCs w:val="20"/>
        </w:rPr>
        <w:t xml:space="preserve">由於聚合方式不同，此Score的數值尺度與文獻中將每台測試引擎最後一個視窗加總的Score不同。</w:t>
      </w:r>
    </w:p>
    <w:p>
      <w:pPr>
        <w:spacing w:after="60" w:before="120"/>
      </w:pPr>
      <w:r>
        <w:rPr>
          <w:b/>
          <w:bCs/>
          <w:sz w:val="20"/>
          <w:szCs w:val="20"/>
        </w:rPr>
        <w:t xml:space="preserve">4.4 實驗設定</w:t>
      </w:r>
    </w:p>
    <w:p>
      <w:pPr>
        <w:spacing w:after="60" w:line="240"/>
        <w:ind w:firstLine="400"/>
        <w:jc w:val="both"/>
      </w:pPr>
      <w:r>
        <w:rPr>
          <w:sz w:val="20"/>
          <w:szCs w:val="20"/>
        </w:rPr>
        <w:t xml:space="preserve">實驗設定列於表2。與DAST原文相比，原文在FD002與FD004使用長度60的視窗、dropout為0.2，並重複10次取平均[9]；本研究統一採用長度40的視窗與dropout 0.1，因此結果不作為與原文數值的直接比較。</w:t>
      </w:r>
    </w:p>
    <w:p>
      <w:pPr>
        <w:spacing w:after="120" w:before="60"/>
        <w:jc w:val="center"/>
      </w:pPr>
      <w:r>
        <w:rPr>
          <w:sz w:val="18"/>
          <w:szCs w:val="18"/>
        </w:rPr>
        <w:t xml:space="preserve">表2. 實驗設定</w:t>
      </w:r>
    </w:p>
    <w:tbl>
      <w:tblPr>
        <w:tblW w:type="dxa" w:w="4322"/>
        <w:tblBorders>
          <w:top w:val="single" w:color="auto" w:sz="4"/>
          <w:left w:val="single" w:color="auto" w:sz="4"/>
          <w:bottom w:val="single" w:color="auto" w:sz="4"/>
          <w:right w:val="single" w:color="auto" w:sz="4"/>
          <w:insideH w:val="single" w:color="auto" w:sz="4"/>
          <w:insideV w:val="single" w:color="auto" w:sz="4"/>
        </w:tblBorders>
      </w:tblPr>
      <w:tblGrid>
        <w:gridCol w:w="1500"/>
        <w:gridCol w:w="2822"/>
      </w:tblGrid>
      <w:tr>
        <w:tc>
          <w:tcPr>
            <w:tcW w:type="dxa" w:w="15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b/>
                <w:bCs/>
                <w:sz w:val="16"/>
                <w:szCs w:val="16"/>
              </w:rPr>
              <w:t xml:space="preserve">項目</w:t>
            </w:r>
          </w:p>
        </w:tc>
        <w:tc>
          <w:tcPr>
            <w:tcW w:type="dxa" w:w="2822"/>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b/>
                <w:bCs/>
                <w:sz w:val="16"/>
                <w:szCs w:val="16"/>
              </w:rPr>
              <w:t xml:space="preserve">設定</w:t>
            </w:r>
          </w:p>
        </w:tc>
      </w:tr>
      <w:t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輸入感測器</w:t>
            </w:r>
          </w:p>
        </w:tc>
        <w:tc>
          <w:tcPr>
            <w:tcW w:type="dxa" w:w="28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14個（移除s1, s5, s6, s10, s16, s18, s19）</w:t>
            </w:r>
          </w:p>
        </w:tc>
      </w:tr>
      <w:t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視窗長度</w:t>
            </w:r>
          </w:p>
        </w:tc>
        <w:tc>
          <w:tcPr>
            <w:tcW w:type="dxa" w:w="28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40（附加統計特徵後為42）</w:t>
            </w:r>
          </w:p>
        </w:tc>
      </w:tr>
      <w:t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RUL上限</w:t>
            </w:r>
          </w:p>
        </w:tc>
        <w:tc>
          <w:tcPr>
            <w:tcW w:type="dxa" w:w="28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125</w:t>
            </w:r>
          </w:p>
        </w:tc>
      </w:tr>
      <w:t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最佳化器／學習率</w:t>
            </w:r>
          </w:p>
        </w:tc>
        <w:tc>
          <w:tcPr>
            <w:tcW w:type="dxa" w:w="28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RAdam／0.001</w:t>
            </w:r>
          </w:p>
        </w:tc>
      </w:tr>
      <w:t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批次大小／epoch</w:t>
            </w:r>
          </w:p>
        </w:tc>
        <w:tc>
          <w:tcPr>
            <w:tcW w:type="dxa" w:w="28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256／100</w:t>
            </w:r>
          </w:p>
        </w:tc>
      </w:tr>
      <w:t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DAST結構</w:t>
            </w:r>
          </w:p>
        </w:tc>
        <w:tc>
          <w:tcPr>
            <w:tcW w:type="dxa" w:w="28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維度64、注意力頭數4、編碼器2層、解碼器1層、dropout 0.1</w:t>
            </w:r>
          </w:p>
        </w:tc>
      </w:tr>
      <w:t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梯度裁切門檻c</w:t>
            </w:r>
          </w:p>
        </w:tc>
        <w:tc>
          <w:tcPr>
            <w:tcW w:type="dxa" w:w="28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0.5, 1, 2, 5</w:t>
            </w:r>
          </w:p>
        </w:tc>
      </w:tr>
      <w:t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暖身長度w（epoch）</w:t>
            </w:r>
          </w:p>
        </w:tc>
        <w:tc>
          <w:tcPr>
            <w:tcW w:type="dxa" w:w="28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5, 10, 15</w:t>
            </w:r>
          </w:p>
        </w:tc>
      </w:tr>
      <w:t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隨機種子</w:t>
            </w:r>
          </w:p>
        </w:tc>
        <w:tc>
          <w:tcPr>
            <w:tcW w:type="dxa" w:w="28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20, 42, 100</w:t>
            </w:r>
            <w:r>
              <w:rPr>
                <w:sz w:val="16"/>
                <w:szCs w:val="16"/>
                <w:highlight w:val="yellow"/>
              </w:rPr>
              <w:t xml:space="preserve">【RQ2實驗預計增為5個】</w:t>
            </w:r>
          </w:p>
        </w:tc>
      </w:tr>
      <w:t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模型選擇</w:t>
            </w:r>
          </w:p>
        </w:tc>
        <w:tc>
          <w:tcPr>
            <w:tcW w:type="dxa" w:w="282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驗證RMSE最低之epoch</w:t>
            </w:r>
          </w:p>
        </w:tc>
      </w:tr>
    </w:tbl>
    <w:p>
      <w:pPr>
        <w:spacing w:after="100" w:before="200"/>
        <w:jc w:val="center"/>
      </w:pPr>
      <w:r>
        <w:rPr>
          <w:b/>
          <w:bCs/>
          <w:sz w:val="22"/>
          <w:szCs w:val="22"/>
        </w:rPr>
        <w:t xml:space="preserve">5. 結果與討論</w:t>
      </w:r>
    </w:p>
    <w:p>
      <w:pPr>
        <w:spacing w:after="60" w:before="120"/>
      </w:pPr>
      <w:r>
        <w:rPr>
          <w:b/>
          <w:bCs/>
          <w:sz w:val="20"/>
          <w:szCs w:val="20"/>
        </w:rPr>
        <w:t xml:space="preserve">5.1 工況對感測器分布的影響（RQ1）</w:t>
      </w:r>
    </w:p>
    <w:p>
      <w:pPr>
        <w:spacing w:before="100"/>
        <w:jc w:val="center"/>
      </w:pPr>
      <w:r>
        <w:drawing>
          <wp:inline distT="0" distB="0" distL="0" distR="0">
            <wp:extent cx="2743200" cy="1828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1828800"/>
                    </a:xfrm>
                    <a:prstGeom prst="rect">
                      <a:avLst/>
                    </a:prstGeom>
                  </pic:spPr>
                </pic:pic>
              </a:graphicData>
            </a:graphic>
          </wp:inline>
        </w:drawing>
      </w:r>
    </w:p>
    <w:p>
      <w:pPr>
        <w:spacing w:after="120" w:before="60"/>
        <w:jc w:val="center"/>
      </w:pPr>
      <w:r>
        <w:rPr>
          <w:sz w:val="18"/>
          <w:szCs w:val="18"/>
        </w:rPr>
        <w:t xml:space="preserve">圖2. FD004感測器s12與s14在工況感知正規化前後與RUL的關係</w:t>
      </w:r>
    </w:p>
    <w:p>
      <w:pPr>
        <w:spacing w:after="60" w:line="240"/>
        <w:ind w:firstLine="400"/>
        <w:jc w:val="both"/>
      </w:pPr>
      <w:r>
        <w:rPr>
          <w:sz w:val="20"/>
          <w:szCs w:val="20"/>
        </w:rPr>
        <w:t xml:space="preserve">圖2以FD004的s12與s14為例。正規化前，s12依工況分成六條幾乎平行的水平帶，同一工況內幾乎看不出隨RUL變化的趨勢；s14也呈現明顯的工況分群。經工況感知正規化後，不同工況的資料點重疊在一起，RUL接近0時的退化趨勢隨之顯現。</w:t>
      </w:r>
    </w:p>
    <w:p>
      <w:pPr>
        <w:spacing w:after="60" w:line="240"/>
        <w:ind w:firstLine="400"/>
        <w:jc w:val="both"/>
      </w:pPr>
      <w:r>
        <w:rPr>
          <w:sz w:val="20"/>
          <w:szCs w:val="20"/>
        </w:rPr>
        <w:t xml:space="preserve">為量化此現象，本文使用官方訓練檔的全部引擎計算兩項描述性指標。第一項為視窗層級工況解釋變異量η²</w:t>
      </w:r>
      <w:r>
        <w:rPr>
          <w:sz w:val="20"/>
          <w:szCs w:val="20"/>
          <w:vertAlign w:val="subscript"/>
        </w:rPr>
        <w:t xml:space="preserve">w</w:t>
      </w:r>
      <w:r>
        <w:rPr>
          <w:sz w:val="20"/>
          <w:szCs w:val="20"/>
        </w:rPr>
        <w:t xml:space="preserve">：對每個長度40（步長10）的視窗，以視窗內的工況標籤對感測器值進行單因子變異數分解，計算組間變異占總變異的比例，再對所有包含兩種以上工況的視窗取平均。第二項為各感測器與RUL的Spearman相關係數絕對值|ρ|。依式(4)，全域min-max與全域z-score不會改變這兩項指標，因此其數值與未正規化時相同。</w:t>
      </w:r>
    </w:p>
    <w:p>
      <w:pPr>
        <w:spacing w:before="100"/>
        <w:jc w:val="center"/>
      </w:pPr>
      <w:r>
        <w:drawing>
          <wp:inline distT="0" distB="0" distL="0" distR="0">
            <wp:extent cx="2743200" cy="45148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43200" cy="4514850"/>
                    </a:xfrm>
                    <a:prstGeom prst="rect">
                      <a:avLst/>
                    </a:prstGeom>
                  </pic:spPr>
                </pic:pic>
              </a:graphicData>
            </a:graphic>
          </wp:inline>
        </w:drawing>
      </w:r>
    </w:p>
    <w:p>
      <w:pPr>
        <w:spacing w:after="120" w:before="60"/>
        <w:jc w:val="center"/>
      </w:pPr>
      <w:r>
        <w:rPr>
          <w:sz w:val="18"/>
          <w:szCs w:val="18"/>
        </w:rPr>
        <w:t xml:space="preserve">圖3. 工況感知正規化前後的(a)(b)視窗層級工況解釋變異量與(c)(d)感測器–RUL相關係數</w:t>
      </w:r>
    </w:p>
    <w:p>
      <w:pPr>
        <w:spacing w:after="60" w:line="240"/>
        <w:ind w:firstLine="400"/>
        <w:jc w:val="both"/>
      </w:pPr>
      <w:r>
        <w:rPr>
          <w:sz w:val="20"/>
          <w:szCs w:val="20"/>
        </w:rPr>
        <w:t xml:space="preserve">如圖3所示，未進行工況感知正規化時，FD002與FD004的14個感測器之η²</w:t>
      </w:r>
      <w:r>
        <w:rPr>
          <w:sz w:val="20"/>
          <w:szCs w:val="20"/>
          <w:vertAlign w:val="subscript"/>
        </w:rPr>
        <w:t xml:space="preserve">w</w:t>
      </w:r>
      <w:r>
        <w:rPr>
          <w:sz w:val="20"/>
          <w:szCs w:val="20"/>
        </w:rPr>
        <w:t xml:space="preserve">平均皆為0.999，也就是視窗內的感測器變動幾乎完全來自工況切換。經工況感知z-score後，平均η²</w:t>
      </w:r>
      <w:r>
        <w:rPr>
          <w:sz w:val="20"/>
          <w:szCs w:val="20"/>
          <w:vertAlign w:val="subscript"/>
        </w:rPr>
        <w:t xml:space="preserve">w</w:t>
      </w:r>
      <w:r>
        <w:rPr>
          <w:sz w:val="20"/>
          <w:szCs w:val="20"/>
        </w:rPr>
        <w:t xml:space="preserve">降至0.212（FD002）與0.223（FD004）。同時，感測器與RUL的平均|ρ|由0.114提高至0.497（FD002），由0.112提高至0.403（FD004）。這表示在未處理工況時，DAST的時間步編碼器所看到的相鄰時間步差異主要反映工況切換，而非退化；工況感知正規化則使退化趨勢在輸入中顯現。</w:t>
      </w:r>
    </w:p>
    <w:p>
      <w:pPr>
        <w:spacing w:after="60" w:line="240"/>
        <w:ind w:firstLine="400"/>
        <w:jc w:val="both"/>
      </w:pPr>
      <w:r>
        <w:rPr>
          <w:sz w:val="20"/>
          <w:szCs w:val="20"/>
        </w:rPr>
        <w:t xml:space="preserve">有三點需要說明。第一，若以全體資料而非個別視窗計算，工況感知正規化後的組間變異依定義即為零，因此本文只以視窗層級指標作為證據。第二，s8與s13在正規化後仍有約0.6的η²</w:t>
      </w:r>
      <w:r>
        <w:rPr>
          <w:sz w:val="20"/>
          <w:szCs w:val="20"/>
          <w:vertAlign w:val="subscript"/>
        </w:rPr>
        <w:t xml:space="preserve">w</w:t>
      </w:r>
      <w:r>
        <w:rPr>
          <w:sz w:val="20"/>
          <w:szCs w:val="20"/>
        </w:rPr>
        <w:t xml:space="preserve">（FD002為0.640與0.642，FD004為0.607與0.615），可能表示這兩個感測器的退化程度與工況之間存在交互作用。第三，FD004的s7、s12、s15、s20、s21在正規化後的|ρ|仍只有0.06至0.12；由圖2可見s12在正規化後呈現兩種不同的走向，推測與FD004的兩種故障模式有關。後兩點仍待進一步驗證。</w:t>
      </w:r>
    </w:p>
    <w:p>
      <w:pPr>
        <w:spacing w:after="60" w:before="120"/>
      </w:pPr>
      <w:r>
        <w:rPr>
          <w:b/>
          <w:bCs/>
          <w:sz w:val="20"/>
          <w:szCs w:val="20"/>
        </w:rPr>
        <w:t xml:space="preserve">5.2 正規化方式之比較（RQ2）</w:t>
      </w:r>
    </w:p>
    <w:p>
      <w:pPr>
        <w:spacing w:after="60" w:line="240"/>
        <w:ind w:firstLine="400"/>
        <w:jc w:val="both"/>
      </w:pPr>
      <w:r>
        <w:rPr>
          <w:sz w:val="20"/>
          <w:szCs w:val="20"/>
          <w:highlight w:val="yellow"/>
        </w:rPr>
        <w:t xml:space="preserve">【待補實驗：FD002與FD004 × {全域min-max、全域z-score、工況感知z-score} × 5個隨機種子，關閉梯度裁切與暖身，其餘協定同第4節；另以FD001與FD003作為單工況對照，在該兩個資料集上工況感知z-score與全域z-score在數學上等價。】</w:t>
      </w:r>
    </w:p>
    <w:p>
      <w:pPr>
        <w:spacing w:after="120" w:before="60"/>
        <w:jc w:val="center"/>
      </w:pPr>
      <w:r>
        <w:rPr>
          <w:sz w:val="18"/>
          <w:szCs w:val="18"/>
        </w:rPr>
        <w:t xml:space="preserve">表3. 不同正規化方式在保留引擎上的預測結果（平均 ± 標準差）</w:t>
      </w:r>
    </w:p>
    <w:tbl>
      <w:tblPr>
        <w:tblW w:type="dxa" w:w="4322"/>
        <w:tblBorders>
          <w:top w:val="single" w:color="auto" w:sz="4"/>
          <w:left w:val="single" w:color="auto" w:sz="4"/>
          <w:bottom w:val="single" w:color="auto" w:sz="4"/>
          <w:right w:val="single" w:color="auto" w:sz="4"/>
          <w:insideH w:val="single" w:color="auto" w:sz="4"/>
          <w:insideV w:val="single" w:color="auto" w:sz="4"/>
        </w:tblBorders>
      </w:tblPr>
      <w:tblGrid>
        <w:gridCol w:w="1300"/>
        <w:gridCol w:w="755"/>
        <w:gridCol w:w="755"/>
        <w:gridCol w:w="755"/>
        <w:gridCol w:w="757"/>
      </w:tblGrid>
      <w:tr>
        <w:tc>
          <w:tcPr>
            <w:tcW w:type="dxa" w:w="13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b/>
                <w:bCs/>
                <w:sz w:val="16"/>
                <w:szCs w:val="16"/>
              </w:rPr>
              <w:t xml:space="preserve">正規化方式</w:t>
            </w:r>
          </w:p>
        </w:tc>
        <w:tc>
          <w:tcPr>
            <w:tcW w:type="dxa" w:w="755"/>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b/>
                <w:bCs/>
                <w:sz w:val="16"/>
                <w:szCs w:val="16"/>
              </w:rPr>
              <w:t xml:space="preserve">FD002 RMSE</w:t>
            </w:r>
          </w:p>
        </w:tc>
        <w:tc>
          <w:tcPr>
            <w:tcW w:type="dxa" w:w="755"/>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b/>
                <w:bCs/>
                <w:sz w:val="16"/>
                <w:szCs w:val="16"/>
              </w:rPr>
              <w:t xml:space="preserve">FD002 Score</w:t>
            </w:r>
          </w:p>
        </w:tc>
        <w:tc>
          <w:tcPr>
            <w:tcW w:type="dxa" w:w="755"/>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b/>
                <w:bCs/>
                <w:sz w:val="16"/>
                <w:szCs w:val="16"/>
              </w:rPr>
              <w:t xml:space="preserve">FD004 RMSE</w:t>
            </w:r>
          </w:p>
        </w:tc>
        <w:tc>
          <w:tcPr>
            <w:tcW w:type="dxa" w:w="757"/>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b/>
                <w:bCs/>
                <w:sz w:val="16"/>
                <w:szCs w:val="16"/>
              </w:rPr>
              <w:t xml:space="preserve">FD004 Score</w:t>
            </w:r>
          </w:p>
        </w:tc>
      </w:tr>
      <w:tr>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全域min-max（DAST原文）</w:t>
            </w:r>
          </w:p>
        </w:tc>
        <w:tc>
          <w:tcPr>
            <w:tcW w:type="dxa" w:w="7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highlight w:val="yellow"/>
              </w:rPr>
              <w:t xml:space="preserve">【—】</w:t>
            </w:r>
          </w:p>
        </w:tc>
        <w:tc>
          <w:tcPr>
            <w:tcW w:type="dxa" w:w="7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highlight w:val="yellow"/>
              </w:rPr>
              <w:t xml:space="preserve">【—】</w:t>
            </w:r>
          </w:p>
        </w:tc>
        <w:tc>
          <w:tcPr>
            <w:tcW w:type="dxa" w:w="7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highlight w:val="yellow"/>
              </w:rPr>
              <w:t xml:space="preserve">【—】</w:t>
            </w:r>
          </w:p>
        </w:tc>
        <w:tc>
          <w:tcPr>
            <w:tcW w:type="dxa" w:w="757"/>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highlight w:val="yellow"/>
              </w:rPr>
              <w:t xml:space="preserve">【—】</w:t>
            </w:r>
          </w:p>
        </w:tc>
      </w:tr>
      <w:tr>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全域z-score</w:t>
            </w:r>
          </w:p>
        </w:tc>
        <w:tc>
          <w:tcPr>
            <w:tcW w:type="dxa" w:w="7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highlight w:val="yellow"/>
              </w:rPr>
              <w:t xml:space="preserve">【—】</w:t>
            </w:r>
          </w:p>
        </w:tc>
        <w:tc>
          <w:tcPr>
            <w:tcW w:type="dxa" w:w="7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highlight w:val="yellow"/>
              </w:rPr>
              <w:t xml:space="preserve">【—】</w:t>
            </w:r>
          </w:p>
        </w:tc>
        <w:tc>
          <w:tcPr>
            <w:tcW w:type="dxa" w:w="7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highlight w:val="yellow"/>
              </w:rPr>
              <w:t xml:space="preserve">【—】</w:t>
            </w:r>
          </w:p>
        </w:tc>
        <w:tc>
          <w:tcPr>
            <w:tcW w:type="dxa" w:w="757"/>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highlight w:val="yellow"/>
              </w:rPr>
              <w:t xml:space="preserve">【—】</w:t>
            </w:r>
          </w:p>
        </w:tc>
      </w:tr>
      <w:tr>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工況感知z-score</w:t>
            </w:r>
          </w:p>
        </w:tc>
        <w:tc>
          <w:tcPr>
            <w:tcW w:type="dxa" w:w="7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highlight w:val="yellow"/>
              </w:rPr>
              <w:t xml:space="preserve">【—】</w:t>
            </w:r>
          </w:p>
        </w:tc>
        <w:tc>
          <w:tcPr>
            <w:tcW w:type="dxa" w:w="7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highlight w:val="yellow"/>
              </w:rPr>
              <w:t xml:space="preserve">【—】</w:t>
            </w:r>
          </w:p>
        </w:tc>
        <w:tc>
          <w:tcPr>
            <w:tcW w:type="dxa" w:w="755"/>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highlight w:val="yellow"/>
              </w:rPr>
              <w:t xml:space="preserve">【—】</w:t>
            </w:r>
          </w:p>
        </w:tc>
        <w:tc>
          <w:tcPr>
            <w:tcW w:type="dxa" w:w="757"/>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highlight w:val="yellow"/>
              </w:rPr>
              <w:t xml:space="preserve">【—】</w:t>
            </w:r>
          </w:p>
        </w:tc>
      </w:tr>
    </w:tbl>
    <w:p>
      <w:pPr>
        <w:spacing w:after="60" w:line="240"/>
        <w:ind w:firstLine="400"/>
        <w:jc w:val="both"/>
      </w:pPr>
      <w:r>
        <w:rPr>
          <w:sz w:val="20"/>
          <w:szCs w:val="20"/>
          <w:highlight w:val="yellow"/>
        </w:rPr>
        <w:t xml:space="preserve">【結果敘述待補：報告平均值與標準差，以及工況感知z-score相對於全域z-score的配對差值；5個種子不足以進行顯著性檢定，只描述平均差異。】</w:t>
      </w:r>
    </w:p>
    <w:p>
      <w:pPr>
        <w:spacing w:after="60" w:before="120"/>
      </w:pPr>
      <w:r>
        <w:rPr>
          <w:b/>
          <w:bCs/>
          <w:sz w:val="20"/>
          <w:szCs w:val="20"/>
        </w:rPr>
        <w:t xml:space="preserve">5.3 學習率暖身與梯度裁切的敏感度（RQ3）</w:t>
      </w:r>
    </w:p>
    <w:p>
      <w:pPr>
        <w:spacing w:after="120" w:before="60"/>
        <w:jc w:val="center"/>
      </w:pPr>
      <w:r>
        <w:rPr>
          <w:sz w:val="18"/>
          <w:szCs w:val="18"/>
        </w:rPr>
        <w:t xml:space="preserve">表4. 工況感知z-score下不同梯度裁切門檻c與暖身長度w的保留集RMSE（3個種子，平均 ± 標準差）</w:t>
      </w:r>
    </w:p>
    <w:tbl>
      <w:tblPr>
        <w:tblW w:type="dxa" w:w="4322"/>
        <w:tblBorders>
          <w:top w:val="single" w:color="auto" w:sz="4"/>
          <w:left w:val="single" w:color="auto" w:sz="4"/>
          <w:bottom w:val="single" w:color="auto" w:sz="4"/>
          <w:right w:val="single" w:color="auto" w:sz="4"/>
          <w:insideH w:val="single" w:color="auto" w:sz="4"/>
          <w:insideV w:val="single" w:color="auto" w:sz="4"/>
        </w:tblBorders>
      </w:tblPr>
      <w:tblGrid>
        <w:gridCol w:w="900"/>
        <w:gridCol w:w="1140"/>
        <w:gridCol w:w="1140"/>
        <w:gridCol w:w="1142"/>
      </w:tblGrid>
      <w:tr>
        <w:tc>
          <w:tcPr>
            <w:tcW w:type="dxa" w:w="9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b/>
                <w:bCs/>
                <w:sz w:val="16"/>
                <w:szCs w:val="16"/>
              </w:rPr>
              <w:t xml:space="preserve">c \ w</w:t>
            </w:r>
          </w:p>
        </w:tc>
        <w:tc>
          <w:tcPr>
            <w:tcW w:type="dxa" w:w="114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b/>
                <w:bCs/>
                <w:sz w:val="16"/>
                <w:szCs w:val="16"/>
              </w:rPr>
              <w:t xml:space="preserve">w = 5</w:t>
            </w:r>
          </w:p>
        </w:tc>
        <w:tc>
          <w:tcPr>
            <w:tcW w:type="dxa" w:w="114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b/>
                <w:bCs/>
                <w:sz w:val="16"/>
                <w:szCs w:val="16"/>
              </w:rPr>
              <w:t xml:space="preserve">w = 10</w:t>
            </w:r>
          </w:p>
        </w:tc>
        <w:tc>
          <w:tcPr>
            <w:tcW w:type="dxa" w:w="1142"/>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b/>
                <w:bCs/>
                <w:sz w:val="16"/>
                <w:szCs w:val="16"/>
              </w:rPr>
              <w:t xml:space="preserve">w = 15</w:t>
            </w:r>
          </w:p>
        </w:tc>
      </w:tr>
      <w:tr>
        <w:tc>
          <w:tcPr>
            <w:tcW w:type="dxa" w:w="4322"/>
            <w:gridSpan w:val="4"/>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b/>
                <w:bCs/>
                <w:sz w:val="16"/>
                <w:szCs w:val="16"/>
              </w:rPr>
              <w:t xml:space="preserve">FD002</w:t>
            </w:r>
          </w:p>
        </w:tc>
      </w:tr>
      <w:tr>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0.5</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14.04 ± 0.28</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13.46 ± 0.37</w:t>
            </w:r>
          </w:p>
        </w:tc>
        <w:tc>
          <w:tcPr>
            <w:tcW w:type="dxa" w:w="114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14.13 ± 0.23</w:t>
            </w:r>
          </w:p>
        </w:tc>
      </w:tr>
      <w:tr>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14.21 ± 0.33</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14.21 ± 0.11</w:t>
            </w:r>
          </w:p>
        </w:tc>
        <w:tc>
          <w:tcPr>
            <w:tcW w:type="dxa" w:w="114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14.10 ± 0.61</w:t>
            </w:r>
          </w:p>
        </w:tc>
      </w:tr>
      <w:tr>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2</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14.38 ± 0.41</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13.89 ± 0.48</w:t>
            </w:r>
          </w:p>
        </w:tc>
        <w:tc>
          <w:tcPr>
            <w:tcW w:type="dxa" w:w="114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13.99 ± 0.38</w:t>
            </w:r>
          </w:p>
        </w:tc>
      </w:tr>
      <w:tr>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5</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13.83 ± 0.70†</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14.19 ± 0.22</w:t>
            </w:r>
          </w:p>
        </w:tc>
        <w:tc>
          <w:tcPr>
            <w:tcW w:type="dxa" w:w="114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13.57 ± 0.52</w:t>
            </w:r>
          </w:p>
        </w:tc>
      </w:tr>
      <w:tr>
        <w:tc>
          <w:tcPr>
            <w:tcW w:type="dxa" w:w="4322"/>
            <w:gridSpan w:val="4"/>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b/>
                <w:bCs/>
                <w:sz w:val="16"/>
                <w:szCs w:val="16"/>
              </w:rPr>
              <w:t xml:space="preserve">FD004</w:t>
            </w:r>
          </w:p>
        </w:tc>
      </w:tr>
      <w:tr>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0.5</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15.31 ± 0.54</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15.35 ± 0.29</w:t>
            </w:r>
          </w:p>
        </w:tc>
        <w:tc>
          <w:tcPr>
            <w:tcW w:type="dxa" w:w="114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15.65 ± 0.41</w:t>
            </w:r>
          </w:p>
        </w:tc>
      </w:tr>
      <w:tr>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15.40 ± 0.22</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15.32 ± 0.71</w:t>
            </w:r>
          </w:p>
        </w:tc>
        <w:tc>
          <w:tcPr>
            <w:tcW w:type="dxa" w:w="114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15.18 ± 0.38</w:t>
            </w:r>
          </w:p>
        </w:tc>
      </w:tr>
      <w:tr>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2</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15.24 ± 0.13</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15.52 ± 0.32</w:t>
            </w:r>
          </w:p>
        </w:tc>
        <w:tc>
          <w:tcPr>
            <w:tcW w:type="dxa" w:w="114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15.74 ± 0.43</w:t>
            </w:r>
          </w:p>
        </w:tc>
      </w:tr>
      <w:tr>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5</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14.98 ± 0.24†</w:t>
            </w:r>
          </w:p>
        </w:tc>
        <w:tc>
          <w:tcPr>
            <w:tcW w:type="dxa" w:w="114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15.23 ± 0.52</w:t>
            </w:r>
          </w:p>
        </w:tc>
        <w:tc>
          <w:tcPr>
            <w:tcW w:type="dxa" w:w="114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sz w:val="16"/>
                <w:szCs w:val="16"/>
              </w:rPr>
              <w:t xml:space="preserve">15.04 ± 0.11</w:t>
            </w:r>
          </w:p>
        </w:tc>
      </w:tr>
    </w:tbl>
    <w:p>
      <w:pPr>
        <w:spacing w:after="120" w:before="40"/>
      </w:pPr>
      <w:r>
        <w:rPr>
          <w:sz w:val="16"/>
          <w:szCs w:val="16"/>
        </w:rPr>
        <w:t xml:space="preserve">註：† 表示依驗證RMSE選出的設定。</w:t>
      </w:r>
    </w:p>
    <w:p>
      <w:pPr>
        <w:spacing w:after="60" w:line="240"/>
        <w:ind w:firstLine="400"/>
        <w:jc w:val="both"/>
      </w:pPr>
      <w:r>
        <w:rPr>
          <w:sz w:val="20"/>
          <w:szCs w:val="20"/>
        </w:rPr>
        <w:t xml:space="preserve">表4列出在工況感知z-score下，12組梯度裁切門檻與暖身長度組合在保留引擎上的RMSE。FD002各組合的平均RMSE介於13.46至14.38，FD004介於14.98至15.74；同一組合在不同種子之間的標準差為0.11至0.71。組合之間的差距約為種子間標準差的1至2倍，且沒有任何組合在兩個資料集上皆為最佳：FD002的最低平均值出現在c = 0.5、w = 10，FD004則為c = 5、w = 5。以邊際平均觀察，FD004在c = 5時的平均為15.08，低於其他門檻（15.30至15.50）；但在FD002，c = 0.5與c = 5的邊際平均相近（13.88與13.86）。暖身長度的邊際平均在FD002依w = 5、10、15分別為14.12、13.94、13.95，在FD004則為15.23、15.35、15.40，兩個資料集的方向並不一致。</w:t>
      </w:r>
    </w:p>
    <w:p>
      <w:pPr>
        <w:spacing w:after="60" w:line="240"/>
        <w:ind w:firstLine="400"/>
        <w:jc w:val="both"/>
      </w:pPr>
      <w:r>
        <w:rPr>
          <w:sz w:val="20"/>
          <w:szCs w:val="20"/>
        </w:rPr>
        <w:t xml:space="preserve">若依驗證RMSE選擇設定，兩個資料集都會選出c = 5、w = 5，其保留集RMSE分別為13.83 ± 0.70（FD002）與14.98 ± 0.24（FD004），NASA Score分別為4.74 ± 2.05與16.43 ± 2.16。整體而言，在工況感知正規化之下，DAST對梯度裁切門檻與暖身長度的選擇相對不敏感，本實驗未觀察到一致的額外效益。需要注意的是，此網格中梯度裁切與暖身皆為開啟狀態，缺少兩者皆關閉的對照，也未記錄梯度範數等訓練過程指標，因此本文不據此推論兩者對訓練穩定性的影響。</w:t>
      </w:r>
      <w:r>
        <w:rPr>
          <w:sz w:val="20"/>
          <w:szCs w:val="20"/>
          <w:highlight w:val="yellow"/>
        </w:rPr>
        <w:t xml:space="preserve">【可補充：RAdam的設計即在降低訓練初期自適應學習率的變異，可能減少暖身的邊際效益；需補RAdam原始文獻，否則刪除本句。】</w:t>
      </w:r>
    </w:p>
    <w:p>
      <w:pPr>
        <w:spacing w:after="60" w:before="120"/>
      </w:pPr>
      <w:r>
        <w:rPr>
          <w:b/>
          <w:bCs/>
          <w:sz w:val="20"/>
          <w:szCs w:val="20"/>
        </w:rPr>
        <w:t xml:space="preserve">5.4 研究限制</w:t>
      </w:r>
    </w:p>
    <w:p>
      <w:pPr>
        <w:spacing w:after="60" w:line="240"/>
        <w:ind w:firstLine="400"/>
        <w:jc w:val="both"/>
      </w:pPr>
      <w:r>
        <w:rPr>
          <w:sz w:val="20"/>
          <w:szCs w:val="20"/>
        </w:rPr>
        <w:t xml:space="preserve">本研究有以下限制。第一，C-MAPSS為模擬資料，結果能否推廣至實際設備仍待驗證。第二，本研究只使用DAST一種架構。第三，保留集僅有39台（FD002）與38台（FD004）引擎，每個設定只有3個隨機種子，因此只報告描述性統計，未進行顯著性檢定。第四，本文未使用官方測試集，也不與文獻數值直接比較。第五，本研究早期曾以官方測試集選擇epoch進行探索性實驗，該批結果未納入本文的主要結果。</w:t>
      </w:r>
    </w:p>
    <w:p>
      <w:pPr>
        <w:spacing w:after="100" w:before="200"/>
        <w:jc w:val="center"/>
      </w:pPr>
      <w:r>
        <w:rPr>
          <w:b/>
          <w:bCs/>
          <w:sz w:val="22"/>
          <w:szCs w:val="22"/>
        </w:rPr>
        <w:t xml:space="preserve">6. 結論</w:t>
      </w:r>
    </w:p>
    <w:p>
      <w:pPr>
        <w:spacing w:after="60" w:line="240"/>
        <w:ind w:firstLine="400"/>
        <w:jc w:val="both"/>
      </w:pPr>
      <w:r>
        <w:rPr>
          <w:sz w:val="20"/>
          <w:szCs w:val="20"/>
        </w:rPr>
        <w:t xml:space="preserve">本研究在固定DAST架構的前提下，探討多操作工況對RUL預測輸入的影響。針對RQ1，在FD002與FD004中，工況切換幾乎完全主導視窗內的感測器變異，而全域正規化因屬仿射轉換無法移除此影響；工況感知z-score正規化後，工況解釋的變異大幅降低，感測器與RUL的相關性明顯提高。</w:t>
      </w:r>
      <w:r>
        <w:rPr>
          <w:sz w:val="20"/>
          <w:szCs w:val="20"/>
          <w:highlight w:val="yellow"/>
        </w:rPr>
        <w:t xml:space="preserve">【RQ2結論待補實驗後撰寫。】</w:t>
      </w:r>
      <w:r>
        <w:rPr>
          <w:sz w:val="20"/>
          <w:szCs w:val="20"/>
        </w:rPr>
        <w:t xml:space="preserve">針對RQ3，在工況感知正規化之下，梯度裁切門檻與暖身長度的選擇對保留集RMSE的影響與種子間變異相當，未呈現一致的額外效益。未來將以官方測試集、更多隨機種子、依工況分群的min-max正規化對照與更多模型架構進一步驗證。</w:t>
      </w:r>
    </w:p>
    <w:p>
      <w:pPr>
        <w:spacing w:after="100" w:before="200"/>
        <w:jc w:val="center"/>
      </w:pPr>
      <w:r>
        <w:rPr>
          <w:b/>
          <w:bCs/>
          <w:sz w:val="22"/>
          <w:szCs w:val="22"/>
        </w:rPr>
        <w:t xml:space="preserve">參考文獻</w:t>
      </w:r>
    </w:p>
    <w:p>
      <w:pPr>
        <w:spacing w:after="40"/>
        <w:ind w:left="300" w:hanging="300"/>
        <w:jc w:val="left"/>
      </w:pPr>
      <w:r>
        <w:rPr>
          <w:sz w:val="18"/>
          <w:szCs w:val="18"/>
        </w:rPr>
        <w:t xml:space="preserve">1. Cheng, Y., C. Wang, J. Wu, H. Zhu, and C.K.M. Lee, “Multi-dimensional recurrent neural network for remaining useful life prediction under variable operating conditions and multiple fault modes,” Applied Soft Computing, 118, 108507 (2022).</w:t>
      </w:r>
    </w:p>
    <w:p>
      <w:pPr>
        <w:spacing w:after="40"/>
        <w:ind w:left="300" w:hanging="300"/>
        <w:jc w:val="left"/>
      </w:pPr>
      <w:r>
        <w:rPr>
          <w:sz w:val="18"/>
          <w:szCs w:val="18"/>
        </w:rPr>
        <w:t xml:space="preserve">2. de Pater, I. and M. Mitici, “Developing health indicators and RUL prognostics for systems with few failure instances and varying operating conditions using a LSTM autoencoder,” Engineering Applications of Artificial Intelligence, 117, 105582 (2023).</w:t>
      </w:r>
    </w:p>
    <w:p>
      <w:pPr>
        <w:spacing w:after="40"/>
        <w:ind w:left="300" w:hanging="300"/>
        <w:jc w:val="left"/>
      </w:pPr>
      <w:r>
        <w:rPr>
          <w:sz w:val="18"/>
          <w:szCs w:val="18"/>
        </w:rPr>
        <w:t xml:space="preserve">3. Huang, Z., Y. He, and B. Sick, “Spatio-temporal attention graph neural network for remaining useful life prediction,” Proceedings of the 2023 International Conference on Computational Science and Computational Intelligence (CSCI), </w:t>
      </w:r>
      <w:r>
        <w:rPr>
          <w:sz w:val="18"/>
          <w:szCs w:val="18"/>
          <w:highlight w:val="yellow"/>
        </w:rPr>
        <w:t xml:space="preserve">【頁碼待補】</w:t>
      </w:r>
      <w:r>
        <w:rPr>
          <w:sz w:val="18"/>
          <w:szCs w:val="18"/>
        </w:rPr>
        <w:t xml:space="preserve"> (2023).</w:t>
      </w:r>
    </w:p>
    <w:p>
      <w:pPr>
        <w:spacing w:after="40"/>
        <w:ind w:left="300" w:hanging="300"/>
        <w:jc w:val="left"/>
      </w:pPr>
      <w:r>
        <w:rPr>
          <w:sz w:val="18"/>
          <w:szCs w:val="18"/>
        </w:rPr>
        <w:t xml:space="preserve">4. MP, P.K., Z.-J. Gao, and K.-C. Chen, “Time series-based sensor selection and lightweight neural architecture search for RUL estimation in future Industry 4.0,” IEEE Journal on Emerging and Selected Topics in Circuits and Systems, 13(2), 514-</w:t>
      </w:r>
      <w:r>
        <w:rPr>
          <w:sz w:val="18"/>
          <w:szCs w:val="18"/>
          <w:highlight w:val="yellow"/>
        </w:rPr>
        <w:t xml:space="preserve">【末頁待補】</w:t>
      </w:r>
      <w:r>
        <w:rPr>
          <w:sz w:val="18"/>
          <w:szCs w:val="18"/>
        </w:rPr>
        <w:t xml:space="preserve"> (2023).</w:t>
      </w:r>
    </w:p>
    <w:p>
      <w:pPr>
        <w:spacing w:after="40"/>
        <w:ind w:left="300" w:hanging="300"/>
        <w:jc w:val="left"/>
      </w:pPr>
      <w:r>
        <w:rPr>
          <w:sz w:val="18"/>
          <w:szCs w:val="18"/>
        </w:rPr>
        <w:t xml:space="preserve">5. Ramasso, E. and A. Saxena, “Performance benchmarking and analysis of prognostic methods for CMAPSS datasets,” International Journal of Prognostics and Health Management, 5(2), 1-15 (2014).</w:t>
      </w:r>
    </w:p>
    <w:p>
      <w:pPr>
        <w:spacing w:after="40"/>
        <w:ind w:left="300" w:hanging="300"/>
        <w:jc w:val="left"/>
      </w:pPr>
      <w:r>
        <w:rPr>
          <w:sz w:val="18"/>
          <w:szCs w:val="18"/>
        </w:rPr>
        <w:t xml:space="preserve">6. Saxena, A., K. Goebel, D. Simon, and N. Eklund, “Damage propagation modeling for aircraft engine run-to-failure simulation,” Proceedings of the International Conference on Prognostics and Health Management, 1-9 (2008).</w:t>
      </w:r>
    </w:p>
    <w:p>
      <w:pPr>
        <w:spacing w:after="40"/>
        <w:ind w:left="300" w:hanging="300"/>
        <w:jc w:val="left"/>
      </w:pPr>
      <w:r>
        <w:rPr>
          <w:sz w:val="18"/>
          <w:szCs w:val="18"/>
        </w:rPr>
        <w:t xml:space="preserve">7. Vaswani, A., N. Shazeer, N. Parmar, J. Uszkoreit, L. Jones, A.N. Gomez, Ł. Kaiser, and I. Polosukhin, “Attention is all you need,” Advances in Neural Information Processing Systems, 30 (2017).</w:t>
      </w:r>
    </w:p>
    <w:p>
      <w:pPr>
        <w:spacing w:after="40"/>
        <w:ind w:left="300" w:hanging="300"/>
        <w:jc w:val="left"/>
      </w:pPr>
      <w:r>
        <w:rPr>
          <w:sz w:val="18"/>
          <w:szCs w:val="18"/>
        </w:rPr>
        <w:t xml:space="preserve">8. Wang, Y., M. Ragab, Y. Hou, Z. Chen, M. Wu, and X. Li, “Deep domain adaptation for turbofan engine remaining useful life prediction: methodologies, evaluation and future trends,” arXiv preprint, arXiv:2510.03604 (2025).</w:t>
      </w:r>
    </w:p>
    <w:p>
      <w:pPr>
        <w:spacing w:after="40"/>
        <w:ind w:left="300" w:hanging="300"/>
        <w:jc w:val="left"/>
      </w:pPr>
      <w:r>
        <w:rPr>
          <w:sz w:val="18"/>
          <w:szCs w:val="18"/>
        </w:rPr>
        <w:t xml:space="preserve">9. Zhang, Z., W. Song, and Q. Li, “Dual-aspect self-attention based on transformer for remaining useful life prediction,” IEEE Transactions on Instrumentation and Measurement, 71, 2505711 (2022).</w:t>
      </w:r>
    </w:p>
    <w:p>
      <w:pPr>
        <w:sectPr>
          <w:type w:val="continuous"/>
          <w:pgSz w:w="11906" w:h="16838" w:orient="portrait"/>
          <w:pgMar w:top="1418" w:right="1418" w:bottom="1418" w:left="1418" w:header="708" w:footer="708" w:gutter="0"/>
          <w:pgNumType/>
          <w:cols w:space="425" w:num="2"/>
          <w:docGrid w:linePitch="360"/>
        </w:sectPr>
      </w:pPr>
    </w:p>
    <w:p>
      <w:pPr>
        <w:spacing w:after="120"/>
        <w:jc w:val="center"/>
      </w:pPr>
      <w:r>
        <w:rPr>
          <w:b/>
          <w:bCs/>
          <w:sz w:val="28"/>
          <w:szCs w:val="28"/>
        </w:rPr>
        <w:t xml:space="preserve">Effect of Operating-Condition-Aware Normalization on DAST-Based Remaining Useful Life Prediction under Multiple Operating Conditions</w:t>
      </w:r>
    </w:p>
    <w:p>
      <w:pPr>
        <w:jc w:val="center"/>
      </w:pPr>
      <w:r>
        <w:rPr>
          <w:sz w:val="24"/>
          <w:szCs w:val="24"/>
          <w:highlight w:val="yellow"/>
        </w:rPr>
        <w:t xml:space="preserve">【Author Name】</w:t>
      </w:r>
      <w:r>
        <w:rPr>
          <w:sz w:val="24"/>
          <w:szCs w:val="24"/>
        </w:rPr>
        <w:t xml:space="preserve">*</w:t>
      </w:r>
    </w:p>
    <w:p>
      <w:pPr>
        <w:jc w:val="center"/>
      </w:pPr>
      <w:r>
        <w:rPr>
          <w:sz w:val="24"/>
          <w:szCs w:val="24"/>
          <w:highlight w:val="yellow"/>
        </w:rPr>
        <w:t xml:space="preserve">【Affiliation and address】</w:t>
      </w:r>
    </w:p>
    <w:p>
      <w:pPr>
        <w:spacing w:after="200"/>
        <w:jc w:val="center"/>
      </w:pPr>
      <w:r>
        <w:rPr>
          <w:sz w:val="24"/>
          <w:szCs w:val="24"/>
        </w:rPr>
        <w:t xml:space="preserve">*Corresponding author’s e-mail: </w:t>
      </w:r>
      <w:r>
        <w:rPr>
          <w:sz w:val="24"/>
          <w:szCs w:val="24"/>
          <w:highlight w:val="yellow"/>
        </w:rPr>
        <w:t xml:space="preserve">【to be completed】</w:t>
      </w:r>
    </w:p>
    <w:p>
      <w:pPr>
        <w:spacing w:after="100" w:before="200"/>
        <w:jc w:val="center"/>
      </w:pPr>
      <w:r>
        <w:rPr>
          <w:b/>
          <w:bCs/>
          <w:sz w:val="22"/>
          <w:szCs w:val="22"/>
        </w:rPr>
        <w:t xml:space="preserve">ABSTRACT</w:t>
      </w:r>
    </w:p>
    <w:p>
      <w:pPr>
        <w:spacing w:after="60" w:line="240"/>
        <w:jc w:val="both"/>
      </w:pPr>
      <w:r>
        <w:rPr>
          <w:sz w:val="20"/>
          <w:szCs w:val="20"/>
        </w:rPr>
        <w:t xml:space="preserve">Sensor measurements of aero-engines operating under multiple conditions reflect both degradation and operating context, which makes data-driven remaining useful life (RUL) prediction difficult. Using the NASA C-MAPSS dataset and the Dual-Aspect Self-Attention Transformer (DAST), this study examines operating-condition-aware normalization while keeping the model architecture unchanged. Operating conditions are identified by K-means clustering of the operating settings of training engines, and sensor-wise z-score normalization is applied within each condition. All statistics are estimated from training engines only, and models are selected on engine-disjoint validation engines. In FD002 and FD004, operating-condition switching explains about 99.9% of the sensor variance within a 40-cycle window, a proportion that global normalization cannot change; after condition-aware normalization it drops to 0.21–0.22, and the mean absolute correlation between sensors and RUL rises from about 0.11 to above 0.40. </w:t>
      </w:r>
      <w:r>
        <w:rPr>
          <w:sz w:val="20"/>
          <w:szCs w:val="20"/>
          <w:highlight w:val="yellow"/>
        </w:rPr>
        <w:t xml:space="preserve">【RQ2 results to be added.】</w:t>
      </w:r>
      <w:r>
        <w:rPr>
          <w:sz w:val="20"/>
          <w:szCs w:val="20"/>
        </w:rPr>
        <w:t xml:space="preserve"> Under condition-aware normalization, differences in holdout RMSE across 12 gradient-clipping and learning-rate-warmup settings are about one to two times the seed-to-seed standard deviation, showing no consistent additional benefit.</w:t>
      </w:r>
    </w:p>
    <w:p>
      <w:pPr>
        <w:spacing w:after="60" w:line="240"/>
        <w:jc w:val="both"/>
      </w:pPr>
      <w:r>
        <w:rPr>
          <w:sz w:val="20"/>
          <w:szCs w:val="20"/>
        </w:rPr>
        <w:t xml:space="preserve">Keywords: remaining useful life, predictive maintenance, operating condition, normalization, Transformer</w:t>
      </w:r>
    </w:p>
    <w:sectPr>
      <w:type w:val="nextPage"/>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dddc20fc508d5ae105f611cbac1fcd02a9a1bbad.png"/><Relationship Id="rId8" Type="http://schemas.openxmlformats.org/officeDocument/2006/relationships/image" Target="media/925f0021dad351923ceda17530ea69e73d00ade2.png"/><Relationship Id="rId9" Type="http://schemas.openxmlformats.org/officeDocument/2006/relationships/image" Target="media/055d852d8145349de32c96d6136d6a99c476130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2026-09-30T21:28:49.508Z</dcterms:created>
  <dcterms:modified xsi:type="dcterms:W3CDTF">2026-09-30T21:28:49.510Z</dcterms:modified>
</cp:coreProperties>
</file>

<file path=docProps/custom.xml><?xml version="1.0" encoding="utf-8"?>
<Properties xmlns="http://schemas.openxmlformats.org/officeDocument/2006/custom-properties" xmlns:vt="http://schemas.openxmlformats.org/officeDocument/2006/docPropsVTypes"/>
</file>