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3.3 집계 특징 (Aggregate Features)</w:t>
      </w:r>
    </w:p>
    <w:p>
      <w:pPr>
        <w:spacing w:after="120"/>
      </w:pPr>
      <w:r>
        <w:rPr>
          <w:rFonts w:ascii="Times New Roman" w:hAnsi="Times New Roman"/>
          <w:sz w:val="20"/>
        </w:rPr>
        <w:t>4개 에이전트의 전반적인 합의 상태를 포착하는 5차원 집계 특징 벡터 φ_agg ∈ ℝ⁵를 정의한다. 에이전트 인덱스 집합 ℐ = {1, 2, 3, 4}, 판정 클래스 집합 𝑉 = {authentic, manipulated, ai_generated, uncertain}, 에이전트 i의 신뢰도 cᵢ ∈ [0, 1], 판정 vᵢ ∈ 𝑉로 표기한다. 에이전트 수 N = 4이다.</w:t>
      </w:r>
    </w:p>
    <w:p/>
    <w:p>
      <w:pPr>
        <w:pStyle w:val="Heading3"/>
        <w:spacing w:before="160" w:after="80"/>
      </w:pPr>
      <w:r>
        <w:t>(1) 신뢰도 분산 (Confidence Variance)</w:t>
      </w:r>
    </w:p>
    <w:p>
      <w:pPr>
        <w:spacing w:after="120"/>
      </w:pPr>
      <w:r>
        <w:rPr>
          <w:rFonts w:ascii="Times New Roman" w:hAnsi="Times New Roman"/>
          <w:sz w:val="20"/>
        </w:rPr>
        <w:t>에이전트 간 신뢰도 cᵢ의 산포 정도를 측정한다. φ_var가 클수록 에이전트들의 확신 수준이 불균일하며, 이는 판정이 어려운 경계 사례(boundary case)임을 시사한다.</w:t>
      </w:r>
    </w:p>
    <w:p>
      <w:pPr>
        <w:spacing w:before="80" w:after="80"/>
        <w:jc w:val="center"/>
      </w:pPr>
      <m:oMathPara>
        <m:oMath>
          <m:sSub>
            <m:e>
              <m:r>
                <m:rPr>
                  <m:sty m:val="i"/>
                </m:rPr>
                <m:t xml:space="preserve">φ</m:t>
              </m:r>
            </m:e>
            <m:sub>
              <m:r>
                <m:rPr>
                  <m:sty m:val="p"/>
                </m:rPr>
                <m:t xml:space="preserve">var</m:t>
              </m:r>
            </m:sub>
          </m:sSub>
          <m:r>
            <m:rPr>
              <m:sty m:val="i"/>
            </m:rPr>
            <m:t xml:space="preserve"> = </m:t>
          </m:r>
          <m:f>
            <m:num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i"/>
                </m:rPr>
                <m:t xml:space="preserve">N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>
                  <m:sty m:val="i"/>
                </m:rPr>
                <m:t xml:space="preserve">i∈ℐ</m:t>
              </m:r>
            </m:sub>
            <m:sup/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rPr>
                              <m:sty m:val="i"/>
                            </m:rPr>
                            <m:t xml:space="preserve">c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i</m:t>
                          </m:r>
                        </m:sub>
                      </m:sSub>
                      <m:r>
                        <m:rPr>
                          <m:sty m:val="i"/>
                        </m:rPr>
                        <m:t xml:space="preserve"> − </m:t>
                      </m:r>
                      <m:r>
                        <m:rPr>
                          <m:sty m:val="i"/>
                        </m:rPr>
                        <m:t xml:space="preserve">c̅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</m:e>
          </m:nary>
        </m:oMath>
      </m:oMathPara>
    </w:p>
    <w:p>
      <w:pPr>
        <w:spacing w:before="80" w:after="80"/>
        <w:jc w:val="center"/>
      </w:pPr>
      <m:oMathPara>
        <m:oMath>
          <m:r>
            <m:rPr>
              <m:sty m:val="i"/>
            </m:rPr>
            <m:t xml:space="preserve">c̅</m:t>
          </m:r>
          <m:r>
            <m:rPr>
              <m:sty m:val="i"/>
            </m:rPr>
            <m:t xml:space="preserve"> = </m:t>
          </m:r>
          <m:f>
            <m:num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i"/>
                </m:rPr>
                <m:t xml:space="preserve">N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>
                  <m:sty m:val="i"/>
                </m:rPr>
                <m:t xml:space="preserve">i∈ℐ</m:t>
              </m:r>
            </m:sub>
            <m:sup/>
            <m:e>
              <m:sSub>
                <m:e>
                  <m:r>
                    <m:rPr>
                      <m:sty m:val="i"/>
                    </m:rPr>
                    <m:t xml:space="preserve">c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/>
    <w:p>
      <w:pPr>
        <w:pStyle w:val="Heading3"/>
        <w:spacing w:before="160" w:after="80"/>
      </w:pPr>
      <w:r>
        <w:t>(2) 판정 엔트로피 (Verdict Entropy)</w:t>
      </w:r>
    </w:p>
    <w:p>
      <w:pPr>
        <w:spacing w:after="120"/>
      </w:pPr>
      <w:r>
        <w:rPr>
          <w:rFonts w:ascii="Times New Roman" w:hAnsi="Times New Roman"/>
          <w:sz w:val="20"/>
        </w:rPr>
        <w:t>에이전트 판정 분포의 불확실성을 Shannon 엔트로피로 측정한다. 4개 에이전트가 만장일치이면 φ_ent = 0, 판정이 균등 분산될수록 최대값 log₂|𝑉| = 2에 수렴한다.</w:t>
      </w:r>
    </w:p>
    <w:p>
      <w:pPr>
        <w:spacing w:before="80" w:after="80"/>
        <w:jc w:val="center"/>
      </w:pPr>
      <m:oMathPara>
        <m:oMath>
          <m:r>
            <m:rPr>
              <m:sty m:val="i"/>
            </m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v</m:t>
              </m:r>
            </m:e>
          </m:d>
          <m:r>
            <m:rPr>
              <m:sty m:val="i"/>
            </m:rPr>
            <m:t xml:space="preserve"> = </m:t>
          </m:r>
          <m:f>
            <m:num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i"/>
                </m:rPr>
                <m:t xml:space="preserve">N</m:t>
              </m:r>
            </m:den>
          </m:f>
          <m:r>
            <m:rPr>
              <m:sty m:val="i"/>
            </m:rPr>
            <m:t xml:space="preserve"> |{i ∈ ℐ : </m:t>
          </m:r>
          <m:sSub>
            <m:e>
              <m:r>
                <m:rPr>
                  <m:sty m:val="i"/>
                </m:rPr>
                <m:t xml:space="preserve">v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rPr>
              <m:sty m:val="i"/>
            </m:rPr>
            <m:t xml:space="preserve"> = v}|</m:t>
          </m:r>
        </m:oMath>
      </m:oMathPara>
    </w:p>
    <w:p>
      <w:pPr>
        <w:spacing w:before="80" w:after="80"/>
        <w:jc w:val="center"/>
      </w:pPr>
      <m:oMathPara>
        <m:oMath>
          <m:sSub>
            <m:e>
              <m:r>
                <m:rPr>
                  <m:sty m:val="i"/>
                </m:rPr>
                <m:t xml:space="preserve">φ</m:t>
              </m:r>
            </m:e>
            <m:sub>
              <m:r>
                <m:rPr>
                  <m:sty m:val="p"/>
                </m:rPr>
                <m:t xml:space="preserve">ent</m:t>
              </m:r>
            </m:sub>
          </m:sSub>
          <m:r>
            <m:rPr>
              <m:sty m:val="i"/>
            </m:rPr>
            <m:t xml:space="preserve"> = −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i"/>
                </m:rPr>
                <m:t xml:space="preserve">v∈𝑉</m:t>
              </m:r>
            </m:sub>
            <m:sup/>
            <m:e>
              <m:r>
                <m:rPr>
                  <m:sty m:val="i"/>
                </m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v</m:t>
                  </m:r>
                </m:e>
              </m:d>
              <m:sSub>
                <m:e>
                  <m:r>
                    <m:rPr>
                      <m:sty m:val="i"/>
                    </m:rPr>
                    <m:t xml:space="preserve"> log</m:t>
                  </m:r>
                </m:e>
                <m:sub>
                  <m:r>
                    <m:rPr>
                      <m:sty m:val="p"/>
                    </m:rPr>
                    <m:t xml:space="preserve">2</m:t>
                  </m:r>
                </m:sub>
              </m:sSub>
              <m:r>
                <m:rPr>
                  <m:sty m:val="i"/>
                </m:rPr>
                <m:t xml:space="preserve"> p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v</m:t>
                  </m:r>
                </m:e>
              </m:d>
            </m:e>
          </m:nary>
        </m:oMath>
      </m:oMathPara>
    </w:p>
    <w:p/>
    <w:p>
      <w:pPr>
        <w:pStyle w:val="Heading3"/>
        <w:spacing w:before="160" w:after="80"/>
      </w:pPr>
      <w:r>
        <w:t>(3) 최대-최솟값 차이 (Max-Min Gap)</w:t>
      </w:r>
    </w:p>
    <w:p>
      <w:pPr>
        <w:spacing w:after="120"/>
      </w:pPr>
      <w:r>
        <w:rPr>
          <w:rFonts w:ascii="Times New Roman" w:hAnsi="Times New Roman"/>
          <w:sz w:val="20"/>
        </w:rPr>
        <w:t>에이전트 신뢰도의 최댓값과 최솟값의 차이를 측정한다. 신뢰도 분산(φ_var)의 해석 가능한 대리 지표로, 이상값에 덜 민감한 특성이 있다.</w:t>
      </w:r>
    </w:p>
    <w:p>
      <w:pPr>
        <w:spacing w:before="80" w:after="80"/>
        <w:jc w:val="center"/>
      </w:pPr>
      <m:oMathPara>
        <m:oMath>
          <m:sSub>
            <m:e>
              <m:r>
                <m:rPr>
                  <m:sty m:val="i"/>
                </m:rPr>
                <m:t xml:space="preserve">φ</m:t>
              </m:r>
            </m:e>
            <m:sub>
              <m:r>
                <m:rPr>
                  <m:sty m:val="p"/>
                </m:rPr>
                <m:t xml:space="preserve">gap</m:t>
              </m:r>
            </m:sub>
          </m:sSub>
          <m:r>
            <m:rPr>
              <m:sty m:val="i"/>
            </m:rPr>
            <m:t xml:space="preserve"> = </m:t>
          </m:r>
          <m:sSub>
            <m:e>
              <m:r>
                <m:rPr>
                  <m:sty m:val="i"/>
                </m:rPr>
                <m:t xml:space="preserve">max</m:t>
              </m:r>
            </m:e>
            <m:sub>
              <m:r>
                <m:rPr>
                  <m:sty m:val="i"/>
                </m:rPr>
                <m:t xml:space="preserve">i∈ℐ</m:t>
              </m:r>
            </m:sub>
          </m:sSub>
          <m:r>
            <m:rPr>
              <m:sty m:val="i"/>
            </m:rPr>
            <m:t xml:space="preserve"> 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rPr>
              <m:sty m:val="i"/>
            </m:rPr>
            <m:t xml:space="preserve"> − </m:t>
          </m:r>
          <m:sSub>
            <m:e>
              <m:r>
                <m:rPr>
                  <m:sty m:val="i"/>
                </m:rPr>
                <m:t xml:space="preserve">min</m:t>
              </m:r>
            </m:e>
            <m:sub>
              <m:r>
                <m:rPr>
                  <m:sty m:val="i"/>
                </m:rPr>
                <m:t xml:space="preserve">i∈ℐ</m:t>
              </m:r>
            </m:sub>
          </m:sSub>
          <m:r>
            <m:rPr>
              <m:sty m:val="i"/>
            </m:rPr>
            <m:t xml:space="preserve"> 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</m:oMath>
      </m:oMathPara>
    </w:p>
    <w:p/>
    <w:p>
      <w:pPr>
        <w:pStyle w:val="Heading3"/>
        <w:spacing w:before="160" w:after="80"/>
      </w:pPr>
      <w:r>
        <w:t>(4) 고유 판정 수 (Unique Verdict Count)</w:t>
      </w:r>
    </w:p>
    <w:p>
      <w:pPr>
        <w:spacing w:after="120"/>
      </w:pPr>
      <w:r>
        <w:rPr>
          <w:rFonts w:ascii="Times New Roman" w:hAnsi="Times New Roman"/>
          <w:sz w:val="20"/>
        </w:rPr>
        <w:t>4개 에이전트의 판정 중 서로 다른 판정 클래스의 수를 계산한다. φ_uniq = 1이면 완전 합의, φ_uniq = 4이면 에이전트마다 모두 다른 판정을 의미한다. 범위는 {1, 2, 3, 4}이다.</w:t>
      </w:r>
    </w:p>
    <w:p>
      <w:pPr>
        <w:spacing w:before="80" w:after="80"/>
        <w:jc w:val="center"/>
      </w:pPr>
      <m:oMathPara>
        <m:oMath>
          <m:sSub>
            <m:e>
              <m:r>
                <m:rPr>
                  <m:sty m:val="i"/>
                </m:rPr>
                <m:t xml:space="preserve">φ</m:t>
              </m:r>
            </m:e>
            <m:sub>
              <m:r>
                <m:rPr>
                  <m:sty m:val="p"/>
                </m:rPr>
                <m:t xml:space="preserve">uniq</m:t>
              </m:r>
            </m:sub>
          </m:sSub>
          <m:r>
            <m:rPr>
              <m:sty m:val="i"/>
            </m:rPr>
            <m:t xml:space="preserve"> = </m:t>
          </m:r>
          <m:r>
            <m:rPr>
              <m:sty m:val="i"/>
            </m:rPr>
            <m:t xml:space="preserve">|{</m:t>
          </m:r>
          <m:sSub>
            <m:e>
              <m:r>
                <m:rPr>
                  <m:sty m:val="i"/>
                </m:rPr>
                <m:t xml:space="preserve">v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r>
            <m:rPr>
              <m:sty m:val="i"/>
            </m:rPr>
            <m:t xml:space="preserve">, </m:t>
          </m:r>
          <m:sSub>
            <m:e>
              <m:r>
                <m:rPr>
                  <m:sty m:val="i"/>
                </m:rPr>
                <m:t xml:space="preserve">v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i"/>
            </m:rPr>
            <m:t xml:space="preserve">, </m:t>
          </m:r>
          <m:sSub>
            <m:e>
              <m:r>
                <m:rPr>
                  <m:sty m:val="i"/>
                </m:rPr>
                <m:t xml:space="preserve">v</m:t>
              </m:r>
            </m:e>
            <m:sub>
              <m:r>
                <m:rPr>
                  <m:sty m:val="p"/>
                </m:rPr>
                <m:t xml:space="preserve">3</m:t>
              </m:r>
            </m:sub>
          </m:sSub>
          <m:r>
            <m:rPr>
              <m:sty m:val="i"/>
            </m:rPr>
            <m:t xml:space="preserve">, </m:t>
          </m:r>
          <m:sSub>
            <m:e>
              <m:r>
                <m:rPr>
                  <m:sty m:val="i"/>
                </m:rPr>
                <m:t xml:space="preserve">v</m:t>
              </m:r>
            </m:e>
            <m:sub>
              <m:r>
                <m:rPr>
                  <m:sty m:val="p"/>
                </m:rPr>
                <m:t xml:space="preserve">4</m:t>
              </m:r>
            </m:sub>
          </m:sSub>
          <m:r>
            <m:rPr>
              <m:sty m:val="i"/>
            </m:rPr>
            <m:t xml:space="preserve">}|</m:t>
          </m:r>
        </m:oMath>
      </m:oMathPara>
    </w:p>
    <w:p/>
    <w:p>
      <w:pPr>
        <w:pStyle w:val="Heading3"/>
        <w:spacing w:before="160" w:after="80"/>
      </w:pPr>
      <w:r>
        <w:t>(5) 다수파 비율 (Majority Ratio)</w:t>
      </w:r>
    </w:p>
    <w:p>
      <w:pPr>
        <w:spacing w:after="120"/>
      </w:pPr>
      <w:r>
        <w:rPr>
          <w:rFonts w:ascii="Times New Roman" w:hAnsi="Times New Roman"/>
          <w:sz w:val="20"/>
        </w:rPr>
        <w:t>가장 많은 에이전트가 동의한 판정 클래스의 비율을 나타낸다. φ_maj = 1.0이면 완전 합의, φ_maj = 0.25이면 4개 에이전트가 모두 다른 판정으로 균등 분할됨을 의미한다.</w:t>
      </w:r>
    </w:p>
    <w:p>
      <w:pPr>
        <w:spacing w:before="80" w:after="80"/>
        <w:jc w:val="center"/>
      </w:pPr>
      <m:oMathPara>
        <m:oMath>
          <m:sSub>
            <m:e>
              <m:r>
                <m:rPr>
                  <m:sty m:val="i"/>
                </m:rPr>
                <m:t xml:space="preserve">φ</m:t>
              </m:r>
            </m:e>
            <m:sub>
              <m:r>
                <m:rPr>
                  <m:sty m:val="p"/>
                </m:rPr>
                <m:t xml:space="preserve">maj</m:t>
              </m:r>
            </m:sub>
          </m:sSub>
          <m:r>
            <m:rPr>
              <m:sty m:val="i"/>
            </m:rPr>
            <m:t xml:space="preserve"> = </m:t>
          </m:r>
          <m:f>
            <m:num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i"/>
                </m:rPr>
                <m:t xml:space="preserve">N</m:t>
              </m:r>
            </m:den>
          </m:f>
          <m:r>
            <m:rPr>
              <m:sty m:val="i"/>
            </m:rPr>
            <m:t xml:space="preserve"> </m:t>
          </m:r>
          <m:sSub>
            <m:e>
              <m:r>
                <m:rPr>
                  <m:sty m:val="i"/>
                </m:rPr>
                <m:t xml:space="preserve">max</m:t>
              </m:r>
            </m:e>
            <m:sub>
              <m:r>
                <m:rPr>
                  <m:sty m:val="i"/>
                </m:rPr>
                <m:t xml:space="preserve">v∈𝑉</m:t>
              </m:r>
            </m:sub>
          </m:sSub>
          <m:r>
            <m:rPr>
              <m:sty m:val="i"/>
            </m:rPr>
            <m:t xml:space="preserve"> |{i ∈ ℐ : </m:t>
          </m:r>
          <m:sSub>
            <m:e>
              <m:r>
                <m:rPr>
                  <m:sty m:val="i"/>
                </m:rPr>
                <m:t xml:space="preserve">v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rPr>
              <m:sty m:val="i"/>
            </m:rPr>
            <m:t xml:space="preserve"> = v}|</m:t>
          </m:r>
        </m:oMath>
      </m:oMathPara>
    </w:p>
    <w:p/>
    <w:p>
      <w:pPr>
        <w:pStyle w:val="Heading3"/>
      </w:pPr>
      <w:r>
        <w:t>표. 집계 특징 요약</w:t>
      </w:r>
    </w:p>
    <w:p>
      <w:pPr>
        <w:spacing w:after="120"/>
      </w:pPr>
      <w:r>
        <w:rPr>
          <w:rFonts w:ascii="Times New Roman" w:hAnsi="Times New Roman"/>
          <w:sz w:val="20"/>
        </w:rPr>
        <w:t>5개 집계 특징의 수식, 값 범위, 역할을 요약한다.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18"/>
              </w:rPr>
              <w:t>특징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18"/>
              </w:rPr>
              <w:t>수식 (요약)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18"/>
              </w:rPr>
              <w:t>값 범위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18"/>
              </w:rPr>
              <w:t>측정 내용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φ_var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(1/N)∑(cᵢ−c̅)²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[0, 0.25]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신뢰도 산포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φ_ent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−∑ p(v) log₂ p(v)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[0, log₂ 4]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판정 불확실성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φ_gap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max cᵢ − min cᵢ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[0, 1]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신뢰도 극값 차이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φ_uniq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|{v₁,v₂,v₃,v₄}|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{1, 2, 3, 4}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서로 다른 판정 수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φ_maj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(1/N) max_v |{i:vᵢ=v}|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[0.25, 1]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다수파 합의 강도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