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eastAsia="맑은 고딕"/>
          <w:rFonts w:ascii="맑은 고딕" w:hAnsi="맑은 고딕"/>
          <w:b/>
          <w:i w:val="0"/>
          <w:sz w:val="28"/>
        </w:rPr>
        <w:t>DAAC: 다중 에이전트 이미지 위변조 탐지를 위한 불일치 인식 적응형 합의</w:t>
      </w:r>
    </w:p>
    <w:p>
      <w:pPr>
        <w:spacing w:before="0" w:after="40"/>
        <w:jc w:val="center"/>
      </w:pPr>
      <w:r>
        <w:rPr>
          <w:rFonts w:eastAsia="맑은 고딕"/>
          <w:rFonts w:ascii="맑은 고딕" w:hAnsi="맑은 고딕"/>
          <w:b w:val="0"/>
          <w:i w:val="0"/>
          <w:sz w:val="20"/>
        </w:rPr>
        <w:t>정준1, 문수혁2</w:t>
      </w:r>
    </w:p>
    <w:p>
      <w:pPr>
        <w:spacing w:before="0" w:after="0"/>
        <w:jc w:val="center"/>
      </w:pPr>
      <w:r>
        <w:rPr>
          <w:rFonts w:eastAsia="맑은 고딕"/>
          <w:rFonts w:ascii="맑은 고딕" w:hAnsi="맑은 고딕"/>
          <w:b w:val="0"/>
          <w:i w:val="0"/>
          <w:sz w:val="18"/>
        </w:rPr>
        <w:t>1동서울대학교 컴퓨터소프트웨어학과 학부생</w:t>
      </w:r>
    </w:p>
    <w:p>
      <w:pPr>
        <w:spacing w:before="0" w:after="40"/>
        <w:jc w:val="center"/>
      </w:pPr>
      <w:r>
        <w:rPr>
          <w:rFonts w:eastAsia="맑은 고딕"/>
          <w:rFonts w:ascii="맑은 고딕" w:hAnsi="맑은 고딕"/>
          <w:b w:val="0"/>
          <w:i w:val="0"/>
          <w:sz w:val="18"/>
        </w:rPr>
        <w:t>2동서울대학교 컴퓨터소프트웨어학과 학부생</w:t>
      </w:r>
    </w:p>
    <w:p>
      <w:pPr>
        <w:spacing w:before="0" w:after="120"/>
        <w:jc w:val="center"/>
      </w:pPr>
      <w:r>
        <w:rPr>
          <w:rFonts w:eastAsia="맑은 고딕"/>
          <w:rFonts w:ascii="맑은 고딕" w:hAnsi="맑은 고딕"/>
          <w:b w:val="0"/>
          <w:i w:val="0"/>
          <w:sz w:val="18"/>
        </w:rPr>
        <w:t>jj81271000@gmail.com, m51187251@gmail.com</w:t>
      </w:r>
    </w:p>
    <w:p>
      <w:pPr>
        <w:spacing w:before="0" w:after="40"/>
        <w:jc w:val="center"/>
      </w:pPr>
      <w:r>
        <w:rPr>
          <w:rFonts w:eastAsia="맑은 고딕"/>
          <w:rFonts w:ascii="맑은 고딕" w:hAnsi="맑은 고딕"/>
          <w:b/>
          <w:i w:val="0"/>
          <w:sz w:val="24"/>
        </w:rPr>
        <w:t>DAAC: Disagreement-Aware Adaptive Consensus for Image Forgery Detection</w:t>
      </w:r>
    </w:p>
    <w:p>
      <w:pPr>
        <w:spacing w:before="0" w:after="0"/>
        <w:jc w:val="center"/>
      </w:pPr>
      <w:r>
        <w:rPr>
          <w:rFonts w:eastAsia="맑은 고딕"/>
          <w:rFonts w:ascii="맑은 고딕" w:hAnsi="맑은 고딕"/>
          <w:b w:val="0"/>
          <w:i w:val="0"/>
          <w:sz w:val="20"/>
        </w:rPr>
        <w:t>Jun-Jeong1, Moon-su hyeok2</w:t>
      </w:r>
    </w:p>
    <w:p>
      <w:pPr>
        <w:spacing w:before="0" w:after="0"/>
        <w:jc w:val="center"/>
      </w:pPr>
      <w:r>
        <w:rPr>
          <w:rFonts w:eastAsia="맑은 고딕"/>
          <w:rFonts w:ascii="맑은 고딕" w:hAnsi="맑은 고딕"/>
          <w:b w:val="0"/>
          <w:i w:val="0"/>
          <w:sz w:val="18"/>
        </w:rPr>
        <w:t>1Dept. of Computer Software, Dong-Seoul University</w:t>
      </w:r>
    </w:p>
    <w:p>
      <w:pPr>
        <w:spacing w:before="0" w:after="160"/>
        <w:jc w:val="center"/>
      </w:pPr>
      <w:r>
        <w:rPr>
          <w:rFonts w:eastAsia="맑은 고딕"/>
          <w:rFonts w:ascii="맑은 고딕" w:hAnsi="맑은 고딕"/>
          <w:b w:val="0"/>
          <w:i w:val="0"/>
          <w:sz w:val="18"/>
        </w:rPr>
        <w:t>2Dept. of Computer Software, Dong-Seoul University</w:t>
      </w:r>
    </w:p>
    <w:tbl>
      <w:tblPr>
        <w:tblStyle w:val="TableGrid"/>
        <w:tblW w:type="auto" w:w="0"/>
        <w:tblLook w:firstColumn="1" w:firstRow="1" w:lastColumn="0" w:lastRow="0" w:noHBand="0" w:noVBand="1" w:val="04A0"/>
      </w:tblPr>
      <w:tblGrid>
        <w:gridCol w:w="9072"/>
      </w:tblGrid>
      <w:tr>
        <w:tc>
          <w:tcPr>
            <w:tcW w:type="dxa" w:w="9072"/>
          </w:tcPr>
          <w:p>
            <w:pPr>
              <w:jc w:val="center"/>
            </w:pPr>
            <w:r>
              <w:rPr>
                <w:rFonts w:eastAsia="맑은 고딕"/>
                <w:rFonts w:ascii="맑은 고딕" w:hAnsi="맑은 고딕"/>
                <w:b/>
                <w:i w:val="0"/>
                <w:sz w:val="18"/>
              </w:rPr>
              <w:t>요       약</w:t>
            </w:r>
          </w:p>
          <w:p>
            <w:pPr>
              <w:spacing w:before="40"/>
            </w:pPr>
            <w:r>
              <w:rPr>
                <w:rFonts w:eastAsia="맑은 고딕"/>
                <w:rFonts w:ascii="맑은 고딕" w:hAnsi="맑은 고딕"/>
                <w:b w:val="0"/>
                <w:i w:val="0"/>
                <w:sz w:val="18"/>
              </w:rPr>
              <w:t>생성형 AI의 발전으로 이미지 위변조는 편집조작에서부터 Diffusion·GAN 기반 합성까지 다양해졌다. 이에 따라 단일 원리에 의존하는 탐지기는 도메인 편향을 피하기 어려우므로 다중 전문 에이전트를 조합하는 접근이 자연스러운 해법이다. 본 연구에서는 에이전트 간 구조적 불일치를 활용하는 새로운 합의 방법 DAAC(Disagreement-Aware Adaptive Consensus for Image Forgery Detection)을 제시한다. 4개 전문 에이전트(Frequency, Noise, FatFormer, Spatial)를 사용하여 고정 샘플셋(1,500장), 10-seed 반복 평가한 결과, DAAC-GBM은 macro-F1 0.861로 COBRA(0.266) 대비 유의하게 우수했다(p=0.00195). 에이전트별 맹점—Frequency/Noise/Spatial의 AI-Gen F1=0.000, FatFormer의 Manipulated F1=0.000—이 DAAC에서는 상보적 불일치 신호로 전환되어 세 클래스 모두에서 균형 잡힌 성능을 달성한다. 6개 데이터 조합 60회 반복에서도 DAAC는 COBRA 대비 +0.493의 우위를 일관되게 유지했다(p=1.63e-11).</w:t>
            </w:r>
          </w:p>
        </w:tc>
      </w:tr>
    </w:tbl>
    <w:p/>
    <w:p>
      <w:pPr>
        <w:sectPr>
          <w:pgSz w:w="11906" w:h="16838"/>
          <w:pgMar w:top="1417" w:right="1417" w:bottom="1417" w:left="1417" w:header="720" w:footer="720" w:gutter="0"/>
          <w:cols w:space="720"/>
          <w:docGrid w:linePitch="360"/>
        </w:sectPr>
      </w:pPr>
    </w:p>
    <w:p>
      <w:pPr>
        <w:spacing w:before="120" w:after="40"/>
        <w:jc w:val="left"/>
      </w:pPr>
      <w:r>
        <w:rPr>
          <w:rFonts w:eastAsia="맑은 고딕"/>
          <w:rFonts w:ascii="맑은 고딕" w:hAnsi="맑은 고딕"/>
          <w:b/>
          <w:i w:val="0"/>
          <w:sz w:val="18"/>
        </w:rPr>
        <w:t>1. 서론</w:t>
      </w:r>
    </w:p>
    <w:p>
      <w:pPr>
        <w:spacing w:before="0" w:after="40"/>
        <w:ind w:firstLine="200"/>
        <w:jc w:val="left"/>
      </w:pPr>
      <w:r>
        <w:rPr>
          <w:rFonts w:eastAsia="맑은 고딕"/>
          <w:rFonts w:ascii="맑은 고딕" w:hAnsi="맑은 고딕"/>
          <w:b w:val="0"/>
          <w:i w:val="0"/>
          <w:sz w:val="18"/>
        </w:rPr>
        <w:t>이미지 위변조 탐지는 조작 탐지와 생성형 이미지 기반 탐지를 동시에 만족해야 한다. 실제 운영에서는 JPEG 압축 흔적, 센서 노이즈 불일치, 공간적 조작 흔적, 생성 모델 아티팩트가 혼재하므로, 단일 모델의 편향은 오탐/미탐으로 직결된다. 이에 이질적 탐지 원리를 가진 다수의 전문 에이전트를 조합하는 다중 에이전트 접근이 자연스러운 해법으로 제시된다.</w:t>
      </w:r>
    </w:p>
    <w:p>
      <w:pPr>
        <w:spacing w:before="0" w:after="40"/>
        <w:ind w:firstLine="200"/>
        <w:jc w:val="left"/>
      </w:pPr>
      <w:r>
        <w:rPr>
          <w:rFonts w:eastAsia="맑은 고딕"/>
          <w:rFonts w:ascii="맑은 고딕" w:hAnsi="맑은 고딕"/>
          <w:b w:val="0"/>
          <w:i w:val="0"/>
          <w:sz w:val="18"/>
        </w:rPr>
        <w:t>그러나 다중 에이전트 합의(consensus) 단계가 병목이 된다. 기존 trust 기반 규칙형 합의(COBRA 계열: RoT/DRWA/AVGA)는 사전 고정된 글로벌 trust 점수를 기반으로 수식 기반 가중 집계를 수행한다. DRWA는 샘플별 분산으로 가중치를 조정하고 AVGA는 softmax temperature를 적응적으로 변경하지만, 이는 모두 handcrafted 규칙이며 에이전트들이 특정 클래스에 대해 가지는 구조적 맹점의 패턴을 데이터로부터 학습하지 못한다.</w:t>
      </w:r>
    </w:p>
    <w:p>
      <w:pPr>
        <w:spacing w:before="0" w:after="40"/>
        <w:ind w:firstLine="200"/>
        <w:jc w:val="left"/>
      </w:pPr>
      <w:r>
        <w:rPr>
          <w:rFonts w:eastAsia="맑은 고딕"/>
          <w:rFonts w:ascii="맑은 고딕" w:hAnsi="맑은 고딕"/>
          <w:b w:val="0"/>
          <w:i w:val="0"/>
          <w:sz w:val="18"/>
        </w:rPr>
        <w:t>본 연구는 이러한 문제를 해결하기 위해 DAAC를 제안한다. 핵심 아이디어는 "누가 맞았는가"가 아닌 "어떻게 서로 다르게 틀리는가"를 학습 신호로 활용하는 것이다. 에이전트 판정 충돌로 구성된 43차원 메타 특징을 활용해서 GBM 분류기를 학습하면, 개별 에이전트들의 맹점이 오히려 중요한 근거가 됨을 정량적으로 확인하였다.</w:t>
      </w:r>
    </w:p>
    <w:p>
      <w:pPr>
        <w:spacing w:before="120" w:after="40"/>
        <w:jc w:val="left"/>
      </w:pPr>
      <w:r>
        <w:rPr>
          <w:rFonts w:eastAsia="맑은 고딕"/>
          <w:rFonts w:ascii="맑은 고딕" w:hAnsi="맑은 고딕"/>
          <w:b/>
          <w:i w:val="0"/>
          <w:sz w:val="18"/>
        </w:rPr>
        <w:t>2. 관련 연구</w:t>
      </w:r>
    </w:p>
    <w:p>
      <w:pPr>
        <w:spacing w:before="0" w:after="40"/>
        <w:ind w:firstLine="200"/>
        <w:jc w:val="left"/>
      </w:pPr>
      <w:r>
        <w:rPr>
          <w:rFonts w:eastAsia="맑은 고딕"/>
          <w:rFonts w:ascii="맑은 고딕" w:hAnsi="맑은 고딕"/>
          <w:b w:val="0"/>
          <w:i w:val="0"/>
          <w:sz w:val="18"/>
        </w:rPr>
        <w:t>다중 판정기 결합은 다수결/가중 다수결이 기본이다. COBRA[1]는 에이전트별 신뢰 점수(trust score) 기반 합의를 제공하며 RoT/DRWA/AVGA 세 알고리즘 변형을 포함한다. 그러나 세 알고리즘 모두 사전 고정된 글로벌 trust 점수를 출발점으로 삼아 수식 기반 집계 함수는 학습되지 않는다. Oracle trust 조건에서도 F1이 소폭 하락하여, trust 품질보다 합의 방식 자체의 표현력 한계가 지배적임을 확인한다.</w:t>
      </w:r>
    </w:p>
    <w:p>
      <w:pPr>
        <w:spacing w:before="0" w:after="40"/>
        <w:ind w:firstLine="200"/>
        <w:jc w:val="left"/>
      </w:pPr>
      <w:r>
        <w:rPr>
          <w:rFonts w:eastAsia="맑은 고딕"/>
          <w:rFonts w:ascii="맑은 고딕" w:hAnsi="맑은 고딕"/>
          <w:b w:val="0"/>
          <w:i w:val="0"/>
          <w:sz w:val="18"/>
        </w:rPr>
        <w:t>이미지 위변조 탐지 분야에서는 FatFormer[2]와 같은 생성 탐지기, TruFor[3]와 같은 다중 단서 기반 탐지기가 제안되었다. 그러나 단일 모델의 도메인 편향 문제는 여전하며, 다중 에이전트 합의 단계에서 불일치 패턴 자체를 학습 신호로 활용한 연구는 드물다.</w:t>
      </w:r>
    </w:p>
    <w:p>
      <w:pPr>
        <w:spacing w:before="120" w:after="40"/>
        <w:jc w:val="left"/>
      </w:pPr>
      <w:r>
        <w:rPr>
          <w:rFonts w:eastAsia="맑은 고딕"/>
          <w:rFonts w:ascii="맑은 고딕" w:hAnsi="맑은 고딕"/>
          <w:b/>
          <w:i w:val="0"/>
          <w:sz w:val="18"/>
        </w:rPr>
        <w:t>3. DAAC 방법론</w:t>
      </w:r>
    </w:p>
    <w:p>
      <w:pPr>
        <w:spacing w:before="60" w:after="40"/>
        <w:jc w:val="left"/>
      </w:pPr>
      <w:r>
        <w:rPr>
          <w:rFonts w:eastAsia="맑은 고딕"/>
          <w:rFonts w:ascii="맑은 고딕" w:hAnsi="맑은 고딕"/>
          <w:b/>
          <w:i w:val="0"/>
          <w:sz w:val="18"/>
        </w:rPr>
        <w:t>3.1 문제 정의</w:t>
      </w:r>
    </w:p>
    <w:p>
      <w:pPr>
        <w:spacing w:before="0" w:after="40"/>
        <w:ind w:firstLine="200"/>
        <w:jc w:val="left"/>
      </w:pPr>
      <w:r>
        <w:rPr>
          <w:rFonts w:eastAsia="맑은 고딕"/>
          <w:rFonts w:ascii="맑은 고딕" w:hAnsi="맑은 고딕"/>
          <w:b w:val="0"/>
          <w:i w:val="0"/>
          <w:sz w:val="18"/>
        </w:rPr>
        <w:t>n개의 에이전트가 이미지 x에 대해 판정 vi∈C와 confidence ci∈[0,1]을 독립 산출한다. 최종 클래스 C={authentic, manipulated, ai_generated}에 대한 합의 함수 f를 학습하는 것이 목표다. COBRA는 f를 사전 고정된 trust 점수 기반 handcrafted 수식으로 정의하지만, DAAC는 f를 데이터로부터 학습하며 불일치 구조를 포함한 43차원 메타 특징을 입력으로 사용한다.</w:t>
      </w:r>
    </w:p>
    <w:p>
      <w:pPr>
        <w:spacing w:before="60" w:after="40"/>
        <w:jc w:val="left"/>
      </w:pPr>
      <w:r>
        <w:rPr>
          <w:rFonts w:eastAsia="맑은 고딕"/>
          <w:rFonts w:ascii="맑은 고딕" w:hAnsi="맑은 고딕"/>
          <w:b/>
          <w:i w:val="0"/>
          <w:sz w:val="18"/>
        </w:rPr>
        <w:t>3.2 43차원 메타 특징 설계</w:t>
      </w:r>
    </w:p>
    <w:p>
      <w:pPr>
        <w:spacing w:before="0" w:after="40"/>
        <w:ind w:firstLine="200"/>
        <w:jc w:val="left"/>
      </w:pPr>
      <w:r>
        <w:rPr>
          <w:rFonts w:eastAsia="맑은 고딕"/>
          <w:rFonts w:ascii="맑은 고딕" w:hAnsi="맑은 고딕"/>
          <w:b w:val="0"/>
          <w:i w:val="0"/>
          <w:sz w:val="18"/>
        </w:rPr>
        <w:t>DAAC 전체 특징(A5)은 총 43차원으로 구성된다: (1) Per-agent (20): verdict one-hot 4x4=16 + raw confidence 4; (2) Pairwise disagreement (18): 1[vi≠vj] 6쌍 + |ci-cj| 6쌍 + (ci+cj)·1[vi≠vj] 6쌍; (3) Aggregate (5): confidence variance, verdict entropy, max-min gap, unique verdict count, majority ratio. 최상위 특징 중요도는 disagree_frequency_fatformer(56.5%)로, FatFormer와 나머지 에이전트 간 판정 불일치가 클래스 구분에 가장 유효한 신호임을 보인다.</w:t>
      </w:r>
    </w:p>
    <w:p>
      <w:pPr>
        <w:spacing w:before="60" w:after="40"/>
        <w:jc w:val="left"/>
      </w:pPr>
      <w:r>
        <w:rPr>
          <w:rFonts w:eastAsia="맑은 고딕"/>
          <w:rFonts w:ascii="맑은 고딕" w:hAnsi="맑은 고딕"/>
          <w:b/>
          <w:i w:val="0"/>
          <w:sz w:val="18"/>
        </w:rPr>
        <w:t>3.3 학습 모델</w:t>
      </w:r>
    </w:p>
    <w:p>
      <w:pPr>
        <w:spacing w:before="0" w:after="40"/>
        <w:ind w:firstLine="200"/>
        <w:jc w:val="left"/>
      </w:pPr>
      <w:r>
        <w:rPr>
          <w:rFonts w:eastAsia="맑은 고딕"/>
          <w:rFonts w:ascii="맑은 고딕" w:hAnsi="맑은 고딕"/>
          <w:b w:val="0"/>
          <w:i w:val="0"/>
          <w:sz w:val="18"/>
        </w:rPr>
        <w:t>DAAC는 동일 43차원 특징셋에 대해 Logistic Regression(LR), Gradient Boosting Machine(GBM, XGBoost 백엔드), MLP를 학습한다. 제안 모델은 DAAC-GBM이며, 경량 GBM으로 에이전트 inference 이후 추가 연산 부담이 미미하다.</w:t>
      </w:r>
    </w:p>
    <w:p>
      <w:pPr>
        <w:spacing w:before="120" w:after="40"/>
        <w:jc w:val="left"/>
      </w:pPr>
      <w:r>
        <w:rPr>
          <w:rFonts w:eastAsia="맑은 고딕"/>
          <w:rFonts w:ascii="맑은 고딕" w:hAnsi="맑은 고딕"/>
          <w:b/>
          <w:i w:val="0"/>
          <w:sz w:val="18"/>
        </w:rPr>
        <w:t>4. 실험 결과</w:t>
      </w:r>
    </w:p>
    <w:p>
      <w:pPr>
        <w:spacing w:before="60" w:after="40"/>
        <w:jc w:val="left"/>
      </w:pPr>
      <w:r>
        <w:rPr>
          <w:rFonts w:eastAsia="맑은 고딕"/>
          <w:rFonts w:ascii="맑은 고딕" w:hAnsi="맑은 고딕"/>
          <w:b/>
          <w:i w:val="0"/>
          <w:sz w:val="18"/>
        </w:rPr>
        <w:t>4.1 실험 설정</w:t>
      </w:r>
    </w:p>
    <w:p>
      <w:pPr>
        <w:spacing w:before="0" w:after="40"/>
        <w:ind w:firstLine="200"/>
        <w:jc w:val="left"/>
      </w:pPr>
      <w:r>
        <w:rPr>
          <w:rFonts w:eastAsia="맑은 고딕"/>
          <w:rFonts w:ascii="맑은 고딕" w:hAnsi="맑은 고딕"/>
          <w:b w:val="0"/>
          <w:i w:val="0"/>
          <w:sz w:val="18"/>
        </w:rPr>
        <w:t>4개 전문 에이전트(Frequency/CAT-Net, Noise/MVSS, FatFormer, Spatial/Mesorch)로 구성된 MAIFS 플랫폼에서 실험하였다. 전체 1,500장(authentic/manipulated/ai_generated 균형)을 고정 샘플셋으로 사용하고, train/val/test=0.6/0.2/0.2, seeds 300~309 (10회 반복)의 Protocol-P를 적용하였다. 통계 검정은 paired Wilcoxon을 사용한다.</w:t>
      </w:r>
    </w:p>
    <w:p>
      <w:pPr>
        <w:spacing w:before="60" w:after="40"/>
        <w:jc w:val="left"/>
      </w:pPr>
      <w:r>
        <w:rPr>
          <w:rFonts w:eastAsia="맑은 고딕"/>
          <w:rFonts w:ascii="맑은 고딕" w:hAnsi="맑은 고딕"/>
          <w:b/>
          <w:i w:val="0"/>
          <w:sz w:val="18"/>
        </w:rPr>
        <w:t>4.2 방법 간 비교</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
              <w:rPr>
                <w:rFonts w:eastAsia="맑은 고딕"/>
                <w:rFonts w:ascii="맑은 고딕" w:hAnsi="맑은 고딕"/>
                <w:b/>
                <w:i w:val="0"/>
                <w:sz w:val="16"/>
              </w:rPr>
              <w:t>방법</w:t>
            </w:r>
          </w:p>
        </w:tc>
        <w:tc>
          <w:tcPr>
            <w:tcW w:type="dxa" w:w="3024"/>
          </w:tcPr>
          <w:p>
            <w:pPr>
              <w:jc w:val="center"/>
            </w:pPr>
            <w:r/>
            <w:r>
              <w:rPr>
                <w:rFonts w:eastAsia="맑은 고딕"/>
                <w:rFonts w:ascii="맑은 고딕" w:hAnsi="맑은 고딕"/>
                <w:b/>
                <w:i w:val="0"/>
                <w:sz w:val="16"/>
              </w:rPr>
              <w:t>Macro-F1</w:t>
              <w:br/>
              <w:t>(mean±std)</w:t>
            </w:r>
          </w:p>
        </w:tc>
        <w:tc>
          <w:tcPr>
            <w:tcW w:type="dxa" w:w="3024"/>
          </w:tcPr>
          <w:p>
            <w:pPr>
              <w:jc w:val="center"/>
            </w:pPr>
            <w:r/>
            <w:r>
              <w:rPr>
                <w:rFonts w:eastAsia="맑은 고딕"/>
                <w:rFonts w:ascii="맑은 고딕" w:hAnsi="맑은 고딕"/>
                <w:b/>
                <w:i w:val="0"/>
                <w:sz w:val="16"/>
              </w:rPr>
              <w:t>p vs COBRA</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pPr>
              <w:jc w:val="center"/>
            </w:pPr>
            <w:r/>
            <w:r>
              <w:rPr>
                <w:rFonts w:eastAsia="맑은 고딕"/>
                <w:rFonts w:ascii="맑은 고딕" w:hAnsi="맑은 고딕"/>
                <w:b w:val="0"/>
                <w:i w:val="0"/>
                <w:sz w:val="16"/>
              </w:rPr>
              <w:t>Majority Vote</w:t>
            </w:r>
          </w:p>
        </w:tc>
        <w:tc>
          <w:tcPr>
            <w:tcW w:type="dxa" w:w="3024"/>
          </w:tcPr>
          <w:p>
            <w:pPr>
              <w:jc w:val="center"/>
            </w:pPr>
            <w:r/>
            <w:r>
              <w:rPr>
                <w:rFonts w:eastAsia="맑은 고딕"/>
                <w:rFonts w:ascii="맑은 고딕" w:hAnsi="맑은 고딕"/>
                <w:b w:val="0"/>
                <w:i w:val="0"/>
                <w:sz w:val="16"/>
              </w:rPr>
              <w:t>0.2774±0.0178</w:t>
            </w:r>
          </w:p>
        </w:tc>
        <w:tc>
          <w:tcPr>
            <w:tcW w:type="dxa" w:w="3024"/>
          </w:tcPr>
          <w:p>
            <w:pPr>
              <w:jc w:val="center"/>
            </w:pPr>
            <w:r/>
            <w:r>
              <w:rPr>
                <w:rFonts w:eastAsia="맑은 고딕"/>
                <w:rFonts w:ascii="맑은 고딕" w:hAnsi="맑은 고딕"/>
                <w:b w:val="0"/>
                <w:i w:val="0"/>
                <w:sz w:val="16"/>
              </w:rPr>
              <w:t>0.0371</w:t>
            </w:r>
          </w:p>
        </w:tc>
      </w:tr>
      <w:tr>
        <w:tc>
          <w:tcPr>
            <w:tcW w:type="dxa" w:w="3024"/>
          </w:tcPr>
          <w:p>
            <w:pPr>
              <w:jc w:val="center"/>
            </w:pPr>
            <w:r/>
            <w:r>
              <w:rPr>
                <w:rFonts w:eastAsia="맑은 고딕"/>
                <w:rFonts w:ascii="맑은 고딕" w:hAnsi="맑은 고딕"/>
                <w:b w:val="0"/>
                <w:i w:val="0"/>
                <w:sz w:val="16"/>
              </w:rPr>
              <w:t>Weighted MV</w:t>
            </w:r>
          </w:p>
        </w:tc>
        <w:tc>
          <w:tcPr>
            <w:tcW w:type="dxa" w:w="3024"/>
          </w:tcPr>
          <w:p>
            <w:pPr>
              <w:jc w:val="center"/>
            </w:pPr>
            <w:r/>
            <w:r>
              <w:rPr>
                <w:rFonts w:eastAsia="맑은 고딕"/>
                <w:rFonts w:ascii="맑은 고딕" w:hAnsi="맑은 고딕"/>
                <w:b w:val="0"/>
                <w:i w:val="0"/>
                <w:sz w:val="16"/>
              </w:rPr>
              <w:t>0.2664±0.0128</w:t>
            </w:r>
          </w:p>
        </w:tc>
        <w:tc>
          <w:tcPr>
            <w:tcW w:type="dxa" w:w="3024"/>
          </w:tcPr>
          <w:p>
            <w:pPr>
              <w:jc w:val="center"/>
            </w:pPr>
            <w:r/>
            <w:r>
              <w:rPr>
                <w:rFonts w:eastAsia="맑은 고딕"/>
                <w:rFonts w:ascii="맑은 고딕" w:hAnsi="맑은 고딕"/>
                <w:b w:val="0"/>
                <w:i w:val="0"/>
                <w:sz w:val="16"/>
              </w:rPr>
              <w:t>1.0000</w:t>
            </w:r>
          </w:p>
        </w:tc>
      </w:tr>
      <w:tr>
        <w:tc>
          <w:tcPr>
            <w:tcW w:type="dxa" w:w="3024"/>
          </w:tcPr>
          <w:p>
            <w:pPr>
              <w:jc w:val="center"/>
            </w:pPr>
            <w:r/>
            <w:r>
              <w:rPr>
                <w:rFonts w:eastAsia="맑은 고딕"/>
                <w:rFonts w:ascii="맑은 고딕" w:hAnsi="맑은 고딕"/>
                <w:b w:val="0"/>
                <w:i w:val="0"/>
                <w:sz w:val="16"/>
              </w:rPr>
              <w:t>COBRA (drwa)</w:t>
            </w:r>
          </w:p>
        </w:tc>
        <w:tc>
          <w:tcPr>
            <w:tcW w:type="dxa" w:w="3024"/>
          </w:tcPr>
          <w:p>
            <w:pPr>
              <w:jc w:val="center"/>
            </w:pPr>
            <w:r/>
            <w:r>
              <w:rPr>
                <w:rFonts w:eastAsia="맑은 고딕"/>
                <w:rFonts w:ascii="맑은 고딕" w:hAnsi="맑은 고딕"/>
                <w:b w:val="0"/>
                <w:i w:val="0"/>
                <w:sz w:val="16"/>
              </w:rPr>
              <w:t>0.2664±0.0090</w:t>
            </w:r>
          </w:p>
        </w:tc>
        <w:tc>
          <w:tcPr>
            <w:tcW w:type="dxa" w:w="3024"/>
          </w:tcPr>
          <w:p>
            <w:pPr>
              <w:jc w:val="center"/>
            </w:pPr>
            <w:r/>
            <w:r>
              <w:rPr>
                <w:rFonts w:eastAsia="맑은 고딕"/>
                <w:rFonts w:ascii="맑은 고딕" w:hAnsi="맑은 고딕"/>
                <w:b w:val="0"/>
                <w:i w:val="0"/>
                <w:sz w:val="16"/>
              </w:rPr>
              <w:t>— (기준)</w:t>
            </w:r>
          </w:p>
        </w:tc>
      </w:tr>
      <w:tr>
        <w:tc>
          <w:tcPr>
            <w:tcW w:type="dxa" w:w="3024"/>
          </w:tcPr>
          <w:p>
            <w:pPr>
              <w:jc w:val="center"/>
            </w:pPr>
            <w:r/>
            <w:r>
              <w:rPr>
                <w:rFonts w:eastAsia="맑은 고딕"/>
                <w:rFonts w:ascii="맑은 고딕" w:hAnsi="맑은 고딕"/>
                <w:b w:val="0"/>
                <w:i w:val="0"/>
                <w:sz w:val="16"/>
              </w:rPr>
              <w:t>Logistic Stack.</w:t>
              <w:br/>
              <w:t>(A4+LR)</w:t>
            </w:r>
          </w:p>
        </w:tc>
        <w:tc>
          <w:tcPr>
            <w:tcW w:type="dxa" w:w="3024"/>
          </w:tcPr>
          <w:p>
            <w:pPr>
              <w:jc w:val="center"/>
            </w:pPr>
            <w:r/>
            <w:r>
              <w:rPr>
                <w:rFonts w:eastAsia="맑은 고딕"/>
                <w:rFonts w:ascii="맑은 고딕" w:hAnsi="맑은 고딕"/>
                <w:b w:val="0"/>
                <w:i w:val="0"/>
                <w:sz w:val="16"/>
              </w:rPr>
              <w:t>0.8500±0.0161</w:t>
            </w:r>
          </w:p>
        </w:tc>
        <w:tc>
          <w:tcPr>
            <w:tcW w:type="dxa" w:w="3024"/>
          </w:tcPr>
          <w:p>
            <w:pPr>
              <w:jc w:val="center"/>
            </w:pPr>
            <w:r/>
            <w:r>
              <w:rPr>
                <w:rFonts w:eastAsia="맑은 고딕"/>
                <w:rFonts w:ascii="맑은 고딕" w:hAnsi="맑은 고딕"/>
                <w:b w:val="0"/>
                <w:i w:val="0"/>
                <w:sz w:val="16"/>
              </w:rPr>
              <w:t>0.00195**</w:t>
            </w:r>
          </w:p>
        </w:tc>
      </w:tr>
      <w:tr>
        <w:tc>
          <w:tcPr>
            <w:tcW w:type="dxa" w:w="3024"/>
          </w:tcPr>
          <w:p>
            <w:pPr>
              <w:jc w:val="center"/>
            </w:pPr>
            <w:r/>
            <w:r>
              <w:rPr>
                <w:rFonts w:eastAsia="맑은 고딕"/>
                <w:rFonts w:ascii="맑은 고딕" w:hAnsi="맑은 고딕"/>
                <w:b w:val="0"/>
                <w:i w:val="0"/>
                <w:sz w:val="16"/>
              </w:rPr>
              <w:t>DAAC-LR</w:t>
            </w:r>
          </w:p>
        </w:tc>
        <w:tc>
          <w:tcPr>
            <w:tcW w:type="dxa" w:w="3024"/>
          </w:tcPr>
          <w:p>
            <w:pPr>
              <w:jc w:val="center"/>
            </w:pPr>
            <w:r/>
            <w:r>
              <w:rPr>
                <w:rFonts w:eastAsia="맑은 고딕"/>
                <w:rFonts w:ascii="맑은 고딕" w:hAnsi="맑은 고딕"/>
                <w:b w:val="0"/>
                <w:i w:val="0"/>
                <w:sz w:val="16"/>
              </w:rPr>
              <w:t>0.8541±0.0087</w:t>
            </w:r>
          </w:p>
        </w:tc>
        <w:tc>
          <w:tcPr>
            <w:tcW w:type="dxa" w:w="3024"/>
          </w:tcPr>
          <w:p>
            <w:pPr>
              <w:jc w:val="center"/>
            </w:pPr>
            <w:r/>
            <w:r>
              <w:rPr>
                <w:rFonts w:eastAsia="맑은 고딕"/>
                <w:rFonts w:ascii="맑은 고딕" w:hAnsi="맑은 고딕"/>
                <w:b w:val="0"/>
                <w:i w:val="0"/>
                <w:sz w:val="16"/>
              </w:rPr>
              <w:t>0.00195**</w:t>
            </w:r>
          </w:p>
        </w:tc>
      </w:tr>
      <w:tr>
        <w:tc>
          <w:tcPr>
            <w:tcW w:type="dxa" w:w="3024"/>
          </w:tcPr>
          <w:p>
            <w:pPr>
              <w:jc w:val="center"/>
            </w:pPr>
            <w:r/>
            <w:r>
              <w:rPr>
                <w:rFonts w:eastAsia="맑은 고딕"/>
                <w:rFonts w:ascii="맑은 고딕" w:hAnsi="맑은 고딕"/>
                <w:b w:val="0"/>
                <w:i w:val="0"/>
                <w:sz w:val="16"/>
              </w:rPr>
              <w:t>DAAC-GBM (제안)</w:t>
            </w:r>
          </w:p>
        </w:tc>
        <w:tc>
          <w:tcPr>
            <w:tcW w:type="dxa" w:w="3024"/>
          </w:tcPr>
          <w:p>
            <w:pPr>
              <w:jc w:val="center"/>
            </w:pPr>
            <w:r/>
            <w:r>
              <w:rPr>
                <w:rFonts w:eastAsia="맑은 고딕"/>
                <w:rFonts w:ascii="맑은 고딕" w:hAnsi="맑은 고딕"/>
                <w:b w:val="0"/>
                <w:i w:val="0"/>
                <w:sz w:val="16"/>
              </w:rPr>
              <w:t>0.8613±0.0156</w:t>
            </w:r>
          </w:p>
        </w:tc>
        <w:tc>
          <w:tcPr>
            <w:tcW w:type="dxa" w:w="3024"/>
          </w:tcPr>
          <w:p>
            <w:pPr>
              <w:jc w:val="center"/>
            </w:pPr>
            <w:r/>
            <w:r>
              <w:rPr>
                <w:rFonts w:eastAsia="맑은 고딕"/>
                <w:rFonts w:ascii="맑은 고딕" w:hAnsi="맑은 고딕"/>
                <w:b w:val="0"/>
                <w:i w:val="0"/>
                <w:sz w:val="16"/>
              </w:rPr>
              <w:t>0.00195**</w:t>
            </w:r>
          </w:p>
        </w:tc>
      </w:tr>
      <w:tr>
        <w:tc>
          <w:tcPr>
            <w:tcW w:type="dxa" w:w="3024"/>
          </w:tcPr>
          <w:p>
            <w:pPr>
              <w:jc w:val="center"/>
            </w:pPr>
            <w:r/>
            <w:r>
              <w:rPr>
                <w:rFonts w:eastAsia="맑은 고딕"/>
                <w:rFonts w:ascii="맑은 고딕" w:hAnsi="맑은 고딕"/>
                <w:b w:val="0"/>
                <w:i w:val="0"/>
                <w:sz w:val="16"/>
              </w:rPr>
              <w:t>DAAC-MLP</w:t>
            </w:r>
          </w:p>
        </w:tc>
        <w:tc>
          <w:tcPr>
            <w:tcW w:type="dxa" w:w="3024"/>
          </w:tcPr>
          <w:p>
            <w:pPr>
              <w:jc w:val="center"/>
            </w:pPr>
            <w:r/>
            <w:r>
              <w:rPr>
                <w:rFonts w:eastAsia="맑은 고딕"/>
                <w:rFonts w:ascii="맑은 고딕" w:hAnsi="맑은 고딕"/>
                <w:b w:val="0"/>
                <w:i w:val="0"/>
                <w:sz w:val="16"/>
              </w:rPr>
              <w:t>0.8570±0.0122</w:t>
            </w:r>
          </w:p>
        </w:tc>
        <w:tc>
          <w:tcPr>
            <w:tcW w:type="dxa" w:w="3024"/>
          </w:tcPr>
          <w:p>
            <w:pPr>
              <w:jc w:val="center"/>
            </w:pPr>
            <w:r/>
            <w:r>
              <w:rPr>
                <w:rFonts w:eastAsia="맑은 고딕"/>
                <w:rFonts w:ascii="맑은 고딕" w:hAnsi="맑은 고딕"/>
                <w:b w:val="0"/>
                <w:i w:val="0"/>
                <w:sz w:val="16"/>
              </w:rPr>
              <w:t>0.00195**</w:t>
            </w:r>
          </w:p>
        </w:tc>
      </w:tr>
    </w:tbl>
    <w:p>
      <w:pPr>
        <w:spacing w:before="40" w:after="80"/>
        <w:jc w:val="center"/>
      </w:pPr>
      <w:r>
        <w:rPr>
          <w:rFonts w:eastAsia="맑은 고딕"/>
          <w:rFonts w:ascii="맑은 고딕" w:hAnsi="맑은 고딕"/>
          <w:b/>
          <w:i w:val="0"/>
          <w:sz w:val="16"/>
        </w:rPr>
        <w:t>&lt;표 1&gt; Macro-F1 비교 (10 seeds, **p&lt;0.01)</w:t>
      </w:r>
    </w:p>
    <w:p>
      <w:pPr>
        <w:spacing w:before="0" w:after="40"/>
        <w:ind w:firstLine="200"/>
        <w:jc w:val="left"/>
      </w:pPr>
      <w:r>
        <w:rPr>
          <w:rFonts w:eastAsia="맑은 고딕"/>
          <w:rFonts w:ascii="맑은 고딕" w:hAnsi="맑은 고딕"/>
          <w:b w:val="0"/>
          <w:i w:val="0"/>
          <w:sz w:val="18"/>
        </w:rPr>
        <w:t>DAAC 계열은 모든 10 seed에서 COBRA 대비 일관되게 우수하다. 가장 단순한 Logistic Stacking(A4+LR)조차 +0.584의 절대 우위를 보이며, 불일치 특징 학습 자체의 기여임을 시사한다.</w:t>
      </w:r>
    </w:p>
    <w:p>
      <w:pPr>
        <w:spacing w:before="60" w:after="40"/>
        <w:jc w:val="left"/>
      </w:pPr>
      <w:r>
        <w:rPr>
          <w:rFonts w:eastAsia="맑은 고딕"/>
          <w:rFonts w:ascii="맑은 고딕" w:hAnsi="맑은 고딕"/>
          <w:b/>
          <w:i w:val="0"/>
          <w:sz w:val="18"/>
        </w:rPr>
        <w:t>4.3 클래스별 성능</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eastAsia="맑은 고딕"/>
                <w:rFonts w:ascii="맑은 고딕" w:hAnsi="맑은 고딕"/>
                <w:b/>
                <w:i w:val="0"/>
                <w:sz w:val="16"/>
              </w:rPr>
              <w:t>방법</w:t>
            </w:r>
          </w:p>
        </w:tc>
        <w:tc>
          <w:tcPr>
            <w:tcW w:type="dxa" w:w="2268"/>
          </w:tcPr>
          <w:p>
            <w:pPr>
              <w:jc w:val="center"/>
            </w:pPr>
            <w:r/>
            <w:r>
              <w:rPr>
                <w:rFonts w:eastAsia="맑은 고딕"/>
                <w:rFonts w:ascii="맑은 고딕" w:hAnsi="맑은 고딕"/>
                <w:b/>
                <w:i w:val="0"/>
                <w:sz w:val="16"/>
              </w:rPr>
              <w:t>Auth.</w:t>
            </w:r>
          </w:p>
        </w:tc>
        <w:tc>
          <w:tcPr>
            <w:tcW w:type="dxa" w:w="2268"/>
          </w:tcPr>
          <w:p>
            <w:pPr>
              <w:jc w:val="center"/>
            </w:pPr>
            <w:r/>
            <w:r>
              <w:rPr>
                <w:rFonts w:eastAsia="맑은 고딕"/>
                <w:rFonts w:ascii="맑은 고딕" w:hAnsi="맑은 고딕"/>
                <w:b/>
                <w:i w:val="0"/>
                <w:sz w:val="16"/>
              </w:rPr>
              <w:t>Manip.</w:t>
            </w:r>
          </w:p>
        </w:tc>
        <w:tc>
          <w:tcPr>
            <w:tcW w:type="dxa" w:w="2268"/>
          </w:tcPr>
          <w:p>
            <w:pPr>
              <w:jc w:val="center"/>
            </w:pPr>
            <w:r/>
            <w:r>
              <w:rPr>
                <w:rFonts w:eastAsia="맑은 고딕"/>
                <w:rFonts w:ascii="맑은 고딕" w:hAnsi="맑은 고딕"/>
                <w:b/>
                <w:i w:val="0"/>
                <w:sz w:val="16"/>
              </w:rPr>
              <w:t>AI-Gen.</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pPr>
              <w:jc w:val="center"/>
            </w:pPr>
            <w:r/>
            <w:r>
              <w:rPr>
                <w:rFonts w:eastAsia="맑은 고딕"/>
                <w:rFonts w:ascii="맑은 고딕" w:hAnsi="맑은 고딕"/>
                <w:b w:val="0"/>
                <w:i w:val="0"/>
                <w:sz w:val="16"/>
              </w:rPr>
              <w:t>Frequency</w:t>
            </w:r>
          </w:p>
        </w:tc>
        <w:tc>
          <w:tcPr>
            <w:tcW w:type="dxa" w:w="2268"/>
          </w:tcPr>
          <w:p>
            <w:pPr>
              <w:jc w:val="center"/>
            </w:pPr>
            <w:r/>
            <w:r>
              <w:rPr>
                <w:rFonts w:eastAsia="맑은 고딕"/>
                <w:rFonts w:ascii="맑은 고딕" w:hAnsi="맑은 고딕"/>
                <w:b w:val="0"/>
                <w:i w:val="0"/>
                <w:sz w:val="16"/>
              </w:rPr>
              <w:t>0.804</w:t>
            </w:r>
          </w:p>
        </w:tc>
        <w:tc>
          <w:tcPr>
            <w:tcW w:type="dxa" w:w="2268"/>
          </w:tcPr>
          <w:p>
            <w:pPr>
              <w:jc w:val="center"/>
            </w:pPr>
            <w:r/>
            <w:r>
              <w:rPr>
                <w:rFonts w:eastAsia="맑은 고딕"/>
                <w:rFonts w:ascii="맑은 고딕" w:hAnsi="맑은 고딕"/>
                <w:b w:val="0"/>
                <w:i w:val="0"/>
                <w:sz w:val="16"/>
              </w:rPr>
              <w:t>0.481</w:t>
            </w:r>
          </w:p>
        </w:tc>
        <w:tc>
          <w:tcPr>
            <w:tcW w:type="dxa" w:w="2268"/>
          </w:tcPr>
          <w:p>
            <w:pPr>
              <w:jc w:val="center"/>
            </w:pPr>
            <w:r/>
            <w:r>
              <w:rPr>
                <w:rFonts w:eastAsia="맑은 고딕"/>
                <w:rFonts w:ascii="맑은 고딕" w:hAnsi="맑은 고딕"/>
                <w:b w:val="0"/>
                <w:i w:val="0"/>
                <w:sz w:val="16"/>
              </w:rPr>
              <w:t>0.000</w:t>
            </w:r>
          </w:p>
        </w:tc>
      </w:tr>
      <w:tr>
        <w:tc>
          <w:tcPr>
            <w:tcW w:type="dxa" w:w="2268"/>
          </w:tcPr>
          <w:p>
            <w:pPr>
              <w:jc w:val="center"/>
            </w:pPr>
            <w:r/>
            <w:r>
              <w:rPr>
                <w:rFonts w:eastAsia="맑은 고딕"/>
                <w:rFonts w:ascii="맑은 고딕" w:hAnsi="맑은 고딕"/>
                <w:b w:val="0"/>
                <w:i w:val="0"/>
                <w:sz w:val="16"/>
              </w:rPr>
              <w:t>Noise</w:t>
            </w:r>
          </w:p>
        </w:tc>
        <w:tc>
          <w:tcPr>
            <w:tcW w:type="dxa" w:w="2268"/>
          </w:tcPr>
          <w:p>
            <w:pPr>
              <w:jc w:val="center"/>
            </w:pPr>
            <w:r/>
            <w:r>
              <w:rPr>
                <w:rFonts w:eastAsia="맑은 고딕"/>
                <w:rFonts w:ascii="맑은 고딕" w:hAnsi="맑은 고딕"/>
                <w:b w:val="0"/>
                <w:i w:val="0"/>
                <w:sz w:val="16"/>
              </w:rPr>
              <w:t>0.558</w:t>
            </w:r>
          </w:p>
        </w:tc>
        <w:tc>
          <w:tcPr>
            <w:tcW w:type="dxa" w:w="2268"/>
          </w:tcPr>
          <w:p>
            <w:pPr>
              <w:jc w:val="center"/>
            </w:pPr>
            <w:r/>
            <w:r>
              <w:rPr>
                <w:rFonts w:eastAsia="맑은 고딕"/>
                <w:rFonts w:ascii="맑은 고딕" w:hAnsi="맑은 고딕"/>
                <w:b w:val="0"/>
                <w:i w:val="0"/>
                <w:sz w:val="16"/>
              </w:rPr>
              <w:t>0.476</w:t>
            </w:r>
          </w:p>
        </w:tc>
        <w:tc>
          <w:tcPr>
            <w:tcW w:type="dxa" w:w="2268"/>
          </w:tcPr>
          <w:p>
            <w:pPr>
              <w:jc w:val="center"/>
            </w:pPr>
            <w:r/>
            <w:r>
              <w:rPr>
                <w:rFonts w:eastAsia="맑은 고딕"/>
                <w:rFonts w:ascii="맑은 고딕" w:hAnsi="맑은 고딕"/>
                <w:b w:val="0"/>
                <w:i w:val="0"/>
                <w:sz w:val="16"/>
              </w:rPr>
              <w:t>0.000</w:t>
            </w:r>
          </w:p>
        </w:tc>
      </w:tr>
      <w:tr>
        <w:tc>
          <w:tcPr>
            <w:tcW w:type="dxa" w:w="2268"/>
          </w:tcPr>
          <w:p>
            <w:pPr>
              <w:jc w:val="center"/>
            </w:pPr>
            <w:r/>
            <w:r>
              <w:rPr>
                <w:rFonts w:eastAsia="맑은 고딕"/>
                <w:rFonts w:ascii="맑은 고딕" w:hAnsi="맑은 고딕"/>
                <w:b w:val="0"/>
                <w:i w:val="0"/>
                <w:sz w:val="16"/>
              </w:rPr>
              <w:t>FatFormer</w:t>
            </w:r>
          </w:p>
        </w:tc>
        <w:tc>
          <w:tcPr>
            <w:tcW w:type="dxa" w:w="2268"/>
          </w:tcPr>
          <w:p>
            <w:pPr>
              <w:jc w:val="center"/>
            </w:pPr>
            <w:r/>
            <w:r>
              <w:rPr>
                <w:rFonts w:eastAsia="맑은 고딕"/>
                <w:rFonts w:ascii="맑은 고딕" w:hAnsi="맑은 고딕"/>
                <w:b w:val="0"/>
                <w:i w:val="0"/>
                <w:sz w:val="16"/>
              </w:rPr>
              <w:t>0.542</w:t>
            </w:r>
          </w:p>
        </w:tc>
        <w:tc>
          <w:tcPr>
            <w:tcW w:type="dxa" w:w="2268"/>
          </w:tcPr>
          <w:p>
            <w:pPr>
              <w:jc w:val="center"/>
            </w:pPr>
            <w:r/>
            <w:r>
              <w:rPr>
                <w:rFonts w:eastAsia="맑은 고딕"/>
                <w:rFonts w:ascii="맑은 고딕" w:hAnsi="맑은 고딕"/>
                <w:b w:val="0"/>
                <w:i w:val="0"/>
                <w:sz w:val="16"/>
              </w:rPr>
              <w:t>0.000</w:t>
            </w:r>
          </w:p>
        </w:tc>
        <w:tc>
          <w:tcPr>
            <w:tcW w:type="dxa" w:w="2268"/>
          </w:tcPr>
          <w:p>
            <w:pPr>
              <w:jc w:val="center"/>
            </w:pPr>
            <w:r/>
            <w:r>
              <w:rPr>
                <w:rFonts w:eastAsia="맑은 고딕"/>
                <w:rFonts w:ascii="맑은 고딕" w:hAnsi="맑은 고딕"/>
                <w:b w:val="0"/>
                <w:i w:val="0"/>
                <w:sz w:val="16"/>
              </w:rPr>
              <w:t>0.473</w:t>
            </w:r>
          </w:p>
        </w:tc>
      </w:tr>
      <w:tr>
        <w:tc>
          <w:tcPr>
            <w:tcW w:type="dxa" w:w="2268"/>
          </w:tcPr>
          <w:p>
            <w:pPr>
              <w:jc w:val="center"/>
            </w:pPr>
            <w:r/>
            <w:r>
              <w:rPr>
                <w:rFonts w:eastAsia="맑은 고딕"/>
                <w:rFonts w:ascii="맑은 고딕" w:hAnsi="맑은 고딕"/>
                <w:b w:val="0"/>
                <w:i w:val="0"/>
                <w:sz w:val="16"/>
              </w:rPr>
              <w:t>Spatial</w:t>
            </w:r>
          </w:p>
        </w:tc>
        <w:tc>
          <w:tcPr>
            <w:tcW w:type="dxa" w:w="2268"/>
          </w:tcPr>
          <w:p>
            <w:pPr>
              <w:jc w:val="center"/>
            </w:pPr>
            <w:r/>
            <w:r>
              <w:rPr>
                <w:rFonts w:eastAsia="맑은 고딕"/>
                <w:rFonts w:ascii="맑은 고딕" w:hAnsi="맑은 고딕"/>
                <w:b w:val="0"/>
                <w:i w:val="0"/>
                <w:sz w:val="16"/>
              </w:rPr>
              <w:t>0.570</w:t>
            </w:r>
          </w:p>
        </w:tc>
        <w:tc>
          <w:tcPr>
            <w:tcW w:type="dxa" w:w="2268"/>
          </w:tcPr>
          <w:p>
            <w:pPr>
              <w:jc w:val="center"/>
            </w:pPr>
            <w:r/>
            <w:r>
              <w:rPr>
                <w:rFonts w:eastAsia="맑은 고딕"/>
                <w:rFonts w:ascii="맑은 고딕" w:hAnsi="맑은 고딕"/>
                <w:b w:val="0"/>
                <w:i w:val="0"/>
                <w:sz w:val="16"/>
              </w:rPr>
              <w:t>0.355</w:t>
            </w:r>
          </w:p>
        </w:tc>
        <w:tc>
          <w:tcPr>
            <w:tcW w:type="dxa" w:w="2268"/>
          </w:tcPr>
          <w:p>
            <w:pPr>
              <w:jc w:val="center"/>
            </w:pPr>
            <w:r/>
            <w:r>
              <w:rPr>
                <w:rFonts w:eastAsia="맑은 고딕"/>
                <w:rFonts w:ascii="맑은 고딕" w:hAnsi="맑은 고딕"/>
                <w:b w:val="0"/>
                <w:i w:val="0"/>
                <w:sz w:val="16"/>
              </w:rPr>
              <w:t>0.000</w:t>
            </w:r>
          </w:p>
        </w:tc>
      </w:tr>
      <w:tr>
        <w:tc>
          <w:tcPr>
            <w:tcW w:type="dxa" w:w="2268"/>
          </w:tcPr>
          <w:p>
            <w:pPr>
              <w:jc w:val="center"/>
            </w:pPr>
            <w:r/>
            <w:r>
              <w:rPr>
                <w:rFonts w:eastAsia="맑은 고딕"/>
                <w:rFonts w:ascii="맑은 고딕" w:hAnsi="맑은 고딕"/>
                <w:b w:val="0"/>
                <w:i w:val="0"/>
                <w:sz w:val="16"/>
              </w:rPr>
              <w:t>COBRA</w:t>
            </w:r>
          </w:p>
        </w:tc>
        <w:tc>
          <w:tcPr>
            <w:tcW w:type="dxa" w:w="2268"/>
          </w:tcPr>
          <w:p>
            <w:pPr>
              <w:jc w:val="center"/>
            </w:pPr>
            <w:r/>
            <w:r>
              <w:rPr>
                <w:rFonts w:eastAsia="맑은 고딕"/>
                <w:rFonts w:ascii="맑은 고딕" w:hAnsi="맑은 고딕"/>
                <w:b w:val="0"/>
                <w:i w:val="0"/>
                <w:sz w:val="16"/>
              </w:rPr>
              <w:t>0.573</w:t>
            </w:r>
          </w:p>
        </w:tc>
        <w:tc>
          <w:tcPr>
            <w:tcW w:type="dxa" w:w="2268"/>
          </w:tcPr>
          <w:p>
            <w:pPr>
              <w:jc w:val="center"/>
            </w:pPr>
            <w:r/>
            <w:r>
              <w:rPr>
                <w:rFonts w:eastAsia="맑은 고딕"/>
                <w:rFonts w:ascii="맑은 고딕" w:hAnsi="맑은 고딕"/>
                <w:b w:val="0"/>
                <w:i w:val="0"/>
                <w:sz w:val="16"/>
              </w:rPr>
              <w:t>0.199</w:t>
            </w:r>
          </w:p>
        </w:tc>
        <w:tc>
          <w:tcPr>
            <w:tcW w:type="dxa" w:w="2268"/>
          </w:tcPr>
          <w:p>
            <w:pPr>
              <w:jc w:val="center"/>
            </w:pPr>
            <w:r/>
            <w:r>
              <w:rPr>
                <w:rFonts w:eastAsia="맑은 고딕"/>
                <w:rFonts w:ascii="맑은 고딕" w:hAnsi="맑은 고딕"/>
                <w:b w:val="0"/>
                <w:i w:val="0"/>
                <w:sz w:val="16"/>
              </w:rPr>
              <w:t>0.027</w:t>
            </w:r>
          </w:p>
        </w:tc>
      </w:tr>
      <w:tr>
        <w:tc>
          <w:tcPr>
            <w:tcW w:type="dxa" w:w="2268"/>
          </w:tcPr>
          <w:p>
            <w:pPr>
              <w:jc w:val="center"/>
            </w:pPr>
            <w:r/>
            <w:r>
              <w:rPr>
                <w:rFonts w:eastAsia="맑은 고딕"/>
                <w:rFonts w:ascii="맑은 고딕" w:hAnsi="맑은 고딕"/>
                <w:b w:val="0"/>
                <w:i w:val="0"/>
                <w:sz w:val="16"/>
              </w:rPr>
              <w:t>DAAC-GBM</w:t>
            </w:r>
          </w:p>
        </w:tc>
        <w:tc>
          <w:tcPr>
            <w:tcW w:type="dxa" w:w="2268"/>
          </w:tcPr>
          <w:p>
            <w:pPr>
              <w:jc w:val="center"/>
            </w:pPr>
            <w:r/>
            <w:r>
              <w:rPr>
                <w:rFonts w:eastAsia="맑은 고딕"/>
                <w:rFonts w:ascii="맑은 고딕" w:hAnsi="맑은 고딕"/>
                <w:b w:val="0"/>
                <w:i w:val="0"/>
                <w:sz w:val="16"/>
              </w:rPr>
              <w:t>0.821</w:t>
            </w:r>
          </w:p>
        </w:tc>
        <w:tc>
          <w:tcPr>
            <w:tcW w:type="dxa" w:w="2268"/>
          </w:tcPr>
          <w:p>
            <w:pPr>
              <w:jc w:val="center"/>
            </w:pPr>
            <w:r/>
            <w:r>
              <w:rPr>
                <w:rFonts w:eastAsia="맑은 고딕"/>
                <w:rFonts w:ascii="맑은 고딕" w:hAnsi="맑은 고딕"/>
                <w:b w:val="0"/>
                <w:i w:val="0"/>
                <w:sz w:val="16"/>
              </w:rPr>
              <w:t>0.800</w:t>
            </w:r>
          </w:p>
        </w:tc>
        <w:tc>
          <w:tcPr>
            <w:tcW w:type="dxa" w:w="2268"/>
          </w:tcPr>
          <w:p>
            <w:pPr>
              <w:jc w:val="center"/>
            </w:pPr>
            <w:r/>
            <w:r>
              <w:rPr>
                <w:rFonts w:eastAsia="맑은 고딕"/>
                <w:rFonts w:ascii="맑은 고딕" w:hAnsi="맑은 고딕"/>
                <w:b w:val="0"/>
                <w:i w:val="0"/>
                <w:sz w:val="16"/>
              </w:rPr>
              <w:t>0.963</w:t>
            </w:r>
          </w:p>
        </w:tc>
      </w:tr>
    </w:tbl>
    <w:p>
      <w:pPr>
        <w:spacing w:before="40" w:after="80"/>
        <w:jc w:val="center"/>
      </w:pPr>
      <w:r>
        <w:rPr>
          <w:rFonts w:eastAsia="맑은 고딕"/>
          <w:rFonts w:ascii="맑은 고딕" w:hAnsi="맑은 고딕"/>
          <w:b/>
          <w:i w:val="0"/>
          <w:sz w:val="16"/>
        </w:rPr>
        <w:t>&lt;표 2&gt; 클래스별 F1 (10-seed 평균)</w:t>
      </w:r>
    </w:p>
    <w:p>
      <w:pPr>
        <w:spacing w:before="0" w:after="40"/>
        <w:ind w:firstLine="200"/>
        <w:jc w:val="left"/>
      </w:pPr>
      <w:r>
        <w:rPr>
          <w:rFonts w:eastAsia="맑은 고딕"/>
          <w:rFonts w:ascii="맑은 고딕" w:hAnsi="맑은 고딕"/>
          <w:b w:val="0"/>
          <w:i w:val="0"/>
          <w:sz w:val="18"/>
        </w:rPr>
        <w:t>Frequency/Noise/Spatial은 ai_generated F1=0.000, FatFormer는 manipulated F1=0.000의 구조적 맹점을 가진다. COBRA는 이 맹점들을 가중 합산하여 전파하는 반면, DAAC-GBM은 충돌 패턴을 학습하여 세 클래스 모두에서 균형 잡힌 성능을 달성한다.</w:t>
      </w:r>
    </w:p>
    <w:p>
      <w:pPr>
        <w:spacing w:before="60" w:after="40"/>
        <w:jc w:val="left"/>
      </w:pPr>
      <w:r>
        <w:rPr>
          <w:rFonts w:eastAsia="맑은 고딕"/>
          <w:rFonts w:ascii="맑은 고딕" w:hAnsi="맑은 고딕"/>
          <w:b/>
          <w:i w:val="0"/>
          <w:sz w:val="18"/>
        </w:rPr>
        <w:t>4.4 특징 Ablation</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
              <w:rPr>
                <w:rFonts w:eastAsia="맑은 고딕"/>
                <w:rFonts w:ascii="맑은 고딕" w:hAnsi="맑은 고딕"/>
                <w:b/>
                <w:i w:val="0"/>
                <w:sz w:val="16"/>
              </w:rPr>
              <w:t>특징 구성</w:t>
            </w:r>
          </w:p>
        </w:tc>
        <w:tc>
          <w:tcPr>
            <w:tcW w:type="dxa" w:w="3024"/>
          </w:tcPr>
          <w:p>
            <w:pPr>
              <w:jc w:val="center"/>
            </w:pPr>
            <w:r/>
            <w:r>
              <w:rPr>
                <w:rFonts w:eastAsia="맑은 고딕"/>
                <w:rFonts w:ascii="맑은 고딕" w:hAnsi="맑은 고딕"/>
                <w:b/>
                <w:i w:val="0"/>
                <w:sz w:val="16"/>
              </w:rPr>
              <w:t>Dim</w:t>
            </w:r>
          </w:p>
        </w:tc>
        <w:tc>
          <w:tcPr>
            <w:tcW w:type="dxa" w:w="3024"/>
          </w:tcPr>
          <w:p>
            <w:pPr>
              <w:jc w:val="center"/>
            </w:pPr>
            <w:r/>
            <w:r>
              <w:rPr>
                <w:rFonts w:eastAsia="맑은 고딕"/>
                <w:rFonts w:ascii="맑은 고딕" w:hAnsi="맑은 고딕"/>
                <w:b/>
                <w:i w:val="0"/>
                <w:sz w:val="16"/>
              </w:rPr>
              <w:t>Macro-F1</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pPr>
              <w:jc w:val="center"/>
            </w:pPr>
            <w:r/>
            <w:r>
              <w:rPr>
                <w:rFonts w:eastAsia="맑은 고딕"/>
                <w:rFonts w:ascii="맑은 고딕" w:hAnsi="맑은 고딕"/>
                <w:b w:val="0"/>
                <w:i w:val="0"/>
                <w:sz w:val="16"/>
              </w:rPr>
              <w:t>A1: confidence only</w:t>
            </w:r>
          </w:p>
        </w:tc>
        <w:tc>
          <w:tcPr>
            <w:tcW w:type="dxa" w:w="3024"/>
          </w:tcPr>
          <w:p>
            <w:pPr>
              <w:jc w:val="center"/>
            </w:pPr>
            <w:r/>
            <w:r>
              <w:rPr>
                <w:rFonts w:eastAsia="맑은 고딕"/>
                <w:rFonts w:ascii="맑은 고딕" w:hAnsi="맑은 고딕"/>
                <w:b w:val="0"/>
                <w:i w:val="0"/>
                <w:sz w:val="16"/>
              </w:rPr>
              <w:t>4</w:t>
            </w:r>
          </w:p>
        </w:tc>
        <w:tc>
          <w:tcPr>
            <w:tcW w:type="dxa" w:w="3024"/>
          </w:tcPr>
          <w:p>
            <w:pPr>
              <w:jc w:val="center"/>
            </w:pPr>
            <w:r/>
            <w:r>
              <w:rPr>
                <w:rFonts w:eastAsia="맑은 고딕"/>
                <w:rFonts w:ascii="맑은 고딕" w:hAnsi="맑은 고딕"/>
                <w:b w:val="0"/>
                <w:i w:val="0"/>
                <w:sz w:val="16"/>
              </w:rPr>
              <w:t>0.7972±0.0149</w:t>
            </w:r>
          </w:p>
        </w:tc>
      </w:tr>
      <w:tr>
        <w:tc>
          <w:tcPr>
            <w:tcW w:type="dxa" w:w="3024"/>
          </w:tcPr>
          <w:p>
            <w:pPr>
              <w:jc w:val="center"/>
            </w:pPr>
            <w:r/>
            <w:r>
              <w:rPr>
                <w:rFonts w:eastAsia="맑은 고딕"/>
                <w:rFonts w:ascii="맑은 고딕" w:hAnsi="맑은 고딕"/>
                <w:b w:val="0"/>
                <w:i w:val="0"/>
                <w:sz w:val="16"/>
              </w:rPr>
              <w:t>A2: verdict only</w:t>
            </w:r>
          </w:p>
        </w:tc>
        <w:tc>
          <w:tcPr>
            <w:tcW w:type="dxa" w:w="3024"/>
          </w:tcPr>
          <w:p>
            <w:pPr>
              <w:jc w:val="center"/>
            </w:pPr>
            <w:r/>
            <w:r>
              <w:rPr>
                <w:rFonts w:eastAsia="맑은 고딕"/>
                <w:rFonts w:ascii="맑은 고딕" w:hAnsi="맑은 고딕"/>
                <w:b w:val="0"/>
                <w:i w:val="0"/>
                <w:sz w:val="16"/>
              </w:rPr>
              <w:t>16</w:t>
            </w:r>
          </w:p>
        </w:tc>
        <w:tc>
          <w:tcPr>
            <w:tcW w:type="dxa" w:w="3024"/>
          </w:tcPr>
          <w:p>
            <w:pPr>
              <w:jc w:val="center"/>
            </w:pPr>
            <w:r/>
            <w:r>
              <w:rPr>
                <w:rFonts w:eastAsia="맑은 고딕"/>
                <w:rFonts w:ascii="맑은 고딕" w:hAnsi="맑은 고딕"/>
                <w:b w:val="0"/>
                <w:i w:val="0"/>
                <w:sz w:val="16"/>
              </w:rPr>
              <w:t>0.7596±0.0213</w:t>
            </w:r>
          </w:p>
        </w:tc>
      </w:tr>
      <w:tr>
        <w:tc>
          <w:tcPr>
            <w:tcW w:type="dxa" w:w="3024"/>
          </w:tcPr>
          <w:p>
            <w:pPr>
              <w:jc w:val="center"/>
            </w:pPr>
            <w:r/>
            <w:r>
              <w:rPr>
                <w:rFonts w:eastAsia="맑은 고딕"/>
                <w:rFonts w:ascii="맑은 고딕" w:hAnsi="맑은 고딕"/>
                <w:b w:val="0"/>
                <w:i w:val="0"/>
                <w:sz w:val="16"/>
              </w:rPr>
              <w:t>A3: disagreement only</w:t>
            </w:r>
          </w:p>
        </w:tc>
        <w:tc>
          <w:tcPr>
            <w:tcW w:type="dxa" w:w="3024"/>
          </w:tcPr>
          <w:p>
            <w:pPr>
              <w:jc w:val="center"/>
            </w:pPr>
            <w:r/>
            <w:r>
              <w:rPr>
                <w:rFonts w:eastAsia="맑은 고딕"/>
                <w:rFonts w:ascii="맑은 고딕" w:hAnsi="맑은 고딕"/>
                <w:b w:val="0"/>
                <w:i w:val="0"/>
                <w:sz w:val="16"/>
              </w:rPr>
              <w:t>23</w:t>
            </w:r>
          </w:p>
        </w:tc>
        <w:tc>
          <w:tcPr>
            <w:tcW w:type="dxa" w:w="3024"/>
          </w:tcPr>
          <w:p>
            <w:pPr>
              <w:jc w:val="center"/>
            </w:pPr>
            <w:r/>
            <w:r>
              <w:rPr>
                <w:rFonts w:eastAsia="맑은 고딕"/>
                <w:rFonts w:ascii="맑은 고딕" w:hAnsi="맑은 고딕"/>
                <w:b w:val="0"/>
                <w:i w:val="0"/>
                <w:sz w:val="16"/>
              </w:rPr>
              <w:t>0.8534±0.0102</w:t>
            </w:r>
          </w:p>
        </w:tc>
      </w:tr>
      <w:tr>
        <w:tc>
          <w:tcPr>
            <w:tcW w:type="dxa" w:w="3024"/>
          </w:tcPr>
          <w:p>
            <w:pPr>
              <w:jc w:val="center"/>
            </w:pPr>
            <w:r/>
            <w:r>
              <w:rPr>
                <w:rFonts w:eastAsia="맑은 고딕"/>
                <w:rFonts w:ascii="맑은 고딕" w:hAnsi="맑은 고딕"/>
                <w:b w:val="0"/>
                <w:i w:val="0"/>
                <w:sz w:val="16"/>
              </w:rPr>
              <w:t>A4: verdict+conf.</w:t>
            </w:r>
          </w:p>
        </w:tc>
        <w:tc>
          <w:tcPr>
            <w:tcW w:type="dxa" w:w="3024"/>
          </w:tcPr>
          <w:p>
            <w:pPr>
              <w:jc w:val="center"/>
            </w:pPr>
            <w:r/>
            <w:r>
              <w:rPr>
                <w:rFonts w:eastAsia="맑은 고딕"/>
                <w:rFonts w:ascii="맑은 고딕" w:hAnsi="맑은 고딕"/>
                <w:b w:val="0"/>
                <w:i w:val="0"/>
                <w:sz w:val="16"/>
              </w:rPr>
              <w:t>20</w:t>
            </w:r>
          </w:p>
        </w:tc>
        <w:tc>
          <w:tcPr>
            <w:tcW w:type="dxa" w:w="3024"/>
          </w:tcPr>
          <w:p>
            <w:pPr>
              <w:jc w:val="center"/>
            </w:pPr>
            <w:r/>
            <w:r>
              <w:rPr>
                <w:rFonts w:eastAsia="맑은 고딕"/>
                <w:rFonts w:ascii="맑은 고딕" w:hAnsi="맑은 고딕"/>
                <w:b w:val="0"/>
                <w:i w:val="0"/>
                <w:sz w:val="16"/>
              </w:rPr>
              <w:t>0.8506±0.0202</w:t>
            </w:r>
          </w:p>
        </w:tc>
      </w:tr>
      <w:tr>
        <w:tc>
          <w:tcPr>
            <w:tcW w:type="dxa" w:w="3024"/>
          </w:tcPr>
          <w:p>
            <w:pPr>
              <w:jc w:val="center"/>
            </w:pPr>
            <w:r/>
            <w:r>
              <w:rPr>
                <w:rFonts w:eastAsia="맑은 고딕"/>
                <w:rFonts w:ascii="맑은 고딕" w:hAnsi="맑은 고딕"/>
                <w:b w:val="0"/>
                <w:i w:val="0"/>
                <w:sz w:val="16"/>
              </w:rPr>
              <w:t>A5: full DAAC (제안)</w:t>
            </w:r>
          </w:p>
        </w:tc>
        <w:tc>
          <w:tcPr>
            <w:tcW w:type="dxa" w:w="3024"/>
          </w:tcPr>
          <w:p>
            <w:pPr>
              <w:jc w:val="center"/>
            </w:pPr>
            <w:r/>
            <w:r>
              <w:rPr>
                <w:rFonts w:eastAsia="맑은 고딕"/>
                <w:rFonts w:ascii="맑은 고딕" w:hAnsi="맑은 고딕"/>
                <w:b w:val="0"/>
                <w:i w:val="0"/>
                <w:sz w:val="16"/>
              </w:rPr>
              <w:t>43</w:t>
            </w:r>
          </w:p>
        </w:tc>
        <w:tc>
          <w:tcPr>
            <w:tcW w:type="dxa" w:w="3024"/>
          </w:tcPr>
          <w:p>
            <w:pPr>
              <w:jc w:val="center"/>
            </w:pPr>
            <w:r/>
            <w:r>
              <w:rPr>
                <w:rFonts w:eastAsia="맑은 고딕"/>
                <w:rFonts w:ascii="맑은 고딕" w:hAnsi="맑은 고딕"/>
                <w:b w:val="0"/>
                <w:i w:val="0"/>
                <w:sz w:val="16"/>
              </w:rPr>
              <w:t>0.8613±0.0156</w:t>
            </w:r>
          </w:p>
        </w:tc>
      </w:tr>
    </w:tbl>
    <w:p>
      <w:pPr>
        <w:spacing w:before="40" w:after="80"/>
        <w:jc w:val="center"/>
      </w:pPr>
      <w:r>
        <w:rPr>
          <w:rFonts w:eastAsia="맑은 고딕"/>
          <w:rFonts w:ascii="맑은 고딕" w:hAnsi="맑은 고딕"/>
          <w:b/>
          <w:i w:val="0"/>
          <w:sz w:val="16"/>
        </w:rPr>
        <w:t>&lt;표 3&gt; 특징 Ablation 결과 (GBM)</w:t>
      </w:r>
    </w:p>
    <w:p>
      <w:pPr>
        <w:spacing w:before="0" w:after="40"/>
        <w:ind w:firstLine="200"/>
        <w:jc w:val="left"/>
      </w:pPr>
      <w:r>
        <w:rPr>
          <w:rFonts w:eastAsia="맑은 고딕"/>
          <w:rFonts w:ascii="맑은 고딕" w:hAnsi="맑은 고딕"/>
          <w:b w:val="0"/>
          <w:i w:val="0"/>
          <w:sz w:val="18"/>
        </w:rPr>
        <w:t>A3(불일치+집계, 23-dim)이 이미 0.8534로 높아, 불일치 구조 자체가 핵심 탐지 신호임을 확인한다. A3 &gt; A4(0.8506)는 불일치 패턴이 개별 판정·confidence보다 강한 구분 신호임을 의미한다.</w:t>
      </w:r>
    </w:p>
    <w:p>
      <w:pPr>
        <w:spacing w:before="60" w:after="40"/>
        <w:jc w:val="left"/>
      </w:pPr>
      <w:r>
        <w:rPr>
          <w:rFonts w:eastAsia="맑은 고딕"/>
          <w:rFonts w:ascii="맑은 고딕" w:hAnsi="맑은 고딕"/>
          <w:b/>
          <w:i w:val="0"/>
          <w:sz w:val="18"/>
        </w:rPr>
        <w:t>4.5 다중 데이터 일반화</w:t>
      </w:r>
    </w:p>
    <w:p>
      <w:pPr>
        <w:spacing w:before="0" w:after="40"/>
        <w:ind w:firstLine="200"/>
        <w:jc w:val="left"/>
      </w:pPr>
      <w:r>
        <w:rPr>
          <w:rFonts w:eastAsia="맑은 고딕"/>
          <w:rFonts w:ascii="맑은 고딕" w:hAnsi="맑은 고딕"/>
          <w:b w:val="0"/>
          <w:i w:val="0"/>
          <w:sz w:val="18"/>
        </w:rPr>
        <w:t>6개 데이터 조합 60회 반복(Protocol-M)에서 DAAC는 COBRA 대비 +0.493 우위를 일관되게 유지했다(Wilcoxon p=1.63e-11, sign pos/neg=60/0). 단 한 번도 COBRA가 DAAC를 능가하지 못하였다.</w:t>
      </w:r>
    </w:p>
    <w:p>
      <w:pPr>
        <w:spacing w:before="120" w:after="40"/>
        <w:jc w:val="left"/>
      </w:pPr>
      <w:r>
        <w:rPr>
          <w:rFonts w:eastAsia="맑은 고딕"/>
          <w:rFonts w:ascii="맑은 고딕" w:hAnsi="맑은 고딕"/>
          <w:b/>
          <w:i w:val="0"/>
          <w:sz w:val="18"/>
        </w:rPr>
        <w:t>5. 결론</w:t>
      </w:r>
    </w:p>
    <w:p>
      <w:pPr>
        <w:spacing w:before="0" w:after="40"/>
        <w:ind w:firstLine="200"/>
        <w:jc w:val="left"/>
      </w:pPr>
      <w:r>
        <w:rPr>
          <w:rFonts w:eastAsia="맑은 고딕"/>
          <w:rFonts w:ascii="맑은 고딕" w:hAnsi="맑은 고딕"/>
          <w:b w:val="0"/>
          <w:i w:val="0"/>
          <w:sz w:val="18"/>
        </w:rPr>
        <w:t>본 논문은 다중 에이전트 이미지 포렌식에서 에이전트 간 불일치 패턴을 명시적으로 학습하는 합의 메커니즘 DAAC를 제안하였다. 43차원 메타 특징 위의 GBM 분류기인 DAAC-GBM은 규칙형 합의(COBRA) 대비 macro-F1 0.861 vs 0.266(p=0.00195)의 유의한 우위를 보이며, 6개 데이터 조합 60회 반복에서도 일관된 우위를 확인하였다(sign 60/0). 에이전트 성능 개선 없이 합의 계층만 개선해도 +0.43~+0.55의 F1 향상이 가능하며, 다중 에이전트 시스템에서 합의 방식 설계가 개별 에이전트 성능만큼 중요함을 시사한다.</w:t>
      </w:r>
    </w:p>
    <w:p>
      <w:pPr>
        <w:spacing w:before="120" w:after="40"/>
        <w:jc w:val="left"/>
      </w:pPr>
      <w:r>
        <w:rPr>
          <w:rFonts w:eastAsia="맑은 고딕"/>
          <w:rFonts w:ascii="맑은 고딕" w:hAnsi="맑은 고딕"/>
          <w:b/>
          <w:i w:val="0"/>
          <w:sz w:val="18"/>
        </w:rPr>
        <w:t>참고문헌</w:t>
      </w:r>
    </w:p>
    <w:p>
      <w:pPr>
        <w:spacing w:after="40"/>
        <w:ind w:left="360" w:hanging="360"/>
      </w:pPr>
      <w:r>
        <w:rPr>
          <w:rFonts w:eastAsia="맑은 고딕"/>
          <w:rFonts w:ascii="맑은 고딕" w:hAnsi="맑은 고딕"/>
          <w:b w:val="0"/>
          <w:i w:val="0"/>
          <w:sz w:val="16"/>
        </w:rPr>
        <w:t>[1] Z. Haider, et al. "Consensus-Based Reward Model for Better Alignment of Large Language Models" Scientific Reports, Vol. 15, Article 4004, 2025.</w:t>
      </w:r>
    </w:p>
    <w:p>
      <w:pPr>
        <w:spacing w:after="40"/>
        <w:ind w:left="360" w:hanging="360"/>
      </w:pPr>
      <w:r>
        <w:rPr>
          <w:rFonts w:eastAsia="맑은 고딕"/>
          <w:rFonts w:ascii="맑은 고딕" w:hAnsi="맑은 고딕"/>
          <w:b w:val="0"/>
          <w:i w:val="0"/>
          <w:sz w:val="16"/>
        </w:rPr>
        <w:t>[2] H. Liu, et al. "Learning to Detect AI-Generated Images via FatFormer" IEEE/CVF Conference on Computer Vision and Pattern Recognition (CVPR), Seattle, 2024, pp. 10770-10780.</w:t>
      </w:r>
    </w:p>
    <w:p>
      <w:pPr>
        <w:spacing w:after="40"/>
        <w:ind w:left="360" w:hanging="360"/>
      </w:pPr>
      <w:r>
        <w:rPr>
          <w:rFonts w:eastAsia="맑은 고딕"/>
          <w:rFonts w:ascii="맑은 고딕" w:hAnsi="맑은 고딕"/>
          <w:b w:val="0"/>
          <w:i w:val="0"/>
          <w:sz w:val="16"/>
        </w:rPr>
        <w:t>[3] F. Guillaro, et al. "TruFor: Leveraging All-Round Clues for Trustworthy Image Forgery Detection and Localization" IEEE/CVF Conference on Computer Vision and Pattern Recognition (CVPR), Vancouver, 2023, pp. 20606-20615.</w:t>
      </w:r>
    </w:p>
    <w:sectPr w:rsidR="00FC693F" w:rsidRPr="0006063C" w:rsidSect="00034616">
      <w:type w:val="continuous"/>
      <w:pgSz w:w="11906" w:h="16838"/>
      <w:pgMar w:top="1417" w:right="1417" w:bottom="1417" w:left="1417" w:header="720" w:footer="720" w:gutter="0"/>
      <w:cols w:space="720"/>
      <w:docGrid w:linePitch="360"/>
      <w:cols w:num="2"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