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 xml:space="preserve">1. 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>Can the model of triple modular redundancy (三倍模块冗余）handle Byzantine failures? Why?</w:t>
      </w:r>
      <w:r>
        <w:drawing>
          <wp:inline distT="0" distB="0" distL="114300" distR="114300">
            <wp:extent cx="5271135" cy="401129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三倍模块冗余无法解决拜占庭容错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如上图中的两种情况: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①有故障的主节点 P 将两个不同的值分别发送给备份节点 B1 和 B2。为了达成共识，两个备份进程将接收到的值转发给对方。 B1 和 B2 各自收到了值集 {T, F}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②有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故障的节点 B1 错误的值分别发送给备份节点 B2。 B2 各自收到了值集 {T, F}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以上两种情况都显示了三倍模块冗余无法解决拜占庭容错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>In reliable multicasting, is it always necessary that the communication layer keeps a copy of a message for retransmission purposes?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通信层不一定需要保存消息副本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default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①</w:t>
      </w:r>
      <w:r>
        <w:rPr>
          <w:rFonts w:hint="default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当发送方发送消息时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，</w:t>
      </w:r>
      <w:r>
        <w:rPr>
          <w:rFonts w:hint="default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如果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接收方未收到信息则反馈一个消息，</w:t>
      </w:r>
      <w:r>
        <w:rPr>
          <w:rFonts w:hint="default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发送方重传消息。在这种情况下，通信层需要存储消息的副本，以便在需要时进行重传。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default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②</w:t>
      </w:r>
      <w:r>
        <w:rPr>
          <w:rFonts w:hint="default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使用定时可靠多播协议，其中消息会按照一定的时间间隔重复发送，而无需等待接收方的确认。这种方法不需要在通信层保留消息的副本，因为它使用固定的时间间隔进行重传，而不依赖于接收方的确认。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0" w:leftChars="0" w:firstLine="0" w:firstLine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>In the two-phase commit protocol, why can blocking never be completely eliminated, even when the participants elect a new coordinator?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>两阶段提交协议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①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>准备阶段（Prepare Phase）：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>协调者向所有参与者发送事务请求，并询问是否可以进行事务提交。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>每个参与者执行事务操作，并将执行结果和是否可以提交的信息反馈给协调者。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②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>提交阶段（Commit Phase）：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>协调者根据所有参与者的反馈情况，决定事务是否可以提交。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>如果所有参与者都同意提交，协调者向所有参与者发送提交请求；否则，协调者发送中止请求。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但两阶段提交协议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无法判断协作者的最后决定是否到达所有达参与者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，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导致2PC可能被阻塞。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0" w:leftChars="0" w:firstLine="0" w:firstLine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>Does a stateless server need to take checkpoints?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>检查点通常与具有持久状态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>的系统相关。在这种情况下，检查点用于定期保存系统的状态，以便在系统发生故障或需要进行恢复时能够从先前的状态中恢复。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028"/>
        </w:tabs>
        <w:spacing w:before="53" w:beforeAutospacing="0" w:after="0" w:afterAutospacing="1"/>
        <w:ind w:lef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Chars="0"/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>一个无状态的服务器通常不需要进行检查点。"无状态" 意味着服务器在处理请求时不依赖于先前的请求状态。每个请求被视为独立的，服务器不会保留关于请求处理状态的信息。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094E0"/>
    <w:multiLevelType w:val="singleLevel"/>
    <w:tmpl w:val="194094E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49A56953"/>
    <w:rsid w:val="6BBE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刘俊杰</dc:creator>
  <cp:lastModifiedBy>J</cp:lastModifiedBy>
  <dcterms:modified xsi:type="dcterms:W3CDTF">2023-12-22T03:57:42Z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13AAA6D30B12426A9D865ECCD559E93F_12</vt:lpwstr>
  </property>
</Properties>
</file>