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0" w:after="50"/>
      </w:pPr>
      <w:r>
        <w:rPr>
          <w:rFonts w:ascii="Georgia" w:hAnsi="Georgia" w:cs="Georgia"/>
          <w:b/>
          <w:spacing w:val="60"/>
          <w:color w:val="1A2230"/>
          <w:sz w:val="40"/>
          <w:szCs w:val="40"/>
        </w:rPr>
        <w:t xml:space="preserve">JARAH V. JACQUAY</w:t>
      </w:r>
    </w:p>
    <w:p>
      <w:pPr>
        <w:jc w:val="center"/>
        <w:spacing w:before="0" w:after="70"/>
      </w:pPr>
      <w:r>
        <w:rPr>
          <w:rFonts w:ascii="Calibri" w:hAnsi="Calibri" w:cs="Calibri"/>
          <w:caps/>
          <w:spacing w:val="30"/>
          <w:color w:val="555555"/>
          <w:sz w:val="17"/>
          <w:szCs w:val="17"/>
        </w:rPr>
        <w:t xml:space="preserve">MSN, RN, PMGT-BC, CNL, CNU-A, WEDG Associate, LSSGB</w:t>
      </w:r>
    </w:p>
    <w:p>
      <w:pPr>
        <w:jc w:val="center"/>
        <w:spacing w:before="0" w:after="150"/>
        <w:pBdr>
          <w:bottom w:val="single" w:sz="6" w:space="6" w:color="E3E7DE"/>
        </w:pBdr>
      </w:pPr>
      <w:r>
        <w:rPr>
          <w:rFonts w:ascii="Calibri" w:hAnsi="Calibri" w:cs="Calibri"/>
          <w:color w:val="555555"/>
          <w:sz w:val="18"/>
          <w:szCs w:val="18"/>
        </w:rPr>
        <w:t xml:space="preserve">Pensacola, Florida    |    jarah@jjacquay.com    |    linkedin.com/in/jjacquay    |    jjacquay.com</w:t>
      </w:r>
    </w:p>
    <w:p>
      <w:pPr>
        <w:spacing w:before="170" w:after="200"/>
      </w:pPr>
      <w:r>
        <w:rPr>
          <w:rFonts w:ascii="Calibri" w:hAnsi="Calibri" w:cs="Calibri"/>
          <w:color w:val="555555"/>
          <w:sz w:val="20"/>
          <w:szCs w:val="20"/>
        </w:rPr>
        <w:t xml:space="preserve">July 16, 2026</w:t>
      </w:r>
    </w:p>
    <w:p>
      <w:pPr>
        <w:spacing w:before="0" w:after="0"/>
      </w:pPr>
      <w:r>
        <w:rPr>
          <w:rFonts w:ascii="Calibri" w:hAnsi="Calibri" w:cs="Calibri"/>
          <w:b/>
          <w:sz w:val="20"/>
          <w:szCs w:val="20"/>
        </w:rPr>
        <w:t xml:space="preserve">Hiring Committee</w:t>
      </w:r>
    </w:p>
    <w:p>
      <w:pPr>
        <w:spacing w:before="0" w:after="0"/>
      </w:pPr>
      <w:r>
        <w:rPr>
          <w:rFonts w:ascii="Calibri" w:hAnsi="Calibri" w:cs="Calibri"/>
          <w:sz w:val="20"/>
          <w:szCs w:val="20"/>
        </w:rPr>
        <w:t xml:space="preserve">Global Designing Cities Initiative</w:t>
      </w:r>
    </w:p>
    <w:p>
      <w:pPr>
        <w:spacing w:before="0" w:after="190"/>
      </w:pPr>
      <w:r>
        <w:rPr>
          <w:rFonts w:ascii="Calibri" w:hAnsi="Calibri" w:cs="Calibri"/>
          <w:i/>
          <w:color w:val="4F7510"/>
          <w:sz w:val="19"/>
          <w:szCs w:val="19"/>
        </w:rPr>
        <w:t xml:space="preserve">Associate Director, Programs &amp; Design</w:t>
      </w:r>
    </w:p>
    <w:p>
      <w:pPr>
        <w:spacing w:before="0" w:after="140"/>
      </w:pPr>
      <w:r>
        <w:rPr>
          <w:rFonts w:ascii="Calibri" w:hAnsi="Calibri" w:cs="Calibri"/>
          <w:sz w:val="21"/>
          <w:szCs w:val="21"/>
        </w:rPr>
        <w:t xml:space="preserve">Dear GDCI Hiring Committee,</w:t>
      </w:r>
    </w:p>
    <w:p>
      <w:pPr>
        <w:spacing w:before="0" w:after="130" w:line="288" w:lineRule="auto"/>
      </w:pPr>
      <w:r>
        <w:rPr>
          <w:rFonts w:ascii="Calibri" w:hAnsi="Calibri" w:cs="Calibri"/>
          <w:sz w:val="21"/>
          <w:szCs w:val="21"/>
        </w:rPr>
        <w:t xml:space="preserve">The work of transforming streets rarely fails for lack of a good drawing. It fails when design is separated from public health, institutional capacity, political judgment, funding discipline, and the hard work of implementation. My career has developed at precisely that intersection. Through Bike Pensacola and Bluffline, I have helped translate people-first mobility ideas into coalitions, public narratives, policy commitments, consultant scopes, grant strategies, and practical pathways to delivery — working from the same conviction that drives GDCI: that streets designed for people can change cities.</w:t>
      </w:r>
    </w:p>
    <w:p>
      <w:pPr>
        <w:spacing w:before="0" w:after="130" w:line="288" w:lineRule="auto"/>
      </w:pPr>
      <w:r>
        <w:rPr>
          <w:rFonts w:ascii="Calibri" w:hAnsi="Calibri" w:cs="Calibri"/>
          <w:sz w:val="21"/>
          <w:szCs w:val="21"/>
        </w:rPr>
        <w:t xml:space="preserve">My most relevant experience began with Bike Pensacola, where I served on the board of a citywide bicycle coalition combining recurring public programming with sustained policy advocacy. Working with fellow board members and community partners, I helped advocate for a Complete Streets ordinance, stronger neighborhood traffic-calming policies, a formal Vision Zero commitment, an active transportation master plan, and expansion of the Florida SUN Trail network in Pensacola. The durable lesson was that technical recommendations become actionable only when elected officials, staff, residents, and advocates can see how they advance safety, access, public health, and quality of life.</w:t>
      </w:r>
    </w:p>
    <w:p>
      <w:pPr>
        <w:spacing w:before="0" w:after="130" w:line="288" w:lineRule="auto"/>
      </w:pPr>
      <w:r>
        <w:rPr>
          <w:rFonts w:ascii="Calibri" w:hAnsi="Calibri" w:cs="Calibri"/>
          <w:sz w:val="21"/>
          <w:szCs w:val="21"/>
        </w:rPr>
        <w:t xml:space="preserve">I carried that lesson into co-founding Bluffline, a regional greenway and civic-infrastructure initiative designed to reconnect Pensacola neighborhoods through trails, parks, waterfronts, and multimodal corridors. As executive leader and later board-level strategist, I helped build the organization, develop public-private partnerships, coordinate multidisciplinary advisers, and frame the project as more than a trail: a platform for safer mobility, physical activity, resilience, ecological restoration, and community development. That work contributed to a $1.2 million U.S. Department of Transportation Reconnecting Communities planning award and a broader portfolio of federal, state, philanthropic, and pro bono project-development efforts.</w:t>
      </w:r>
    </w:p>
    <w:p>
      <w:pPr>
        <w:spacing w:before="0" w:after="130" w:line="288" w:lineRule="auto"/>
      </w:pPr>
      <w:r>
        <w:rPr>
          <w:rFonts w:ascii="Calibri" w:hAnsi="Calibri" w:cs="Calibri"/>
          <w:sz w:val="21"/>
          <w:szCs w:val="21"/>
        </w:rPr>
        <w:t xml:space="preserve">I am not a licensed architect or transportation engineer, and I would not present myself as a substitute for GDCI's design specialists. I offer complementary executive value: standards-based design fluency, disciplined design-review facilitation, and the ability to help specialized teams succeed within real institutional constraints. CNU-A reflects my grounding in walkable urbanism and land-use/transportation integration. WEDG has strengthened my ability to consider streets, waterfronts, stormwater, ecology, public access, and resilience as one public-infrastructure system capable of achieving multiple endpoints. Lean Six Sigma adds practical discipline for translating standards into repeatable processes, performance measures, and continuous improvement.</w:t>
      </w:r>
    </w:p>
    <w:p>
      <w:pPr>
        <w:spacing w:before="0" w:after="130" w:line="288" w:lineRule="auto"/>
      </w:pPr>
      <w:r>
        <w:rPr>
          <w:rFonts w:ascii="Calibri" w:hAnsi="Calibri" w:cs="Calibri"/>
          <w:sz w:val="21"/>
          <w:szCs w:val="21"/>
        </w:rPr>
        <w:t xml:space="preserve">My public-health background is equally central. I have been admitted to the Doctor of Public Health program in Environmental Health at the Johns Hopkins Bloomberg School of Public Health, with matriculation deferred to 2027. I intend to focus my doctoral work on land use, transportation systems, environmental exposures, and other built-environment determinants of population health. GDCI's portfolio of global road safety, child-centered streets, and protected cycling networks embodies the same premise: streets are not merely transportation assets; they are upstream public-health infrastructure.</w:t>
      </w:r>
    </w:p>
    <w:p>
      <w:pPr>
        <w:spacing w:before="0" w:after="130" w:line="288" w:lineRule="auto"/>
      </w:pPr>
      <w:r>
        <w:rPr>
          <w:rFonts w:ascii="Calibri" w:hAnsi="Calibri" w:cs="Calibri"/>
          <w:sz w:val="21"/>
          <w:szCs w:val="21"/>
        </w:rPr>
        <w:t xml:space="preserve">I also bring 15+ years of experience operating in complex healthcare systems, where safety, compliance, multidisciplinary coordination, and accountability are operational necessities. I have learned to lead experts without pretending to replace their expertise, to build clarity in matrixed organizations, and to maintain momentum when technical, political, and financial considerations compete. My digital and communication fluency includes executive writing, grant development, public-interest research, GIS-informed web mapping, data visualization, GitHub/Vercel/Supabase workflows, and AI-assisted product development.</w:t>
      </w:r>
    </w:p>
    <w:p>
      <w:pPr>
        <w:spacing w:before="0" w:after="130" w:line="288" w:lineRule="auto"/>
      </w:pPr>
      <w:r>
        <w:rPr>
          <w:rFonts w:ascii="Calibri" w:hAnsi="Calibri" w:cs="Calibri"/>
          <w:sz w:val="21"/>
          <w:szCs w:val="21"/>
        </w:rPr>
        <w:t xml:space="preserve">GDCI already has exceptional designers. My case for joining is that I can help design-led work succeed at scale — connecting technical excellence to public health, team development, funder credibility, partnership strategy, organizational systems, and politically intelligent implementation. I understand the current posting is structured for a hire based in Asia, Africa, or Europe, and I welcome a candid conversation about country-of-hire and regional-presence requirements. I would be glad to help GDCI inspire leaders, inform practitioners, and invite communities to imagine what their streets could be.</w:t>
      </w:r>
    </w:p>
    <w:p>
      <w:pPr>
        <w:spacing w:before="60" w:after="0"/>
      </w:pPr>
      <w:r>
        <w:rPr>
          <w:rFonts w:ascii="Calibri" w:hAnsi="Calibri" w:cs="Calibri"/>
          <w:sz w:val="21"/>
          <w:szCs w:val="21"/>
        </w:rPr>
        <w:t xml:space="preserve">Sincerely,</w:t>
      </w:r>
    </w:p>
    <w:p>
      <w:pPr>
        <w:spacing w:before="240" w:after="0"/>
      </w:pPr>
      <w:r>
        <w:rPr>
          <w:rFonts w:ascii="Georgia" w:hAnsi="Georgia" w:cs="Georgia"/>
          <w:b/>
          <w:color w:val="1A2230"/>
          <w:sz w:val="26"/>
          <w:szCs w:val="26"/>
        </w:rPr>
        <w:t xml:space="preserve">Jarah V. Jacquay</w:t>
      </w:r>
    </w:p>
    <w:p>
      <w:pPr>
        <w:spacing w:before="26" w:after="0"/>
      </w:pPr>
      <w:r>
        <w:rPr>
          <w:rFonts w:ascii="Calibri" w:hAnsi="Calibri" w:cs="Calibri"/>
          <w:color w:val="8A9384"/>
          <w:sz w:val="16"/>
          <w:szCs w:val="16"/>
        </w:rPr>
        <w:t xml:space="preserve">MSN, RN  ·  CNU-A  ·  WEDG Associate  ·  Founder, Virtuous Cycle LLC</w:t>
      </w:r>
    </w:p>
    <w:sectPr>
      <w:pgSz w:w="12240" w:h="15840"/>
      <w:pgMar w:top="1180" w:right="1260" w:bottom="1180" w:left="1260" w:header="720" w:footer="720" w:gutter="0"/>
    </w:sectPr>
  </w:body>
</w:document>
</file>

<file path=word/settings.xml><?xml version="1.0" encoding="utf-8"?>
<w:settings xmlns:w="http://schemas.openxmlformats.org/wordprocessingml/2006/main">
  <w:defaultTabStop w:val="720"/>
  <w:compat/>
</w:settings>
</file>

<file path=word/styles.xml><?xml version="1.0" encoding="utf-8"?>
<w:styles xmlns:w="http://schemas.openxmlformats.org/wordprocessingml/2006/main">
  <w:docDefaults>
    <w:rPrDefault>
      <w:rPr>
        <w:rFonts w:ascii="Calibri" w:hAnsi="Calibri" w:cs="Calibri"/>
        <w:color w:val="1A2230"/>
        <w:sz w:val="21"/>
        <w:szCs w:val="21"/>
      </w:rPr>
    </w:rPrDefault>
    <w:pPrDefault>
      <w:pPr>
        <w:spacing w:after="0" w:line="240" w:lineRule="auto"/>
      </w:pPr>
    </w:p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