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202A2E"/>
          <w:sz w:val="30"/>
        </w:rPr>
        <w:t>JARAH V. JACQUAY, MSN, RN-BC, CNL, CNU-A, WEDG ASSOCIATE, LSSGB</w:t>
      </w:r>
    </w:p>
    <w:p>
      <w:pPr>
        <w:spacing w:after="20"/>
        <w:jc w:val="center"/>
      </w:pPr>
      <w:r>
        <w:rPr>
          <w:b/>
          <w:color w:val="006938"/>
          <w:sz w:val="16"/>
        </w:rPr>
        <w:t>PROGRAMS, DESIGN &amp; PUBLIC-HEALTH EXECUTIVE | PEOPLE-CENTERED STREETS | ACTIVE TRANSPORTATION</w:t>
      </w:r>
    </w:p>
    <w:p>
      <w:pPr>
        <w:spacing w:after="40"/>
        <w:jc w:val="center"/>
        <w:pBdr>
          <w:bottom w:val="single" w:sz="8" w:space="3" w:color="006938"/>
        </w:pBdr>
      </w:pPr>
      <w:r>
        <w:rPr>
          <w:color w:val="5F6B70"/>
          <w:sz w:val="16"/>
        </w:rPr>
        <w:t>Pensacola, Florida  |  jarah.jacquay@gmail.com  |  linkedin.com/in/jjacquay  |  jjacquay.com</w:t>
      </w:r>
    </w:p>
    <w:p>
      <w:pPr>
        <w:pStyle w:val="Heading1"/>
      </w:pPr>
      <w:r>
        <w:t>EXECUTIVE PROFILE</w:t>
      </w:r>
    </w:p>
    <w:p>
      <w:pPr>
        <w:spacing w:after="20"/>
      </w:pPr>
      <w:r>
        <w:rPr>
          <w:b w:val="0"/>
        </w:rPr>
        <w:t xml:space="preserve">Public-health systems leader and civic-infrastructure strategist with 15+ years of cross-sector experience spanning active transportation, nonprofit governance, federal healthcare operations, public-private partnerships, and place-based implementation. </w:t>
      </w:r>
      <w:r>
        <w:rPr>
          <w:b/>
        </w:rPr>
        <w:t xml:space="preserve">Co-founder and former executive leader of Bluffline and former Bike Pensacola board member, with a record of building coalitions, translating technical design concepts into civic action, and moving ambitious mobility ideas toward policy adoption, grant funding, and implementation. </w:t>
      </w:r>
      <w:r>
        <w:t>Brings standards-based design literacy through CNU-A and WEDG, Lean process discipline through LSSGB, and advanced proficiency in executive writing, systems mapping, public-interest research, digital product strategy, and stakeholder communication.</w:t>
      </w:r>
    </w:p>
    <w:p>
      <w:pPr>
        <w:pStyle w:val="Heading1"/>
      </w:pPr>
      <w:r>
        <w:t>CORE EXPERTISE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3528"/>
            <w:tcMar>
              <w:top w:w="35" w:type="dxa"/>
              <w:start w:w="55" w:type="dxa"/>
              <w:bottom w:w="35" w:type="dxa"/>
              <w:end w:w="55" w:type="dxa"/>
            </w:tcMar>
            <w:shd w:fill="F1F6F3"/>
          </w:tcPr>
          <w:p>
            <w:pPr>
              <w:jc w:val="center"/>
            </w:pPr>
            <w:r>
              <w:rPr>
                <w:b/>
                <w:color w:val="202A2E"/>
                <w:sz w:val="15"/>
              </w:rPr>
              <w:t>Active Transportation &amp; Safe Streets</w:t>
            </w:r>
          </w:p>
        </w:tc>
        <w:tc>
          <w:tcPr>
            <w:tcW w:type="dxa" w:w="3528"/>
            <w:tcMar>
              <w:top w:w="35" w:type="dxa"/>
              <w:start w:w="55" w:type="dxa"/>
              <w:bottom w:w="35" w:type="dxa"/>
              <w:end w:w="55" w:type="dxa"/>
            </w:tcMar>
            <w:shd w:fill="F7F9F8"/>
          </w:tcPr>
          <w:p>
            <w:pPr>
              <w:jc w:val="center"/>
            </w:pPr>
            <w:r>
              <w:rPr>
                <w:b/>
                <w:color w:val="202A2E"/>
                <w:sz w:val="15"/>
              </w:rPr>
              <w:t>Executive Program Management</w:t>
            </w:r>
          </w:p>
        </w:tc>
        <w:tc>
          <w:tcPr>
            <w:tcW w:type="dxa" w:w="3528"/>
            <w:tcMar>
              <w:top w:w="35" w:type="dxa"/>
              <w:start w:w="55" w:type="dxa"/>
              <w:bottom w:w="35" w:type="dxa"/>
              <w:end w:w="55" w:type="dxa"/>
            </w:tcMar>
            <w:shd w:fill="F1F6F3"/>
          </w:tcPr>
          <w:p>
            <w:pPr>
              <w:jc w:val="center"/>
            </w:pPr>
            <w:r>
              <w:rPr>
                <w:b/>
                <w:color w:val="202A2E"/>
                <w:sz w:val="15"/>
              </w:rPr>
              <w:t>Coalition &amp; Partnership Development</w:t>
            </w:r>
          </w:p>
        </w:tc>
      </w:tr>
      <w:tr>
        <w:tc>
          <w:tcPr>
            <w:tcW w:type="dxa" w:w="3528"/>
            <w:tcMar>
              <w:top w:w="35" w:type="dxa"/>
              <w:start w:w="55" w:type="dxa"/>
              <w:bottom w:w="35" w:type="dxa"/>
              <w:end w:w="55" w:type="dxa"/>
            </w:tcMar>
            <w:shd w:fill="F7F9F8"/>
          </w:tcPr>
          <w:p>
            <w:pPr>
              <w:jc w:val="center"/>
            </w:pPr>
            <w:r>
              <w:rPr>
                <w:b/>
                <w:color w:val="202A2E"/>
                <w:sz w:val="15"/>
              </w:rPr>
              <w:t>Design Review &amp; Standards Translation</w:t>
            </w:r>
          </w:p>
        </w:tc>
        <w:tc>
          <w:tcPr>
            <w:tcW w:type="dxa" w:w="3528"/>
            <w:tcMar>
              <w:top w:w="35" w:type="dxa"/>
              <w:start w:w="55" w:type="dxa"/>
              <w:bottom w:w="35" w:type="dxa"/>
              <w:end w:w="55" w:type="dxa"/>
            </w:tcMar>
            <w:shd w:fill="F1F6F3"/>
          </w:tcPr>
          <w:p>
            <w:pPr>
              <w:jc w:val="center"/>
            </w:pPr>
            <w:r>
              <w:rPr>
                <w:b/>
                <w:color w:val="202A2E"/>
                <w:sz w:val="15"/>
              </w:rPr>
              <w:t>Grant Strategy &amp; Funder Communication</w:t>
            </w:r>
          </w:p>
        </w:tc>
        <w:tc>
          <w:tcPr>
            <w:tcW w:type="dxa" w:w="3528"/>
            <w:tcMar>
              <w:top w:w="35" w:type="dxa"/>
              <w:start w:w="55" w:type="dxa"/>
              <w:bottom w:w="35" w:type="dxa"/>
              <w:end w:w="55" w:type="dxa"/>
            </w:tcMar>
            <w:shd w:fill="F7F9F8"/>
          </w:tcPr>
          <w:p>
            <w:pPr>
              <w:jc w:val="center"/>
            </w:pPr>
            <w:r>
              <w:rPr>
                <w:b/>
                <w:color w:val="202A2E"/>
                <w:sz w:val="15"/>
              </w:rPr>
              <w:t>Public Health + Built Environment</w:t>
            </w:r>
          </w:p>
        </w:tc>
      </w:tr>
    </w:tbl>
    <w:p>
      <w:pPr>
        <w:pStyle w:val="Heading1"/>
      </w:pPr>
      <w:r>
        <w:t>SELECTED LEADERSHIP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592"/>
      </w:tblGrid>
      <w:tr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202A2E"/>
                <w:sz w:val="17"/>
              </w:rPr>
              <w:t>Bluffline, Inc. — Co-Founder; President-Emeritus / Former Executive Director</w:t>
            </w:r>
            <w:r>
              <w:rPr>
                <w:color w:val="5F6B70"/>
                <w:sz w:val="16"/>
              </w:rPr>
              <w:t xml:space="preserve"> | Pensacola, FL</w:t>
            </w:r>
          </w:p>
        </w:tc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F6B70"/>
                <w:sz w:val="16"/>
              </w:rPr>
              <w:t>2022–Present</w:t>
            </w:r>
          </w:p>
        </w:tc>
      </w:tr>
    </w:tbl>
    <w:p>
      <w:pPr>
        <w:pStyle w:val="ResumeBullet"/>
        <w:keepLines/>
      </w:pPr>
      <w:r>
        <w:rPr>
          <w:b/>
        </w:rPr>
        <w:t xml:space="preserve">• </w:t>
      </w:r>
      <w:r>
        <w:t>Co-founded and helped build a regional greenway and civic-infrastructure initiative connecting west and east Pensacola through trails, parks, waterfronts, and neighborhood corridors, framing mobility investment as a public-health, resilience, and community-development strategy.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Led coalition development across local government, engineering and planning firms, environmental organizations, philanthropy, universities, neighborhood leaders, and institutional partners; translated a broad civic vision into governance, consultant scopes, grant narratives, and phased implementation pathways.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Helped secure a $1.2 million U.S. Department of Transportation Reconnecting Communities planning award and developed or coordinated additional federal, state, philanthropic, and pro bono funding strategies for corridor planning, community engagement, and project readiness.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Directed public-facing strategy and executive communications for a 10-mile-plus multimodal corridor, including segment prioritization, partnership positioning, health and access framing, and integration with regional trail, safety, stormwater, and waterfront initiatives.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592"/>
      </w:tblGrid>
      <w:tr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202A2E"/>
                <w:sz w:val="17"/>
              </w:rPr>
              <w:t>Bike Pensacola — Board Member and Active-Transportation Advocate</w:t>
            </w:r>
            <w:r>
              <w:rPr>
                <w:color w:val="5F6B70"/>
                <w:sz w:val="16"/>
              </w:rPr>
              <w:t xml:space="preserve"> | Pensacola, FL</w:t>
            </w:r>
          </w:p>
        </w:tc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F6B70"/>
                <w:sz w:val="16"/>
              </w:rPr>
              <w:t>2018–2022</w:t>
            </w:r>
          </w:p>
        </w:tc>
      </w:tr>
    </w:tbl>
    <w:p>
      <w:pPr>
        <w:pStyle w:val="ResumeBullet"/>
        <w:keepLines/>
      </w:pPr>
      <w:r>
        <w:rPr>
          <w:b/>
        </w:rPr>
        <w:t xml:space="preserve">• </w:t>
      </w:r>
      <w:r>
        <w:t>Helped lead a citywide bicycle coalition combining recurring community rides, public education, policy advocacy, and relationship-building with elected officials, city staff, neighborhood organizations, and transportation partners.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Successfully advocated with the coalition for a Complete Streets ordinance, strengthened neighborhood traffic-calming policies, a formal Vision Zero commitment, development of an active transportation master plan, and expansion of the Florida SUN Trail network within Pensacola.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Translated technical safety concepts—including protected bicycle facilities, traffic calming, network connectivity, and Safe System principles—into accessible public narratives and politically durable policy asks.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592"/>
      </w:tblGrid>
      <w:tr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202A2E"/>
                <w:sz w:val="17"/>
              </w:rPr>
              <w:t>Virtuous Cycle LLC — Managing Principal</w:t>
            </w:r>
            <w:r>
              <w:rPr>
                <w:color w:val="5F6B70"/>
                <w:sz w:val="16"/>
              </w:rPr>
              <w:t xml:space="preserve"> | Pensacola, FL</w:t>
            </w:r>
          </w:p>
        </w:tc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F6B70"/>
                <w:sz w:val="16"/>
              </w:rPr>
              <w:t>2021–Present</w:t>
            </w:r>
          </w:p>
        </w:tc>
      </w:tr>
    </w:tbl>
    <w:p>
      <w:pPr>
        <w:pStyle w:val="ResumeBullet"/>
        <w:keepLines/>
      </w:pPr>
      <w:r>
        <w:rPr>
          <w:b/>
        </w:rPr>
        <w:t xml:space="preserve">• </w:t>
      </w:r>
      <w:r>
        <w:t>Lead a place-based advisory and civic-technology practice working at the intersection of land use, transportation, environmental health, public infrastructure, housing, and public-private development strategy.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Produce decision-oriented research, technical memoranda, digital tools, stakeholder strategies, and implementation frameworks for institutional, nonprofit, and municipal clients; current work includes waterfront resilience, corridor planning, land disposition, infill development, and public-interest data systems.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Developed Safer Streets Simplified, a public-facing civic technology concept that translates street-safety standards and diagnostic workflows into accessible tools for residents and decision-makers; serve as product owner, domain researcher, UX reviewer, and quality-control lead.</w:t>
      </w:r>
    </w:p>
    <w:p>
      <w:r>
        <w:br w:type="page"/>
      </w:r>
    </w:p>
    <w:p>
      <w:pPr>
        <w:pStyle w:val="Heading1"/>
      </w:pPr>
      <w:r>
        <w:t>ADDITIONAL EXECUTIVE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592"/>
      </w:tblGrid>
      <w:tr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202A2E"/>
                <w:sz w:val="17"/>
              </w:rPr>
              <w:t>Defense Health Agency / Naval Hospital Pensacola — Clinical Nurse Leader &amp; Federal Healthcare Operations Leader</w:t>
            </w:r>
            <w:r>
              <w:rPr>
                <w:color w:val="5F6B70"/>
                <w:sz w:val="16"/>
              </w:rPr>
              <w:t xml:space="preserve"> | Pensacola, FL</w:t>
            </w:r>
          </w:p>
        </w:tc>
        <w:tc>
          <w:tcPr>
            <w:tcW w:type="dxa" w:w="542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F6B70"/>
                <w:sz w:val="16"/>
              </w:rPr>
              <w:t>2016–Present</w:t>
            </w:r>
          </w:p>
        </w:tc>
      </w:tr>
    </w:tbl>
    <w:p>
      <w:pPr>
        <w:pStyle w:val="ResumeBullet"/>
        <w:keepLines/>
      </w:pPr>
      <w:r>
        <w:rPr>
          <w:b/>
        </w:rPr>
        <w:t xml:space="preserve">• </w:t>
      </w:r>
      <w:r>
        <w:t>Lead multidisciplinary clinical operations, quality-improvement, readiness, compliance, patient-safety, and process-redesign work in a complex federal matrix organization; translate standards into practical workflows, accountability systems, and measurable operational improvements.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Developed and advanced a cone-beam CT implementation initiative projected to avoid approximately $421,000–$843,000 in external imaging costs over 6–12 months while improving access, turnaround time, and radiation stewardship.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Apply Lean Six Sigma, human-factors, risk-management, and executive communication methods to high-stakes environments involving clinicians, administrators, military leaders, vendors, and patients.</w:t>
      </w:r>
    </w:p>
    <w:p>
      <w:pPr>
        <w:pStyle w:val="Heading1"/>
      </w:pPr>
      <w:r>
        <w:t>SELECTED PROGRAMS, PROJECTS &amp; THOUGHT LEADERSHIP</w:t>
      </w:r>
    </w:p>
    <w:p>
      <w:pPr>
        <w:pStyle w:val="ResumeBullet"/>
        <w:keepLines/>
      </w:pPr>
      <w:r>
        <w:rPr>
          <w:b/>
        </w:rPr>
        <w:t xml:space="preserve">• </w:t>
      </w:r>
      <w:r>
        <w:t>Bluffline Framework Plan &amp; Segment Readiness — coordinated positioning for multidisciplinary planning and design work with public agencies and consultants, including corridor segmentation, governance, stakeholder engagement, and implementation sequencing.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Bayfront Parkway / Waterfront Resilience — applied WEDG principles to integrate public access, mobility, stormwater, ecology, landscape, and long-term resilience within a broader public-infrastructure context.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Safer Streets Simplified — directed research and product development using NACTO, FHWA, Vision Zero, Complete Streets, and Safe System frameworks; built a standards-informed digital workflow for public communication and design review.</w:t>
      </w:r>
    </w:p>
    <w:p>
      <w:pPr>
        <w:pStyle w:val="ResumeBullet"/>
        <w:keepLines/>
      </w:pPr>
      <w:r>
        <w:rPr>
          <w:b/>
        </w:rPr>
        <w:t xml:space="preserve">• </w:t>
      </w:r>
      <w:r>
        <w:t>Published and public-facing writing on transportation, public health, land use, institutional reform, and civic infrastructure in Streetsblog USA, CNU Public Square, and regional outlets.</w:t>
      </w:r>
    </w:p>
    <w:p>
      <w:pPr>
        <w:pStyle w:val="Heading1"/>
      </w:pPr>
      <w:r>
        <w:t>EDUCATION &amp; PROFESSIONAL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92"/>
        <w:gridCol w:w="2736"/>
      </w:tblGrid>
      <w:tr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>
              <w:rPr>
                <w:b/>
                <w:sz w:val="16"/>
              </w:rPr>
              <w:t>Johns Hopkins Bloomberg School of Public Health — Doctor of Public Health, Environmental Health</w:t>
            </w:r>
          </w:p>
        </w:tc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right"/>
            </w:pPr>
            <w:r>
              <w:rPr>
                <w:color w:val="5F6B70"/>
                <w:sz w:val="15"/>
              </w:rPr>
              <w:t>Admitted; deferred to Fall 2027</w:t>
            </w:r>
          </w:p>
        </w:tc>
      </w:tr>
      <w:tr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>
              <w:rPr>
                <w:b/>
                <w:sz w:val="16"/>
              </w:rPr>
              <w:t>University of Pittsburgh — Master of Science in Nursing, Clinical Nurse Leader</w:t>
            </w:r>
          </w:p>
        </w:tc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right"/>
            </w:pPr>
            <w:r>
              <w:rPr>
                <w:color w:val="5F6B70"/>
                <w:sz w:val="15"/>
              </w:rPr>
              <w:t>2015</w:t>
            </w:r>
          </w:p>
        </w:tc>
      </w:tr>
      <w:tr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>
              <w:rPr>
                <w:b/>
                <w:sz w:val="16"/>
              </w:rPr>
              <w:t>University of South Alabama — Bachelor of Science in Nursing</w:t>
            </w:r>
          </w:p>
        </w:tc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right"/>
            </w:pPr>
            <w:r>
              <w:rPr>
                <w:color w:val="5F6B70"/>
                <w:sz w:val="15"/>
              </w:rPr>
              <w:t>2010</w:t>
            </w:r>
          </w:p>
        </w:tc>
      </w:tr>
      <w:tr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>
              <w:rPr>
                <w:b w:val="0"/>
                <w:sz w:val="16"/>
              </w:rPr>
              <w:t>Planned DrPH focus: land use, transportation systems, environmental exposures, and other built-environment determinants of population health</w:t>
            </w:r>
          </w:p>
        </w:tc>
        <w:tc>
          <w:tcPr>
            <w:tcW w:type="dxa" w:w="5429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right"/>
            </w:pPr>
            <w:r>
              <w:rPr>
                <w:color w:val="5F6B70"/>
                <w:sz w:val="15"/>
              </w:rPr>
            </w:r>
          </w:p>
        </w:tc>
      </w:tr>
    </w:tbl>
    <w:p>
      <w:pPr>
        <w:pStyle w:val="Heading1"/>
      </w:pPr>
      <w:r>
        <w:t>CERTIFICATIONS &amp; CREDENTIALS</w:t>
      </w:r>
    </w:p>
    <w:p>
      <w:pPr>
        <w:spacing w:after="20"/>
      </w:pPr>
      <w:r>
        <w:rPr>
          <w:sz w:val="16"/>
        </w:rPr>
        <w:t>CNU-Accredited Professional (CNU-A)  •  WEDG Associate  •  Lean Six Sigma Green Belt  •  Clinical Nurse Leader  •  Registered Nurse  •  Pain Management Nursing Certification  •  Secret Security Clearance (inactive/previously held)</w:t>
      </w:r>
    </w:p>
    <w:p>
      <w:pPr>
        <w:pStyle w:val="Heading1"/>
      </w:pPr>
      <w:r>
        <w:t>DIGITAL, ANALYTIC &amp; COMMUNICATION SKILLS</w:t>
      </w:r>
    </w:p>
    <w:p>
      <w:pPr>
        <w:spacing w:after="0"/>
      </w:pPr>
      <w:r>
        <w:rPr>
          <w:sz w:val="15"/>
        </w:rPr>
        <w:t>Advanced: Google Workspace, Microsoft 365, executive writing, grant narratives, board and stakeholder presentations, research synthesis, public speaking, process mapping, systems analysis.  Working proficiency: GitHub, Vercel, Supabase/Postgres, HTML/CSS editing, static-site deployment, Notion, Figma, Canva, Adobe Acrobat, GIS-informed web mapping, data visualization, Mermaid diagrams, AI-assisted product development and research workflows.  Domain fluency: Global Street Design Guide, NACTO, Complete Streets, Vision Zero, Safe System, active-transportation planning, WEDG, green infrastructure, public-private partnerships, land-use and real-estate feasibility.</w:t>
      </w:r>
    </w:p>
    <w:sectPr w:rsidR="00FC693F" w:rsidRPr="0006063C" w:rsidSect="00034616">
      <w:footerReference w:type="default" r:id="rId9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0"/>
        <w:sz w:val="14"/>
      </w:rPr>
      <w:t>Jarah V. Jacquay — GDCI Associate Director, Programs &amp;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02A2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93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A2E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60"/>
      <w:contextualSpacing/>
    </w:pPr>
    <w:rPr>
      <w:rFonts w:asciiTheme="majorHAnsi" w:eastAsiaTheme="majorEastAsia" w:hAnsiTheme="majorHAnsi" w:cstheme="majorBidi" w:ascii="Aptos Display" w:hAnsi="Aptos Display"/>
      <w:b/>
      <w:color w:val="202A2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20"/>
    </w:pPr>
    <w:rPr>
      <w:rFonts w:asciiTheme="majorHAnsi" w:eastAsiaTheme="majorEastAsia" w:hAnsiTheme="majorHAnsi" w:cstheme="majorBidi" w:ascii="Aptos" w:hAnsi="Aptos"/>
      <w:b w:val="0"/>
      <w:i/>
      <w:iCs/>
      <w:color w:val="006938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8" w:line="240" w:lineRule="auto"/>
      <w:ind w:left="173" w:hanging="173"/>
    </w:pPr>
    <w:rPr>
      <w:rFonts w:ascii="Aptos" w:hAnsi="Aptos"/>
      <w:color w:val="202A2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