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19CE" w14:textId="20F63227" w:rsidR="002B0707" w:rsidRPr="00105CCF" w:rsidRDefault="00105CCF">
      <w:r w:rsidRPr="00105CCF">
        <w:t>INTRODUCCION</w:t>
      </w:r>
    </w:p>
    <w:p w14:paraId="2E2BA21E" w14:textId="28E6302B" w:rsidR="00105CCF" w:rsidRPr="00105CCF" w:rsidRDefault="00105CCF" w:rsidP="00105CCF">
      <w:r w:rsidRPr="00105CCF">
        <w:t xml:space="preserve">En este trabajo se presenta el diseño y análisis de un arreglo 2×2 de antenas </w:t>
      </w:r>
      <w:proofErr w:type="spellStart"/>
      <w:r w:rsidRPr="00105CCF">
        <w:t>patch</w:t>
      </w:r>
      <w:proofErr w:type="spellEnd"/>
      <w:r w:rsidRPr="00105CCF">
        <w:t xml:space="preserve"> rectangulares acopladas por ranura operando en la banda S, específicamente a una frecuencia de 2.2 GHz.</w:t>
      </w:r>
    </w:p>
    <w:p w14:paraId="09202278" w14:textId="17CEEB00" w:rsidR="00F11087" w:rsidRDefault="00472D7F" w:rsidP="00F11087">
      <w:r>
        <w:t>DISEÑO DE LA ANTENA PATCH ACOPLADA POR RANURA</w:t>
      </w:r>
    </w:p>
    <w:p w14:paraId="457DDDF6" w14:textId="74C5C68F" w:rsidR="00F11087" w:rsidRDefault="00E3150C" w:rsidP="00E3150C">
      <w:r>
        <w:t xml:space="preserve">Una antena </w:t>
      </w:r>
      <w:proofErr w:type="spellStart"/>
      <w:r>
        <w:t>patch</w:t>
      </w:r>
      <w:proofErr w:type="spellEnd"/>
      <w:r>
        <w:t xml:space="preserve"> acoplada </w:t>
      </w:r>
      <w:r w:rsidR="005651E7">
        <w:t>por</w:t>
      </w:r>
      <w:r>
        <w:t xml:space="preserve"> ranura se puede considerar como un sistema de radiación planar compuesto por dos estructuras apiladas que consisten en </w:t>
      </w:r>
      <w:r w:rsidR="005651E7">
        <w:t xml:space="preserve">do subsistemas: uno de la línea </w:t>
      </w:r>
      <w:r>
        <w:t xml:space="preserve">de alimentación por </w:t>
      </w:r>
      <w:proofErr w:type="spellStart"/>
      <w:r>
        <w:t>microstrip</w:t>
      </w:r>
      <w:proofErr w:type="spellEnd"/>
      <w:r>
        <w:t xml:space="preserve"> y </w:t>
      </w:r>
      <w:r w:rsidR="005651E7">
        <w:t>otro</w:t>
      </w:r>
      <w:r>
        <w:t xml:space="preserve"> radiante separados por un plano conductor ranurado [1]</w:t>
      </w:r>
      <w:r w:rsidR="005651E7">
        <w:t>.</w:t>
      </w:r>
    </w:p>
    <w:p w14:paraId="27913245" w14:textId="1805954B" w:rsidR="00E829BF" w:rsidRDefault="005651E7" w:rsidP="00E3150C">
      <w:r w:rsidRPr="005651E7">
        <w:rPr>
          <w:noProof/>
        </w:rPr>
        <w:drawing>
          <wp:anchor distT="0" distB="0" distL="114300" distR="114300" simplePos="0" relativeHeight="251658240" behindDoc="0" locked="0" layoutInCell="1" allowOverlap="1" wp14:anchorId="4A4C1C0C" wp14:editId="698114B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360737" cy="2183027"/>
            <wp:effectExtent l="0" t="0" r="0" b="8255"/>
            <wp:wrapSquare wrapText="bothSides"/>
            <wp:docPr id="1798299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994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37" cy="218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9BF" w:rsidRPr="00E829BF">
        <w:t>En la parte superior se encuentra el parche radiante</w:t>
      </w:r>
      <w:r w:rsidR="00E829BF">
        <w:t xml:space="preserve"> que</w:t>
      </w:r>
      <w:r w:rsidR="00E829BF" w:rsidRPr="00E829BF">
        <w:t xml:space="preserve"> es excitado a través de la ranura en el plano de masa.</w:t>
      </w:r>
      <w:r w:rsidR="00E829BF">
        <w:t xml:space="preserve"> </w:t>
      </w:r>
      <w:r w:rsidR="00E829BF" w:rsidRPr="00E829BF">
        <w:t xml:space="preserve">El plano conductor entre los substratos dieléctricos aísla la </w:t>
      </w:r>
      <w:proofErr w:type="spellStart"/>
      <w:r w:rsidR="00E829BF">
        <w:t>microstrip</w:t>
      </w:r>
      <w:proofErr w:type="spellEnd"/>
      <w:r w:rsidR="00E829BF" w:rsidRPr="00E829BF">
        <w:t xml:space="preserve"> del elemento radiante, evitando acoplamientos entre la energía radiada y la línea</w:t>
      </w:r>
      <w:r w:rsidR="00E829BF">
        <w:t xml:space="preserve"> y al no existir contacto directo entre ellos, se elimina el problema de la </w:t>
      </w:r>
      <w:proofErr w:type="spellStart"/>
      <w:r w:rsidR="00E829BF">
        <w:t>auto-reactancia</w:t>
      </w:r>
      <w:proofErr w:type="spellEnd"/>
      <w:r w:rsidR="00E829BF">
        <w:t xml:space="preserve"> producida por la propia línea de alimentación.</w:t>
      </w:r>
    </w:p>
    <w:p w14:paraId="13224608" w14:textId="5BB194FC" w:rsidR="00E829BF" w:rsidRDefault="00DE6B22" w:rsidP="00DE6B22">
      <w:pPr>
        <w:pStyle w:val="Prrafodelista"/>
        <w:numPr>
          <w:ilvl w:val="0"/>
          <w:numId w:val="4"/>
        </w:numPr>
      </w:pPr>
      <w:r>
        <w:t>Procedimiento de diseño</w:t>
      </w:r>
    </w:p>
    <w:p w14:paraId="07D95DF9" w14:textId="0203E542" w:rsidR="00DE6B22" w:rsidRDefault="00DE6B22" w:rsidP="00DE6B22">
      <w:r>
        <w:t xml:space="preserve">Tanto para el sustrato de la </w:t>
      </w:r>
      <w:proofErr w:type="spellStart"/>
      <w:r>
        <w:t>patch</w:t>
      </w:r>
      <w:proofErr w:type="spellEnd"/>
      <w:r>
        <w:t xml:space="preserve"> como para el sustrato de la línea de alimentación, se decidió trabajar con el material FR-4, cuyas características más importantes se detallan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6B22" w14:paraId="25893E88" w14:textId="77777777" w:rsidTr="00DE6B22">
        <w:trPr>
          <w:jc w:val="center"/>
        </w:trPr>
        <w:tc>
          <w:tcPr>
            <w:tcW w:w="3005" w:type="dxa"/>
          </w:tcPr>
          <w:p w14:paraId="36896D9C" w14:textId="23C81896" w:rsidR="00DE6B22" w:rsidRDefault="00DE6B22" w:rsidP="00DE6B22">
            <w:pPr>
              <w:jc w:val="center"/>
            </w:pPr>
            <w:r>
              <w:t>Parámetro</w:t>
            </w:r>
          </w:p>
        </w:tc>
        <w:tc>
          <w:tcPr>
            <w:tcW w:w="3005" w:type="dxa"/>
          </w:tcPr>
          <w:p w14:paraId="513EBD08" w14:textId="4841E123" w:rsidR="00DE6B22" w:rsidRDefault="00DE6B22" w:rsidP="00DE6B22">
            <w:pPr>
              <w:jc w:val="center"/>
            </w:pPr>
            <w:r>
              <w:t>Símbolo</w:t>
            </w:r>
          </w:p>
        </w:tc>
        <w:tc>
          <w:tcPr>
            <w:tcW w:w="3006" w:type="dxa"/>
          </w:tcPr>
          <w:p w14:paraId="6EE6C10F" w14:textId="72D11E49" w:rsidR="00DE6B22" w:rsidRDefault="00DE6B22" w:rsidP="00DE6B22">
            <w:pPr>
              <w:jc w:val="center"/>
            </w:pPr>
            <w:r>
              <w:t>Valor</w:t>
            </w:r>
          </w:p>
        </w:tc>
      </w:tr>
      <w:tr w:rsidR="00DE6B22" w14:paraId="34DA41FB" w14:textId="77777777" w:rsidTr="00DE6B22">
        <w:trPr>
          <w:jc w:val="center"/>
        </w:trPr>
        <w:tc>
          <w:tcPr>
            <w:tcW w:w="3005" w:type="dxa"/>
          </w:tcPr>
          <w:p w14:paraId="1D30B868" w14:textId="16417C1F" w:rsidR="00DE6B22" w:rsidRDefault="00DE6B22" w:rsidP="00DE6B22">
            <w:pPr>
              <w:jc w:val="center"/>
            </w:pPr>
            <w:r>
              <w:t>Permitividad relativa</w:t>
            </w:r>
          </w:p>
        </w:tc>
        <w:tc>
          <w:tcPr>
            <w:tcW w:w="3005" w:type="dxa"/>
          </w:tcPr>
          <w:p w14:paraId="711F2ED1" w14:textId="0AD76E98" w:rsidR="00DE6B22" w:rsidRPr="00DE6B22" w:rsidRDefault="00000000" w:rsidP="00DE6B22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5453FB3D" w14:textId="6CD3E928" w:rsidR="00DE6B22" w:rsidRDefault="00DE6B22" w:rsidP="00DE6B22">
            <w:pPr>
              <w:jc w:val="center"/>
            </w:pPr>
            <w:r>
              <w:t>4.4</w:t>
            </w:r>
          </w:p>
        </w:tc>
      </w:tr>
      <w:tr w:rsidR="00D41306" w14:paraId="5467E631" w14:textId="77777777" w:rsidTr="00DE6B22">
        <w:trPr>
          <w:jc w:val="center"/>
        </w:trPr>
        <w:tc>
          <w:tcPr>
            <w:tcW w:w="3005" w:type="dxa"/>
          </w:tcPr>
          <w:p w14:paraId="6821E051" w14:textId="08A7EC8E" w:rsidR="00D41306" w:rsidRDefault="00D41306" w:rsidP="00D41306">
            <w:pPr>
              <w:jc w:val="center"/>
            </w:pPr>
            <w:proofErr w:type="spellStart"/>
            <w:r>
              <w:t>Tg</w:t>
            </w:r>
            <w:proofErr w:type="spellEnd"/>
            <w:r>
              <w:t xml:space="preserve"> del ángulo de pérdidas</w:t>
            </w:r>
          </w:p>
        </w:tc>
        <w:tc>
          <w:tcPr>
            <w:tcW w:w="3005" w:type="dxa"/>
          </w:tcPr>
          <w:p w14:paraId="76A78460" w14:textId="2D2AAEA2" w:rsidR="00D41306" w:rsidRDefault="00D41306" w:rsidP="00D41306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tg δ</m:t>
                </m:r>
              </m:oMath>
            </m:oMathPara>
          </w:p>
        </w:tc>
        <w:tc>
          <w:tcPr>
            <w:tcW w:w="3006" w:type="dxa"/>
          </w:tcPr>
          <w:p w14:paraId="138E47DF" w14:textId="597A5108" w:rsidR="00D41306" w:rsidRDefault="00D41306" w:rsidP="00D41306">
            <w:pPr>
              <w:jc w:val="center"/>
            </w:pPr>
            <w:r>
              <w:t>0.025</w:t>
            </w:r>
          </w:p>
        </w:tc>
      </w:tr>
      <w:tr w:rsidR="00D41306" w14:paraId="6E799B04" w14:textId="77777777" w:rsidTr="00DE6B22">
        <w:trPr>
          <w:jc w:val="center"/>
        </w:trPr>
        <w:tc>
          <w:tcPr>
            <w:tcW w:w="3005" w:type="dxa"/>
          </w:tcPr>
          <w:p w14:paraId="34220676" w14:textId="4F00BA1C" w:rsidR="00D41306" w:rsidRDefault="00D41306" w:rsidP="00D41306">
            <w:pPr>
              <w:jc w:val="center"/>
            </w:pPr>
            <w:r>
              <w:t>Espesor</w:t>
            </w:r>
          </w:p>
        </w:tc>
        <w:tc>
          <w:tcPr>
            <w:tcW w:w="3005" w:type="dxa"/>
          </w:tcPr>
          <w:p w14:paraId="185EB343" w14:textId="24B38386" w:rsidR="00D41306" w:rsidRDefault="00D41306" w:rsidP="00D4130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h </m:t>
                </m:r>
              </m:oMath>
            </m:oMathPara>
          </w:p>
        </w:tc>
        <w:tc>
          <w:tcPr>
            <w:tcW w:w="3006" w:type="dxa"/>
          </w:tcPr>
          <w:p w14:paraId="040FD561" w14:textId="1E6E387C" w:rsidR="00D41306" w:rsidRDefault="00D41306" w:rsidP="00D41306">
            <w:pPr>
              <w:jc w:val="center"/>
            </w:pPr>
            <w:r>
              <w:t>1.6 mm</w:t>
            </w:r>
          </w:p>
        </w:tc>
      </w:tr>
    </w:tbl>
    <w:p w14:paraId="5BBE665B" w14:textId="593FCA61" w:rsidR="005A5A4A" w:rsidRDefault="005A5A4A" w:rsidP="005A5A4A">
      <w:pPr>
        <w:spacing w:before="240"/>
      </w:pPr>
      <w:r>
        <w:t>Los parámetros iniciales son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1559"/>
        <w:gridCol w:w="2784"/>
      </w:tblGrid>
      <w:tr w:rsidR="005A5A4A" w14:paraId="611E6258" w14:textId="77777777" w:rsidTr="00323A03">
        <w:tc>
          <w:tcPr>
            <w:tcW w:w="4673" w:type="dxa"/>
          </w:tcPr>
          <w:p w14:paraId="62FB4FE8" w14:textId="15068C0E" w:rsidR="005A5A4A" w:rsidRDefault="005A5A4A" w:rsidP="00D41306">
            <w:pPr>
              <w:jc w:val="center"/>
            </w:pPr>
            <w:r>
              <w:t>Parámetro</w:t>
            </w:r>
          </w:p>
        </w:tc>
        <w:tc>
          <w:tcPr>
            <w:tcW w:w="1559" w:type="dxa"/>
          </w:tcPr>
          <w:p w14:paraId="5E355B4F" w14:textId="4296B43E" w:rsidR="005A5A4A" w:rsidRDefault="005A5A4A" w:rsidP="00D41306">
            <w:pPr>
              <w:jc w:val="center"/>
            </w:pPr>
            <w:r>
              <w:t>Símbolo</w:t>
            </w:r>
          </w:p>
        </w:tc>
        <w:tc>
          <w:tcPr>
            <w:tcW w:w="2784" w:type="dxa"/>
          </w:tcPr>
          <w:p w14:paraId="3FFCD258" w14:textId="74D9807C" w:rsidR="005A5A4A" w:rsidRDefault="005A5A4A" w:rsidP="00D41306">
            <w:pPr>
              <w:jc w:val="center"/>
            </w:pPr>
            <w:r>
              <w:t>Valor</w:t>
            </w:r>
          </w:p>
        </w:tc>
      </w:tr>
      <w:tr w:rsidR="005A5A4A" w14:paraId="6D123947" w14:textId="77777777" w:rsidTr="00323A03">
        <w:tc>
          <w:tcPr>
            <w:tcW w:w="4673" w:type="dxa"/>
          </w:tcPr>
          <w:p w14:paraId="65AFA4C8" w14:textId="74A6E99E" w:rsidR="005A5A4A" w:rsidRDefault="005A5A4A" w:rsidP="00D41306">
            <w:pPr>
              <w:jc w:val="center"/>
            </w:pPr>
            <w:r>
              <w:t>Frecuencia de operación</w:t>
            </w:r>
          </w:p>
        </w:tc>
        <w:tc>
          <w:tcPr>
            <w:tcW w:w="1559" w:type="dxa"/>
          </w:tcPr>
          <w:p w14:paraId="1E516C31" w14:textId="5442A519" w:rsidR="005A5A4A" w:rsidRDefault="00000000" w:rsidP="00D4130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784" w:type="dxa"/>
          </w:tcPr>
          <w:p w14:paraId="34B05DFB" w14:textId="52B41C83" w:rsidR="005A5A4A" w:rsidRDefault="005A5A4A" w:rsidP="00D41306">
            <w:pPr>
              <w:jc w:val="center"/>
            </w:pPr>
            <w:r>
              <w:t>2.2</w:t>
            </w:r>
            <w:r w:rsidR="00F24001">
              <w:t>5</w:t>
            </w:r>
            <w:r>
              <w:t xml:space="preserve"> GHz</w:t>
            </w:r>
          </w:p>
        </w:tc>
      </w:tr>
      <w:tr w:rsidR="005A5A4A" w14:paraId="43342642" w14:textId="77777777" w:rsidTr="00323A03">
        <w:tc>
          <w:tcPr>
            <w:tcW w:w="4673" w:type="dxa"/>
          </w:tcPr>
          <w:p w14:paraId="6F2C437D" w14:textId="280B43EE" w:rsidR="005A5A4A" w:rsidRDefault="005A5A4A" w:rsidP="00D41306">
            <w:pPr>
              <w:jc w:val="center"/>
            </w:pPr>
            <w:r>
              <w:t>Longitud de onda en el vacío</w:t>
            </w:r>
          </w:p>
        </w:tc>
        <w:tc>
          <w:tcPr>
            <w:tcW w:w="1559" w:type="dxa"/>
          </w:tcPr>
          <w:p w14:paraId="1026056E" w14:textId="71E54F7C" w:rsidR="005A5A4A" w:rsidRDefault="00000000" w:rsidP="00D4130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84" w:type="dxa"/>
          </w:tcPr>
          <w:p w14:paraId="1DAAF98C" w14:textId="55DA2936" w:rsidR="005A5A4A" w:rsidRDefault="00D41306" w:rsidP="00D41306">
            <w:pPr>
              <w:jc w:val="center"/>
            </w:pPr>
            <w:r w:rsidRPr="00D41306">
              <w:t>122.44</w:t>
            </w:r>
            <w:r>
              <w:t>8 mm</w:t>
            </w:r>
          </w:p>
        </w:tc>
      </w:tr>
      <w:tr w:rsidR="005A5A4A" w14:paraId="205D9160" w14:textId="77777777" w:rsidTr="00323A03">
        <w:tc>
          <w:tcPr>
            <w:tcW w:w="4673" w:type="dxa"/>
          </w:tcPr>
          <w:p w14:paraId="42AC86DF" w14:textId="0CFB9938" w:rsidR="005A5A4A" w:rsidRDefault="005A5A4A" w:rsidP="00D41306">
            <w:pPr>
              <w:jc w:val="center"/>
            </w:pPr>
            <w:r>
              <w:t>Longitud de onda del dieléctrico</w:t>
            </w:r>
          </w:p>
        </w:tc>
        <w:tc>
          <w:tcPr>
            <w:tcW w:w="1559" w:type="dxa"/>
          </w:tcPr>
          <w:p w14:paraId="6FBEEB21" w14:textId="0B7B5040" w:rsidR="005A5A4A" w:rsidRDefault="00000000" w:rsidP="00D4130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784" w:type="dxa"/>
          </w:tcPr>
          <w:p w14:paraId="0A4F5431" w14:textId="7CE770AA" w:rsidR="005A5A4A" w:rsidRPr="00D41306" w:rsidRDefault="00D41306" w:rsidP="00D41306">
            <w:pPr>
              <w:jc w:val="center"/>
            </w:pPr>
            <w:r w:rsidRPr="00D41306">
              <w:t>58.37</w:t>
            </w:r>
            <w:r>
              <w:t>7 mm</w:t>
            </w:r>
          </w:p>
        </w:tc>
      </w:tr>
      <w:tr w:rsidR="005A5A4A" w14:paraId="1F5366FF" w14:textId="77777777" w:rsidTr="00323A03">
        <w:tc>
          <w:tcPr>
            <w:tcW w:w="4673" w:type="dxa"/>
          </w:tcPr>
          <w:p w14:paraId="409EE4D8" w14:textId="0E42AB52" w:rsidR="005A5A4A" w:rsidRDefault="00D41306" w:rsidP="00D41306">
            <w:pPr>
              <w:jc w:val="center"/>
            </w:pPr>
            <w:r>
              <w:t>Permitividad efectiva</w:t>
            </w:r>
          </w:p>
        </w:tc>
        <w:tc>
          <w:tcPr>
            <w:tcW w:w="1559" w:type="dxa"/>
          </w:tcPr>
          <w:p w14:paraId="2ABE0B8F" w14:textId="66D62368" w:rsidR="005A5A4A" w:rsidRDefault="00000000" w:rsidP="00D4130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eff</m:t>
                    </m:r>
                  </m:sub>
                </m:sSub>
              </m:oMath>
            </m:oMathPara>
          </w:p>
        </w:tc>
        <w:tc>
          <w:tcPr>
            <w:tcW w:w="2784" w:type="dxa"/>
          </w:tcPr>
          <w:p w14:paraId="57CE45AA" w14:textId="379B6B15" w:rsidR="005A5A4A" w:rsidRDefault="00D41306" w:rsidP="00D41306">
            <w:pPr>
              <w:jc w:val="center"/>
            </w:pPr>
            <w:r w:rsidRPr="00D41306">
              <w:t>4.081</w:t>
            </w:r>
          </w:p>
        </w:tc>
      </w:tr>
      <w:tr w:rsidR="008002B2" w14:paraId="16D8182E" w14:textId="77777777" w:rsidTr="00323A03">
        <w:tc>
          <w:tcPr>
            <w:tcW w:w="4673" w:type="dxa"/>
          </w:tcPr>
          <w:p w14:paraId="0349C819" w14:textId="5C326890" w:rsidR="008002B2" w:rsidRDefault="008002B2" w:rsidP="00D41306">
            <w:pPr>
              <w:jc w:val="center"/>
            </w:pPr>
            <w:r>
              <w:t>Velocidad de la luz</w:t>
            </w:r>
          </w:p>
        </w:tc>
        <w:tc>
          <w:tcPr>
            <w:tcW w:w="1559" w:type="dxa"/>
          </w:tcPr>
          <w:p w14:paraId="408E0D85" w14:textId="5577E77A" w:rsidR="008002B2" w:rsidRDefault="008002B2" w:rsidP="00D41306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784" w:type="dxa"/>
          </w:tcPr>
          <w:p w14:paraId="24A98821" w14:textId="0E72F624" w:rsidR="008002B2" w:rsidRPr="008002B2" w:rsidRDefault="008002B2" w:rsidP="00D41306">
            <w:pPr>
              <w:jc w:val="center"/>
            </w:pPr>
            <w:r>
              <w:t>3x10</w:t>
            </w:r>
            <w:r>
              <w:rPr>
                <w:vertAlign w:val="superscript"/>
              </w:rPr>
              <w:t>8</w:t>
            </w:r>
            <w:r>
              <w:t xml:space="preserve"> m/s</w:t>
            </w:r>
          </w:p>
        </w:tc>
      </w:tr>
      <w:tr w:rsidR="00CF454E" w14:paraId="4422D402" w14:textId="77777777" w:rsidTr="00323A03">
        <w:tc>
          <w:tcPr>
            <w:tcW w:w="4673" w:type="dxa"/>
          </w:tcPr>
          <w:p w14:paraId="4A4E4E67" w14:textId="040159A1" w:rsidR="00CF454E" w:rsidRDefault="00CF454E" w:rsidP="00D41306">
            <w:pPr>
              <w:jc w:val="center"/>
            </w:pPr>
            <w:r>
              <w:t>Espesor del cobre</w:t>
            </w:r>
          </w:p>
        </w:tc>
        <w:tc>
          <w:tcPr>
            <w:tcW w:w="1559" w:type="dxa"/>
          </w:tcPr>
          <w:p w14:paraId="3922A327" w14:textId="14B08BC9" w:rsidR="00CF454E" w:rsidRDefault="00CF454E" w:rsidP="00D41306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784" w:type="dxa"/>
          </w:tcPr>
          <w:p w14:paraId="00D9F1ED" w14:textId="3FE6B540" w:rsidR="00CF454E" w:rsidRDefault="00CF454E" w:rsidP="00D41306">
            <w:pPr>
              <w:jc w:val="center"/>
            </w:pPr>
            <w:r>
              <w:t>0.035 mm</w:t>
            </w:r>
          </w:p>
        </w:tc>
      </w:tr>
      <w:tr w:rsidR="00323A03" w14:paraId="4E7A9335" w14:textId="77777777" w:rsidTr="00323A03">
        <w:tc>
          <w:tcPr>
            <w:tcW w:w="4673" w:type="dxa"/>
          </w:tcPr>
          <w:p w14:paraId="19DAD2CD" w14:textId="6C46F903" w:rsidR="00323A03" w:rsidRDefault="00323A03" w:rsidP="00D41306">
            <w:pPr>
              <w:jc w:val="center"/>
            </w:pPr>
            <w:proofErr w:type="spellStart"/>
            <w:r>
              <w:lastRenderedPageBreak/>
              <w:t>Cte</w:t>
            </w:r>
            <w:proofErr w:type="spellEnd"/>
            <w:r>
              <w:t xml:space="preserve"> que modifica la posición de la ranura</w:t>
            </w:r>
          </w:p>
        </w:tc>
        <w:tc>
          <w:tcPr>
            <w:tcW w:w="1559" w:type="dxa"/>
          </w:tcPr>
          <w:p w14:paraId="7AD5D484" w14:textId="7D9239C0" w:rsidR="00323A03" w:rsidRDefault="00323A03" w:rsidP="00D41306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a</m:t>
                </m:r>
              </m:oMath>
            </m:oMathPara>
          </w:p>
        </w:tc>
        <w:tc>
          <w:tcPr>
            <w:tcW w:w="2784" w:type="dxa"/>
          </w:tcPr>
          <w:p w14:paraId="7846C82E" w14:textId="0EC24E6F" w:rsidR="00323A03" w:rsidRDefault="00323A03" w:rsidP="00D41306">
            <w:pPr>
              <w:jc w:val="center"/>
            </w:pPr>
            <w:r>
              <w:t>0 (inicialmente)</w:t>
            </w:r>
          </w:p>
        </w:tc>
      </w:tr>
    </w:tbl>
    <w:p w14:paraId="7807E3BD" w14:textId="5B24CBBC" w:rsidR="000109A5" w:rsidRDefault="005A5A4A" w:rsidP="000109A5">
      <w:pPr>
        <w:pStyle w:val="Prrafodelista"/>
        <w:numPr>
          <w:ilvl w:val="0"/>
          <w:numId w:val="4"/>
        </w:numPr>
        <w:spacing w:before="240"/>
      </w:pPr>
      <w:r>
        <w:t>PATC</w:t>
      </w:r>
      <w:r w:rsidR="000109A5">
        <w:t>H</w:t>
      </w:r>
    </w:p>
    <w:p w14:paraId="1CFF1B3B" w14:textId="103D1F0F" w:rsidR="007E039F" w:rsidRDefault="000109A5" w:rsidP="007E039F">
      <w:r>
        <w:t>El ancho del elemento radiante se calcula a partir de la siguiente ecuación teórica:</w:t>
      </w:r>
    </w:p>
    <w:p w14:paraId="0A749B00" w14:textId="77777777" w:rsidR="006B239C" w:rsidRPr="006B239C" w:rsidRDefault="007E039F" w:rsidP="00AF6E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f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     </m:t>
          </m:r>
        </m:oMath>
      </m:oMathPara>
    </w:p>
    <w:p w14:paraId="5E5EE0B1" w14:textId="3A91E7C1" w:rsidR="00AF6EBC" w:rsidRPr="006B239C" w:rsidRDefault="00371F76" w:rsidP="00AF6EBC">
      <w:pPr>
        <w:rPr>
          <w:rFonts w:eastAsiaTheme="minorEastAsia"/>
        </w:rPr>
      </w:pPr>
      <w:r w:rsidRPr="00371F76">
        <w:t xml:space="preserve">Para determinar la longitud del parche, se considera la longitud efectiva y se aplica una corrección debido al efecto </w:t>
      </w:r>
      <w:proofErr w:type="spellStart"/>
      <w:r w:rsidRPr="00371F76">
        <w:t>fringing</w:t>
      </w:r>
      <w:proofErr w:type="spellEnd"/>
      <w:r w:rsidR="007E03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2A7A5" wp14:editId="7B8964DE">
                <wp:simplePos x="0" y="0"/>
                <wp:positionH relativeFrom="column">
                  <wp:posOffset>3009900</wp:posOffset>
                </wp:positionH>
                <wp:positionV relativeFrom="paragraph">
                  <wp:posOffset>508000</wp:posOffset>
                </wp:positionV>
                <wp:extent cx="190500" cy="866775"/>
                <wp:effectExtent l="0" t="0" r="19050" b="28575"/>
                <wp:wrapNone/>
                <wp:docPr id="86274659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66775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02E5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" o:spid="_x0000_s1026" type="#_x0000_t88" style="position:absolute;margin-left:237pt;margin-top:40pt;width:15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" adj="396" strokecolor="black [3213]" strokeweight="1pt">
                <v:stroke joinstyle="miter"/>
              </v:shape>
            </w:pict>
          </mc:Fallback>
        </mc:AlternateContent>
      </w:r>
      <w:r w:rsidR="007E039F" w:rsidRPr="007E039F">
        <w:rPr>
          <w:noProof/>
        </w:rPr>
        <w:drawing>
          <wp:anchor distT="0" distB="0" distL="114300" distR="114300" simplePos="0" relativeHeight="251662336" behindDoc="0" locked="0" layoutInCell="1" allowOverlap="1" wp14:anchorId="2FDE0105" wp14:editId="73F5DB64">
            <wp:simplePos x="0" y="0"/>
            <wp:positionH relativeFrom="column">
              <wp:posOffset>3771900</wp:posOffset>
            </wp:positionH>
            <wp:positionV relativeFrom="paragraph">
              <wp:posOffset>727710</wp:posOffset>
            </wp:positionV>
            <wp:extent cx="1581371" cy="409632"/>
            <wp:effectExtent l="0" t="0" r="0" b="9525"/>
            <wp:wrapSquare wrapText="bothSides"/>
            <wp:docPr id="97428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85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</w:p>
    <w:p w14:paraId="634B5EB1" w14:textId="78DECF46" w:rsidR="00AF6EBC" w:rsidRPr="00AF6EBC" w:rsidRDefault="00000000" w:rsidP="00AF6E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</m:oMath>
      </m:oMathPara>
    </w:p>
    <w:p w14:paraId="4CC20C4D" w14:textId="60DAE607" w:rsidR="00AF6EBC" w:rsidRPr="00AF6EBC" w:rsidRDefault="00AF6EBC" w:rsidP="00AF6EBC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L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=0.412</m:t>
          </m:r>
          <m:r>
            <w:rPr>
              <w:rFonts w:ascii="Cambria Math" w:hAnsi="Cambria Math"/>
              <w:lang w:val="en-US"/>
            </w:rPr>
            <m:t>h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eff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+0.3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/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+0.264)</m:t>
              </m:r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eff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-0.258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/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+0.8)</m:t>
              </m:r>
            </m:den>
          </m:f>
        </m:oMath>
      </m:oMathPara>
    </w:p>
    <w:p w14:paraId="3955C407" w14:textId="1D442767" w:rsidR="005A5A4A" w:rsidRDefault="005A5A4A" w:rsidP="005A5A4A">
      <w:pPr>
        <w:pStyle w:val="Prrafodelista"/>
        <w:numPr>
          <w:ilvl w:val="0"/>
          <w:numId w:val="4"/>
        </w:numPr>
      </w:pPr>
      <w:r>
        <w:t>MICROSTRI</w:t>
      </w:r>
      <w:r w:rsidR="00301EA0">
        <w:t>P</w:t>
      </w:r>
    </w:p>
    <w:p w14:paraId="472892AE" w14:textId="0F6AE32E" w:rsidR="007E039F" w:rsidRPr="00AA5325" w:rsidRDefault="00371F76" w:rsidP="007E039F">
      <w:pPr>
        <w:spacing w:after="220"/>
      </w:pPr>
      <w:r w:rsidRPr="00371F76">
        <w:t xml:space="preserve">Para que la </w:t>
      </w:r>
      <w:proofErr w:type="spellStart"/>
      <w:r w:rsidRPr="00371F76">
        <w:t>microstrip</w:t>
      </w:r>
      <w:proofErr w:type="spellEnd"/>
      <w:r w:rsidRPr="00371F76">
        <w:t xml:space="preserve"> tenga una impedancia característica de </w:t>
      </w:r>
      <w:r w:rsidRPr="00371F76">
        <w:rPr>
          <w:b/>
          <w:bCs/>
        </w:rPr>
        <w:t>50 Ω</w:t>
      </w:r>
      <w:r w:rsidRPr="00371F76">
        <w:t xml:space="preserve">, su ancho se calcula utilizando la ecuación de </w:t>
      </w:r>
      <w:proofErr w:type="spellStart"/>
      <w:r w:rsidRPr="00371F76">
        <w:t>Hammerstad</w:t>
      </w:r>
      <w:proofErr w:type="spellEnd"/>
      <w:r w:rsidRPr="00371F76">
        <w:t>:</w:t>
      </w:r>
      <w:r w:rsidR="007E039F"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-1-ln⁡(2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ln⁡(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-1)+0.39-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0.61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BA340A1" w14:textId="4F36B757" w:rsidR="007E039F" w:rsidRDefault="007E039F" w:rsidP="00AA5325">
      <w:r>
        <w:t>Donde:</w:t>
      </w:r>
      <w:r w:rsidR="00AA5325">
        <w:tab/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den>
        </m:f>
      </m:oMath>
    </w:p>
    <w:p w14:paraId="15182EAD" w14:textId="301FD94D" w:rsidR="00301EA0" w:rsidRPr="00AF6EBC" w:rsidRDefault="00AF6EBC" w:rsidP="006B239C">
      <w:r w:rsidRPr="00AF6EBC">
        <w:t xml:space="preserve">Por otro lado, la longitud de la línea de alimentación debe ser un múltiplo de </w:t>
      </w:r>
      <w:proofErr w:type="spellStart"/>
      <w:r w:rsidRPr="00AF6EBC">
        <w:t>λd</w:t>
      </w:r>
      <w:proofErr w:type="spellEnd"/>
      <w:r w:rsidRPr="00AF6EBC">
        <w:t>/4 (la cuarta parte de la longitud de onda en el dieléctrico)</w:t>
      </w:r>
      <w:r w:rsidR="00AA5325">
        <w:t>.</w:t>
      </w:r>
    </w:p>
    <w:p w14:paraId="71D24413" w14:textId="7FBBAF39" w:rsidR="00301EA0" w:rsidRDefault="005A5A4A" w:rsidP="00301EA0">
      <w:pPr>
        <w:pStyle w:val="Prrafodelista"/>
        <w:numPr>
          <w:ilvl w:val="0"/>
          <w:numId w:val="4"/>
        </w:numPr>
        <w:spacing w:before="240"/>
      </w:pPr>
      <w:r>
        <w:t>RANURA</w:t>
      </w:r>
    </w:p>
    <w:p w14:paraId="43E07CEB" w14:textId="495C2D98" w:rsidR="00A552DA" w:rsidRPr="00A552DA" w:rsidRDefault="00A552DA" w:rsidP="00A552DA">
      <w:r w:rsidRPr="00A552DA">
        <w:t xml:space="preserve">La ranura se diseña con el propósito de acoplar la </w:t>
      </w:r>
      <w:proofErr w:type="spellStart"/>
      <w:r w:rsidRPr="00A552DA">
        <w:t>microstrip</w:t>
      </w:r>
      <w:proofErr w:type="spellEnd"/>
      <w:r w:rsidRPr="00A552DA">
        <w:t xml:space="preserve"> al </w:t>
      </w:r>
      <w:proofErr w:type="spellStart"/>
      <w:r w:rsidRPr="00A552DA">
        <w:t>patch</w:t>
      </w:r>
      <w:proofErr w:type="spellEnd"/>
      <w:r w:rsidRPr="00A552DA">
        <w:t xml:space="preserve">, y su longitud no necesariamente debe ser </w:t>
      </w:r>
      <w:proofErr w:type="spellStart"/>
      <w:r w:rsidRPr="00A552DA">
        <w:t>λd</w:t>
      </w:r>
      <w:proofErr w:type="spellEnd"/>
      <w:r w:rsidRPr="00A552DA">
        <w:t xml:space="preserve">/2. En su lugar, se suele optar por una longitud cercana a </w:t>
      </w:r>
      <w:proofErr w:type="spellStart"/>
      <w:r w:rsidRPr="00A552DA">
        <w:t>λd</w:t>
      </w:r>
      <w:proofErr w:type="spellEnd"/>
      <w:r w:rsidRPr="00A552DA">
        <w:t>/4 o incluso menor, dependiendo de los requisitos específicos del diseño.</w:t>
      </w:r>
    </w:p>
    <w:p w14:paraId="28D012F0" w14:textId="3147828D" w:rsidR="00A552DA" w:rsidRPr="00A552DA" w:rsidRDefault="00A552DA" w:rsidP="00A552DA">
      <w:r w:rsidRPr="00A552DA">
        <w:t xml:space="preserve">Además, su ancho suele representar una fracción reducida de la longitud de onda, siendo común el uso de </w:t>
      </w:r>
      <w:proofErr w:type="spellStart"/>
      <w:r w:rsidRPr="00A552DA">
        <w:t>λd</w:t>
      </w:r>
      <w:proofErr w:type="spellEnd"/>
      <w:r w:rsidRPr="00A552DA">
        <w:t xml:space="preserve">/20. Para maximizar el acoplamiento, la ranura se posiciona en el centro del </w:t>
      </w:r>
      <w:proofErr w:type="spellStart"/>
      <w:r w:rsidRPr="00A552DA">
        <w:t>patch</w:t>
      </w:r>
      <w:proofErr w:type="spellEnd"/>
      <w:r w:rsidRPr="00A552DA">
        <w:t>.</w:t>
      </w:r>
    </w:p>
    <w:p w14:paraId="388F95BC" w14:textId="0E8B2925" w:rsidR="005A5A4A" w:rsidRPr="00D4017A" w:rsidRDefault="006B239C" w:rsidP="00A552DA">
      <w:pPr>
        <w:spacing w:before="240"/>
        <w:rPr>
          <w:u w:val="single"/>
        </w:rPr>
      </w:pPr>
      <w:r w:rsidRPr="006B239C">
        <w:rPr>
          <w:highlight w:val="yellow"/>
          <w:u w:val="single"/>
        </w:rPr>
        <w:t>PONER EL CUADRO CON TODAS LAS DIMENSIONES</w:t>
      </w:r>
    </w:p>
    <w:p w14:paraId="10356DEA" w14:textId="2D315CF7" w:rsidR="00AA5325" w:rsidRDefault="006C704E" w:rsidP="006C704E">
      <w:pPr>
        <w:pStyle w:val="Prrafodelista"/>
        <w:numPr>
          <w:ilvl w:val="0"/>
          <w:numId w:val="6"/>
        </w:numPr>
      </w:pPr>
      <w:r>
        <w:t>Consideraciones teóricas importantes:</w:t>
      </w:r>
    </w:p>
    <w:p w14:paraId="35D4994E" w14:textId="54E00370" w:rsidR="006C704E" w:rsidRDefault="006C704E" w:rsidP="006C704E">
      <w:pPr>
        <w:pStyle w:val="Prrafodelista"/>
        <w:numPr>
          <w:ilvl w:val="1"/>
          <w:numId w:val="6"/>
        </w:numPr>
      </w:pPr>
      <w:r>
        <w:t xml:space="preserve">Simetría: la </w:t>
      </w:r>
      <w:proofErr w:type="spellStart"/>
      <w:r>
        <w:t>microstrip</w:t>
      </w:r>
      <w:proofErr w:type="spellEnd"/>
      <w:r>
        <w:t xml:space="preserve"> y la ranura deben estar centradas con respecto al </w:t>
      </w:r>
      <w:proofErr w:type="spellStart"/>
      <w:r>
        <w:t>patch</w:t>
      </w:r>
      <w:proofErr w:type="spellEnd"/>
      <w:r>
        <w:t xml:space="preserve"> para evitar modos de orden superior y distorsiones en el </w:t>
      </w:r>
      <w:proofErr w:type="spellStart"/>
      <w:r>
        <w:t>patron</w:t>
      </w:r>
      <w:proofErr w:type="spellEnd"/>
      <w:r>
        <w:t xml:space="preserve"> de radiación.</w:t>
      </w:r>
    </w:p>
    <w:p w14:paraId="2131FD60" w14:textId="050FEE68" w:rsidR="006C704E" w:rsidRDefault="006C704E" w:rsidP="006C704E">
      <w:pPr>
        <w:pStyle w:val="Prrafodelista"/>
        <w:numPr>
          <w:ilvl w:val="1"/>
          <w:numId w:val="6"/>
        </w:numPr>
      </w:pPr>
      <w:r>
        <w:t xml:space="preserve">Acoplamiento: el ancho y la longitud de la ranura pueden modificarse para optimizar el acoplamiento entre la </w:t>
      </w:r>
      <w:proofErr w:type="spellStart"/>
      <w:r>
        <w:t>microstrip</w:t>
      </w:r>
      <w:proofErr w:type="spellEnd"/>
      <w:r>
        <w:t xml:space="preserve"> y el </w:t>
      </w:r>
      <w:proofErr w:type="spellStart"/>
      <w:r>
        <w:t>patch</w:t>
      </w:r>
      <w:proofErr w:type="spellEnd"/>
      <w:r>
        <w:t>.</w:t>
      </w:r>
    </w:p>
    <w:p w14:paraId="756838C6" w14:textId="71F7A86D" w:rsidR="006C704E" w:rsidRDefault="006C704E" w:rsidP="006C704E">
      <w:pPr>
        <w:pStyle w:val="Prrafodelista"/>
        <w:numPr>
          <w:ilvl w:val="1"/>
          <w:numId w:val="6"/>
        </w:numPr>
      </w:pPr>
      <w:r>
        <w:lastRenderedPageBreak/>
        <w:t xml:space="preserve">La ranura debe estar colocada transversalmente a la longitud del </w:t>
      </w:r>
      <w:proofErr w:type="spellStart"/>
      <w:r>
        <w:t>patch</w:t>
      </w:r>
      <w:proofErr w:type="spellEnd"/>
      <w:r>
        <w:t>.</w:t>
      </w:r>
    </w:p>
    <w:p w14:paraId="3B196D85" w14:textId="6F59FF84" w:rsidR="008827BD" w:rsidRDefault="006C704E" w:rsidP="001A1C5C">
      <w:pPr>
        <w:pStyle w:val="Prrafodelista"/>
        <w:numPr>
          <w:ilvl w:val="1"/>
          <w:numId w:val="6"/>
        </w:numPr>
      </w:pPr>
      <w:r>
        <w:t xml:space="preserve">La </w:t>
      </w:r>
      <w:proofErr w:type="spellStart"/>
      <w:r>
        <w:t>microstrip</w:t>
      </w:r>
      <w:proofErr w:type="spellEnd"/>
      <w:r>
        <w:t xml:space="preserve"> debe estar perpendicular a la ranura</w:t>
      </w:r>
      <w:r w:rsidR="001C3500">
        <w:t xml:space="preserve"> </w:t>
      </w:r>
      <w:r w:rsidR="001C3500" w:rsidRPr="001C3500">
        <w:t>para garantizar un</w:t>
      </w:r>
      <w:r w:rsidR="001C3500">
        <w:t xml:space="preserve"> </w:t>
      </w:r>
      <w:r w:rsidR="001C3500" w:rsidRPr="001C3500">
        <w:t xml:space="preserve">acoplamiento eficiente de la energía desde </w:t>
      </w:r>
      <w:r w:rsidR="001C3500">
        <w:t xml:space="preserve">la </w:t>
      </w:r>
      <w:proofErr w:type="spellStart"/>
      <w:r w:rsidR="001C3500" w:rsidRPr="001C3500">
        <w:t>microstrip</w:t>
      </w:r>
      <w:proofErr w:type="spellEnd"/>
      <w:r w:rsidR="001C3500" w:rsidRPr="001C3500">
        <w:t xml:space="preserve"> al parche a través de la ranura.</w:t>
      </w:r>
      <w:r w:rsidR="001C3500">
        <w:t xml:space="preserve"> A su vez, debe estar paralela a la longitud del </w:t>
      </w:r>
      <w:proofErr w:type="spellStart"/>
      <w:r w:rsidR="001C3500">
        <w:t>patch</w:t>
      </w:r>
      <w:proofErr w:type="spellEnd"/>
      <w:r w:rsidR="001C3500">
        <w:t>.</w:t>
      </w:r>
    </w:p>
    <w:p w14:paraId="6F75DEDE" w14:textId="77777777" w:rsidR="001C3500" w:rsidRDefault="001C3500" w:rsidP="001C3500"/>
    <w:p w14:paraId="7C0081B1" w14:textId="6BFFB83E" w:rsidR="006C704E" w:rsidRDefault="00371F76" w:rsidP="006C704E">
      <w:r>
        <w:t>DISEÑO EN CST STUDIO</w:t>
      </w:r>
    </w:p>
    <w:p w14:paraId="5CAEBB7A" w14:textId="4AD2CEF2" w:rsidR="0054271C" w:rsidRDefault="00371F76" w:rsidP="00371F76">
      <w:r w:rsidRPr="00371F76">
        <w:t xml:space="preserve">Para el diseño en CST Studio, </w:t>
      </w:r>
      <w:r w:rsidR="0054271C">
        <w:t>se modeló la antena en base a las dimensiones calculadas anteriormente</w:t>
      </w:r>
      <w:r w:rsidR="00CF454E">
        <w:t xml:space="preserve">, teniendo en cuenta además las características del sustrato de FR-4 y del cobre. </w:t>
      </w:r>
    </w:p>
    <w:p w14:paraId="2FD80A24" w14:textId="0E09D53B" w:rsidR="00CF454E" w:rsidRDefault="0054271C" w:rsidP="00CF454E">
      <w:pPr>
        <w:jc w:val="center"/>
      </w:pPr>
      <w:r w:rsidRPr="0054271C">
        <w:rPr>
          <w:noProof/>
        </w:rPr>
        <w:drawing>
          <wp:inline distT="0" distB="0" distL="0" distR="0" wp14:anchorId="636F99AC" wp14:editId="5F67B3E1">
            <wp:extent cx="3067050" cy="2295254"/>
            <wp:effectExtent l="0" t="0" r="0" b="0"/>
            <wp:docPr id="43332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2189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D33E" w14:textId="64123770" w:rsidR="007511DD" w:rsidRDefault="007511DD" w:rsidP="0054271C">
      <w:r>
        <w:t>Luego, para evaluar el desempeño de la antena, se configuró el puerto de alimentación mediante la herramienta de “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>”:</w:t>
      </w:r>
    </w:p>
    <w:p w14:paraId="67D56ECF" w14:textId="6EA4A61D" w:rsidR="007511DD" w:rsidRDefault="00F24001" w:rsidP="007511DD">
      <w:pPr>
        <w:jc w:val="center"/>
      </w:pPr>
      <w:r w:rsidRPr="00F24001">
        <w:rPr>
          <w:noProof/>
        </w:rPr>
        <w:drawing>
          <wp:inline distT="0" distB="0" distL="0" distR="0" wp14:anchorId="3D8588D7" wp14:editId="3AC51B42">
            <wp:extent cx="4835611" cy="3297495"/>
            <wp:effectExtent l="0" t="0" r="3175" b="0"/>
            <wp:docPr id="36477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7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001" cy="33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10F8" w14:textId="02DA7399" w:rsidR="0054271C" w:rsidRDefault="007511DD" w:rsidP="0054271C">
      <w:r>
        <w:lastRenderedPageBreak/>
        <w:t xml:space="preserve">Se definió el rango de análisis entre 1.6 a 3.0 GHz y se procedió a utilizar el </w:t>
      </w:r>
      <w:proofErr w:type="spellStart"/>
      <w:r>
        <w:t>solver</w:t>
      </w:r>
      <w:proofErr w:type="spellEnd"/>
      <w:r>
        <w:t xml:space="preserve"> de Time </w:t>
      </w:r>
      <w:proofErr w:type="spellStart"/>
      <w:r>
        <w:t>Domain</w:t>
      </w:r>
      <w:proofErr w:type="spellEnd"/>
      <w:r w:rsidR="00330E0B">
        <w:t xml:space="preserve">, configurándolo para una impedancia normalizada de 50 </w:t>
      </w:r>
      <w:proofErr w:type="spellStart"/>
      <w:r w:rsidR="00330E0B">
        <w:t>ohms</w:t>
      </w:r>
      <w:proofErr w:type="spellEnd"/>
      <w:r w:rsidR="00330E0B">
        <w:t>.</w:t>
      </w:r>
    </w:p>
    <w:p w14:paraId="1237FA4A" w14:textId="3B332DC0" w:rsidR="00330E0B" w:rsidRDefault="00330E0B" w:rsidP="0054271C">
      <w:r>
        <w:t>La simulación que se obtiene a partir de los valores calculados es la siguiente:</w:t>
      </w:r>
    </w:p>
    <w:p w14:paraId="2619BEE5" w14:textId="77777777" w:rsidR="00F24001" w:rsidRDefault="00F24001" w:rsidP="0054271C"/>
    <w:p w14:paraId="34059DBB" w14:textId="43015B56" w:rsidR="001E7695" w:rsidRDefault="00F24001" w:rsidP="0054271C">
      <w:r w:rsidRPr="00F24001">
        <w:rPr>
          <w:noProof/>
        </w:rPr>
        <w:drawing>
          <wp:inline distT="0" distB="0" distL="0" distR="0" wp14:anchorId="58DFEE7A" wp14:editId="1A6F8300">
            <wp:extent cx="5731510" cy="1746115"/>
            <wp:effectExtent l="0" t="0" r="2540" b="6985"/>
            <wp:docPr id="454485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85477" name=""/>
                    <pic:cNvPicPr/>
                  </pic:nvPicPr>
                  <pic:blipFill rotWithShape="1">
                    <a:blip r:embed="rId9"/>
                    <a:srcRect b="1335"/>
                    <a:stretch/>
                  </pic:blipFill>
                  <pic:spPr bwMode="auto">
                    <a:xfrm>
                      <a:off x="0" y="0"/>
                      <a:ext cx="5731510" cy="174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6FE2D" w14:textId="4A926A9A" w:rsidR="007A021A" w:rsidRDefault="001E7695" w:rsidP="001E7695">
      <w:r>
        <w:t>Como podemos observar, en la gráfica de los parámetros S, se obtiene una frecuencia de resonancia por debajo de la desea</w:t>
      </w:r>
      <w:r w:rsidR="007A021A">
        <w:t xml:space="preserve">da, lo cual significa que </w:t>
      </w:r>
      <w:r w:rsidR="00A42C9E">
        <w:t xml:space="preserve">la antena está resonando a una longitud de onda mayor de la que debería, es decir, las dimensiones del </w:t>
      </w:r>
      <w:proofErr w:type="spellStart"/>
      <w:r w:rsidR="00A42C9E">
        <w:t>patch</w:t>
      </w:r>
      <w:proofErr w:type="spellEnd"/>
      <w:r w:rsidR="00A42C9E">
        <w:t xml:space="preserve"> son demasiados grandes</w:t>
      </w:r>
      <w:r w:rsidR="00513B47">
        <w:t xml:space="preserve"> por lo </w:t>
      </w:r>
      <w:proofErr w:type="gramStart"/>
      <w:r w:rsidR="00513B47">
        <w:t>que</w:t>
      </w:r>
      <w:proofErr w:type="gramEnd"/>
      <w:r w:rsidR="00513B47">
        <w:t xml:space="preserve"> si las reducimos, la frecuencia de resonancia del sistema aumenta.</w:t>
      </w:r>
    </w:p>
    <w:p w14:paraId="64FF0CCA" w14:textId="612D2167" w:rsidR="00CC10D3" w:rsidRDefault="00CC10D3" w:rsidP="001E7695">
      <w:r>
        <w:t xml:space="preserve">Se hizo un escalado de las dimensiones del </w:t>
      </w:r>
      <w:proofErr w:type="spellStart"/>
      <w:r>
        <w:t>patch</w:t>
      </w:r>
      <w:proofErr w:type="spellEnd"/>
      <w:r>
        <w:t xml:space="preserve"> y de la ranura.</w:t>
      </w:r>
    </w:p>
    <w:p w14:paraId="5F7C1246" w14:textId="6D9F52A7" w:rsidR="00CC10D3" w:rsidRDefault="00CC10D3" w:rsidP="001E7695">
      <w:r>
        <w:t>Las simulaciones obtenidas son:</w:t>
      </w:r>
    </w:p>
    <w:p w14:paraId="27511790" w14:textId="3ED6DE4A" w:rsidR="00DB64A5" w:rsidRDefault="00CC10D3" w:rsidP="00A42C9E">
      <w:pPr>
        <w:pStyle w:val="Prrafodelista"/>
        <w:numPr>
          <w:ilvl w:val="0"/>
          <w:numId w:val="8"/>
        </w:numPr>
      </w:pPr>
      <w:r>
        <w:t>Escalado al 5%</w:t>
      </w:r>
    </w:p>
    <w:p w14:paraId="00ADD660" w14:textId="00E3B40A" w:rsidR="007A2D0D" w:rsidRDefault="000946DE" w:rsidP="001E7695">
      <w:r w:rsidRPr="000946DE">
        <w:rPr>
          <w:noProof/>
        </w:rPr>
        <w:drawing>
          <wp:inline distT="0" distB="0" distL="0" distR="0" wp14:anchorId="3A7E94DD" wp14:editId="0335FCC3">
            <wp:extent cx="5731510" cy="1792605"/>
            <wp:effectExtent l="0" t="0" r="2540" b="0"/>
            <wp:docPr id="2123378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7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1129" w14:textId="6017F31E" w:rsidR="00CC10D3" w:rsidRDefault="00CC10D3" w:rsidP="00CC10D3">
      <w:pPr>
        <w:pStyle w:val="Prrafodelista"/>
        <w:numPr>
          <w:ilvl w:val="0"/>
          <w:numId w:val="8"/>
        </w:numPr>
      </w:pPr>
      <w:r>
        <w:t>Escalado al 10%</w:t>
      </w:r>
    </w:p>
    <w:p w14:paraId="013AA32F" w14:textId="028C8300" w:rsidR="007A2D0D" w:rsidRDefault="00B96E8D" w:rsidP="001E7695">
      <w:r w:rsidRPr="00B96E8D">
        <w:rPr>
          <w:noProof/>
        </w:rPr>
        <w:lastRenderedPageBreak/>
        <w:drawing>
          <wp:inline distT="0" distB="0" distL="0" distR="0" wp14:anchorId="638A55DD" wp14:editId="32630ED3">
            <wp:extent cx="5731510" cy="1800225"/>
            <wp:effectExtent l="0" t="0" r="2540" b="9525"/>
            <wp:docPr id="1011977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77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A044" w14:textId="71CF066D" w:rsidR="00CC10D3" w:rsidRDefault="00CC10D3" w:rsidP="00CC10D3">
      <w:pPr>
        <w:pStyle w:val="Prrafodelista"/>
        <w:numPr>
          <w:ilvl w:val="0"/>
          <w:numId w:val="8"/>
        </w:numPr>
      </w:pPr>
      <w:r>
        <w:t>Escalado al 15%</w:t>
      </w:r>
    </w:p>
    <w:p w14:paraId="115B4D46" w14:textId="2A99FE91" w:rsidR="000946DE" w:rsidRDefault="00B86F5A" w:rsidP="001E7695">
      <w:r w:rsidRPr="00B86F5A">
        <w:rPr>
          <w:noProof/>
        </w:rPr>
        <w:drawing>
          <wp:inline distT="0" distB="0" distL="0" distR="0" wp14:anchorId="70C7C708" wp14:editId="301AE84F">
            <wp:extent cx="5731510" cy="1755140"/>
            <wp:effectExtent l="0" t="0" r="2540" b="0"/>
            <wp:docPr id="14380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6681" w14:textId="089E777A" w:rsidR="00CC10D3" w:rsidRDefault="00CC10D3" w:rsidP="00CC10D3">
      <w:pPr>
        <w:pStyle w:val="Prrafodelista"/>
        <w:numPr>
          <w:ilvl w:val="0"/>
          <w:numId w:val="8"/>
        </w:numPr>
      </w:pPr>
      <w:r>
        <w:t>Escalado al 16%</w:t>
      </w:r>
    </w:p>
    <w:p w14:paraId="6DB34D80" w14:textId="1362C8B3" w:rsidR="00CC10D3" w:rsidRDefault="00DE1924" w:rsidP="001E7695">
      <w:r w:rsidRPr="00DE1924">
        <w:rPr>
          <w:noProof/>
        </w:rPr>
        <w:drawing>
          <wp:inline distT="0" distB="0" distL="0" distR="0" wp14:anchorId="4FBA3971" wp14:editId="1065010A">
            <wp:extent cx="5731510" cy="1913890"/>
            <wp:effectExtent l="0" t="0" r="2540" b="0"/>
            <wp:docPr id="231884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84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8B4A" w14:textId="1CFD8B50" w:rsidR="009816A9" w:rsidRDefault="009816A9" w:rsidP="001E7695">
      <w:r w:rsidRPr="006B239C">
        <w:rPr>
          <w:highlight w:val="yellow"/>
        </w:rPr>
        <w:t>Gráfica donde se observan las variaciones de la frecuencia de resonancia en función de los distintos porcentajes de escalado.</w:t>
      </w:r>
    </w:p>
    <w:p w14:paraId="4B2FED48" w14:textId="0B8C6573" w:rsidR="00CC10D3" w:rsidRDefault="00CC10D3" w:rsidP="001E7695"/>
    <w:p w14:paraId="0F30B268" w14:textId="6387E3A4" w:rsidR="00323A03" w:rsidRDefault="003D1640" w:rsidP="0054271C">
      <w:r>
        <w:t xml:space="preserve">Cálculo de la impedancia de la </w:t>
      </w:r>
      <w:proofErr w:type="spellStart"/>
      <w:r>
        <w:t>microstrip</w:t>
      </w:r>
      <w:proofErr w:type="spellEnd"/>
    </w:p>
    <w:p w14:paraId="5EF742D4" w14:textId="0B2F6BAA" w:rsidR="003D1640" w:rsidRDefault="003D1640" w:rsidP="0054271C">
      <w:r w:rsidRPr="003D1640">
        <w:rPr>
          <w:noProof/>
        </w:rPr>
        <w:lastRenderedPageBreak/>
        <w:drawing>
          <wp:inline distT="0" distB="0" distL="0" distR="0" wp14:anchorId="354214DA" wp14:editId="54D0EDB5">
            <wp:extent cx="3204519" cy="2782550"/>
            <wp:effectExtent l="0" t="0" r="0" b="0"/>
            <wp:docPr id="971343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43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402" cy="278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FB94" w14:textId="6B75AAAD" w:rsidR="003D1640" w:rsidRDefault="003B1EB0" w:rsidP="0054271C">
      <w:r>
        <w:t>Para comprobar que el diseño de la antena sea óptimo, se deben verificar los siguientes parámetros:</w:t>
      </w:r>
    </w:p>
    <w:p w14:paraId="0F935277" w14:textId="77777777" w:rsidR="003B1EB0" w:rsidRPr="003B1EB0" w:rsidRDefault="003B1EB0" w:rsidP="003B1EB0">
      <w:pPr>
        <w:numPr>
          <w:ilvl w:val="0"/>
          <w:numId w:val="9"/>
        </w:numPr>
        <w:spacing w:after="0"/>
      </w:pPr>
      <w:r w:rsidRPr="003B1EB0">
        <w:rPr>
          <w:b/>
          <w:bCs/>
        </w:rPr>
        <w:t>Impedancia de Entrada</w:t>
      </w:r>
      <w:r w:rsidRPr="003B1EB0">
        <w:t>: Cercana a 50 Ω.</w:t>
      </w:r>
    </w:p>
    <w:p w14:paraId="21CF58B4" w14:textId="77777777" w:rsidR="003B1EB0" w:rsidRPr="003B1EB0" w:rsidRDefault="003B1EB0" w:rsidP="003B1EB0">
      <w:pPr>
        <w:numPr>
          <w:ilvl w:val="0"/>
          <w:numId w:val="9"/>
        </w:numPr>
        <w:spacing w:after="0"/>
      </w:pPr>
      <w:r w:rsidRPr="003B1EB0">
        <w:rPr>
          <w:b/>
          <w:bCs/>
        </w:rPr>
        <w:t>S11</w:t>
      </w:r>
      <w:r w:rsidRPr="003B1EB0">
        <w:t>: Menor que -10 dB.</w:t>
      </w:r>
    </w:p>
    <w:p w14:paraId="2A8AB115" w14:textId="77777777" w:rsidR="003B1EB0" w:rsidRPr="003B1EB0" w:rsidRDefault="003B1EB0" w:rsidP="003B1EB0">
      <w:pPr>
        <w:numPr>
          <w:ilvl w:val="0"/>
          <w:numId w:val="9"/>
        </w:numPr>
        <w:spacing w:after="0"/>
      </w:pPr>
      <w:r w:rsidRPr="003B1EB0">
        <w:rPr>
          <w:b/>
          <w:bCs/>
        </w:rPr>
        <w:t>Ancho de Banda</w:t>
      </w:r>
      <w:r w:rsidRPr="003B1EB0">
        <w:t>: Cubre la frecuencia de operación.</w:t>
      </w:r>
    </w:p>
    <w:p w14:paraId="25B8353E" w14:textId="0B7D5224" w:rsidR="003B1EB0" w:rsidRPr="003B1EB0" w:rsidRDefault="003B1EB0" w:rsidP="003B1EB0">
      <w:pPr>
        <w:numPr>
          <w:ilvl w:val="0"/>
          <w:numId w:val="9"/>
        </w:numPr>
        <w:spacing w:after="0"/>
      </w:pPr>
      <w:r w:rsidRPr="003B1EB0">
        <w:rPr>
          <w:b/>
          <w:bCs/>
        </w:rPr>
        <w:t>Ganancia</w:t>
      </w:r>
      <w:r w:rsidRPr="003B1EB0">
        <w:t>: Entre 6 y 7 dBi es un valor aceptable</w:t>
      </w:r>
      <w:r>
        <w:t>.</w:t>
      </w:r>
    </w:p>
    <w:p w14:paraId="26DF515C" w14:textId="77777777" w:rsidR="003B1EB0" w:rsidRPr="003B1EB0" w:rsidRDefault="003B1EB0" w:rsidP="003B1EB0">
      <w:pPr>
        <w:numPr>
          <w:ilvl w:val="0"/>
          <w:numId w:val="9"/>
        </w:numPr>
        <w:spacing w:after="0"/>
      </w:pPr>
      <w:r w:rsidRPr="003B1EB0">
        <w:rPr>
          <w:b/>
          <w:bCs/>
        </w:rPr>
        <w:t>Patrón de Radiación</w:t>
      </w:r>
      <w:r w:rsidRPr="003B1EB0">
        <w:t>: Lóbulo principal bien definido y lóbulos laterales bajos.</w:t>
      </w:r>
    </w:p>
    <w:p w14:paraId="6040F4FC" w14:textId="77777777" w:rsidR="003B1EB0" w:rsidRPr="003B1EB0" w:rsidRDefault="003B1EB0" w:rsidP="003B1EB0">
      <w:pPr>
        <w:numPr>
          <w:ilvl w:val="0"/>
          <w:numId w:val="9"/>
        </w:numPr>
        <w:spacing w:after="0"/>
      </w:pPr>
      <w:r w:rsidRPr="003B1EB0">
        <w:rPr>
          <w:b/>
          <w:bCs/>
        </w:rPr>
        <w:t>Eficiencia de Radiación</w:t>
      </w:r>
      <w:r w:rsidRPr="003B1EB0">
        <w:t>: Cercana a 0 dB.</w:t>
      </w:r>
    </w:p>
    <w:p w14:paraId="37035B16" w14:textId="77777777" w:rsidR="003B1EB0" w:rsidRPr="003B1EB0" w:rsidRDefault="003B1EB0" w:rsidP="003B1EB0">
      <w:pPr>
        <w:numPr>
          <w:ilvl w:val="0"/>
          <w:numId w:val="9"/>
        </w:numPr>
        <w:spacing w:after="0"/>
      </w:pPr>
      <w:r w:rsidRPr="003B1EB0">
        <w:rPr>
          <w:b/>
          <w:bCs/>
        </w:rPr>
        <w:t>VSWR</w:t>
      </w:r>
      <w:r w:rsidRPr="003B1EB0">
        <w:t>: Menor que 2:1.</w:t>
      </w:r>
    </w:p>
    <w:p w14:paraId="16CA3848" w14:textId="77777777" w:rsidR="003B1EB0" w:rsidRPr="003B1EB0" w:rsidRDefault="003B1EB0" w:rsidP="003B1EB0">
      <w:pPr>
        <w:numPr>
          <w:ilvl w:val="0"/>
          <w:numId w:val="9"/>
        </w:numPr>
        <w:spacing w:after="0"/>
      </w:pPr>
      <w:r w:rsidRPr="003B1EB0">
        <w:rPr>
          <w:b/>
          <w:bCs/>
        </w:rPr>
        <w:t>Polarización</w:t>
      </w:r>
      <w:r w:rsidRPr="003B1EB0">
        <w:t>: Coincide con los requisitos.</w:t>
      </w:r>
    </w:p>
    <w:p w14:paraId="66DDDB1A" w14:textId="5A4CA4D6" w:rsidR="003B1EB0" w:rsidRPr="003B1EB0" w:rsidRDefault="003B1EB0" w:rsidP="003B1EB0">
      <w:pPr>
        <w:numPr>
          <w:ilvl w:val="0"/>
          <w:numId w:val="9"/>
        </w:numPr>
        <w:spacing w:after="0"/>
      </w:pPr>
      <w:r w:rsidRPr="003B1EB0">
        <w:rPr>
          <w:b/>
          <w:bCs/>
        </w:rPr>
        <w:t>Directividad</w:t>
      </w:r>
      <w:r w:rsidRPr="003B1EB0">
        <w:t xml:space="preserve">: un valor </w:t>
      </w:r>
      <w:r w:rsidR="00DE1924">
        <w:t xml:space="preserve">mayor a 5 </w:t>
      </w:r>
      <w:r w:rsidRPr="003B1EB0">
        <w:t>dBi es aceptable</w:t>
      </w:r>
      <w:r>
        <w:t>.</w:t>
      </w:r>
    </w:p>
    <w:p w14:paraId="682B5015" w14:textId="2AD99ABB" w:rsidR="003B1EB0" w:rsidRPr="003B1EB0" w:rsidRDefault="003B1EB0" w:rsidP="003B1EB0">
      <w:pPr>
        <w:numPr>
          <w:ilvl w:val="0"/>
          <w:numId w:val="9"/>
        </w:numPr>
        <w:spacing w:after="0"/>
      </w:pPr>
      <w:r w:rsidRPr="003B1EB0">
        <w:rPr>
          <w:b/>
          <w:bCs/>
        </w:rPr>
        <w:t>Resonancia</w:t>
      </w:r>
      <w:r w:rsidRPr="003B1EB0">
        <w:t>: En</w:t>
      </w:r>
      <w:r>
        <w:t xml:space="preserve"> aproximadamente 2.25 GHz</w:t>
      </w:r>
      <w:r w:rsidRPr="003B1EB0">
        <w:t>.</w:t>
      </w:r>
    </w:p>
    <w:p w14:paraId="442D1064" w14:textId="77777777" w:rsidR="003B1EB0" w:rsidRDefault="003B1EB0" w:rsidP="0054271C"/>
    <w:p w14:paraId="49CD55F3" w14:textId="26DE10A0" w:rsidR="003D1640" w:rsidRDefault="00DE1924" w:rsidP="00DE1924">
      <w:pPr>
        <w:pStyle w:val="Prrafodelista"/>
        <w:numPr>
          <w:ilvl w:val="0"/>
          <w:numId w:val="10"/>
        </w:numPr>
      </w:pPr>
      <w:r>
        <w:t>Impedancia de entrada</w:t>
      </w:r>
    </w:p>
    <w:p w14:paraId="5074816D" w14:textId="7681466D" w:rsidR="00DE1924" w:rsidRDefault="00DE1924" w:rsidP="00DE1924">
      <w:r w:rsidRPr="00DE1924">
        <w:rPr>
          <w:noProof/>
        </w:rPr>
        <w:drawing>
          <wp:inline distT="0" distB="0" distL="0" distR="0" wp14:anchorId="5877C96B" wp14:editId="19BA5D25">
            <wp:extent cx="5731510" cy="1913890"/>
            <wp:effectExtent l="0" t="0" r="2540" b="0"/>
            <wp:docPr id="1261260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60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3D0B" w14:textId="053B60C2" w:rsidR="00DE1924" w:rsidRDefault="00DE1924" w:rsidP="00DE1924">
      <w:r w:rsidRPr="00DE1924">
        <w:rPr>
          <w:noProof/>
        </w:rPr>
        <w:lastRenderedPageBreak/>
        <w:drawing>
          <wp:inline distT="0" distB="0" distL="0" distR="0" wp14:anchorId="51FBB5B0" wp14:editId="56FCA264">
            <wp:extent cx="5731510" cy="2836545"/>
            <wp:effectExtent l="0" t="0" r="2540" b="1905"/>
            <wp:docPr id="686217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17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8A9" w14:textId="653E304A" w:rsidR="00DE1924" w:rsidRDefault="00DE1924" w:rsidP="00DE1924">
      <w:pPr>
        <w:pStyle w:val="Prrafodelista"/>
        <w:numPr>
          <w:ilvl w:val="0"/>
          <w:numId w:val="10"/>
        </w:numPr>
      </w:pPr>
      <w:r>
        <w:t>S11 – Ancho de banda – Frecuencia de resonancia</w:t>
      </w:r>
    </w:p>
    <w:p w14:paraId="3AB8289C" w14:textId="181C73D5" w:rsidR="00DE1924" w:rsidRDefault="00DE1924" w:rsidP="00DE1924">
      <w:r w:rsidRPr="00DE1924">
        <w:rPr>
          <w:noProof/>
        </w:rPr>
        <w:drawing>
          <wp:inline distT="0" distB="0" distL="0" distR="0" wp14:anchorId="16945E97" wp14:editId="67030744">
            <wp:extent cx="5731510" cy="1913890"/>
            <wp:effectExtent l="0" t="0" r="2540" b="0"/>
            <wp:docPr id="639064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84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ED9E" w14:textId="7160BF56" w:rsidR="00DE1924" w:rsidRDefault="00DE1924" w:rsidP="00DE1924">
      <w:pPr>
        <w:pStyle w:val="Prrafodelista"/>
        <w:numPr>
          <w:ilvl w:val="0"/>
          <w:numId w:val="10"/>
        </w:numPr>
      </w:pPr>
      <w:proofErr w:type="spellStart"/>
      <w:r>
        <w:t>Patron</w:t>
      </w:r>
      <w:proofErr w:type="spellEnd"/>
      <w:r>
        <w:t xml:space="preserve"> de radiación – Directividad – Eficiencia</w:t>
      </w:r>
    </w:p>
    <w:p w14:paraId="2D353123" w14:textId="195A907B" w:rsidR="00DE1924" w:rsidRDefault="00DE1924" w:rsidP="00DE1924">
      <w:r w:rsidRPr="00DE1924">
        <w:rPr>
          <w:noProof/>
        </w:rPr>
        <w:lastRenderedPageBreak/>
        <w:drawing>
          <wp:inline distT="0" distB="0" distL="0" distR="0" wp14:anchorId="426573A8" wp14:editId="5C45D48D">
            <wp:extent cx="5731510" cy="3402965"/>
            <wp:effectExtent l="0" t="0" r="2540" b="6985"/>
            <wp:docPr id="1360686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86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FD61" w14:textId="77777777" w:rsidR="00DE1924" w:rsidRDefault="00DE1924" w:rsidP="00DE1924"/>
    <w:p w14:paraId="0DAA09AD" w14:textId="56ECA64A" w:rsidR="00330E0B" w:rsidRDefault="00DE1924" w:rsidP="00DE1924">
      <w:pPr>
        <w:pStyle w:val="Prrafodelista"/>
        <w:numPr>
          <w:ilvl w:val="0"/>
          <w:numId w:val="10"/>
        </w:numPr>
      </w:pPr>
      <w:r>
        <w:t>VSWR</w:t>
      </w:r>
    </w:p>
    <w:p w14:paraId="541E6B1D" w14:textId="497D3278" w:rsidR="00DE1924" w:rsidRDefault="00DE1924" w:rsidP="00DE1924">
      <w:r w:rsidRPr="00DE1924">
        <w:rPr>
          <w:noProof/>
        </w:rPr>
        <w:drawing>
          <wp:inline distT="0" distB="0" distL="0" distR="0" wp14:anchorId="63061430" wp14:editId="1B6E4A46">
            <wp:extent cx="5731510" cy="2066290"/>
            <wp:effectExtent l="0" t="0" r="2540" b="0"/>
            <wp:docPr id="277787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87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B547" w14:textId="77777777" w:rsidR="00DE1924" w:rsidRDefault="00DE1924" w:rsidP="00DE1924"/>
    <w:p w14:paraId="2FB0DFAF" w14:textId="77777777" w:rsidR="00330E0B" w:rsidRDefault="00330E0B" w:rsidP="0054271C"/>
    <w:p w14:paraId="6DDC7C56" w14:textId="77777777" w:rsidR="001E7695" w:rsidRDefault="001E7695" w:rsidP="0054271C"/>
    <w:p w14:paraId="597073B1" w14:textId="77777777" w:rsidR="001E7695" w:rsidRDefault="001E7695" w:rsidP="0054271C"/>
    <w:p w14:paraId="74ED0035" w14:textId="5AF8DA57" w:rsidR="00DE6B22" w:rsidRDefault="00DE6B22" w:rsidP="00DE6B22"/>
    <w:p w14:paraId="0384B0AD" w14:textId="77777777" w:rsidR="005651E7" w:rsidRDefault="005651E7" w:rsidP="00E3150C"/>
    <w:p w14:paraId="3E6401CA" w14:textId="77777777" w:rsidR="005651E7" w:rsidRDefault="005651E7" w:rsidP="00CF454E"/>
    <w:p w14:paraId="310C6BF1" w14:textId="77777777" w:rsidR="00E3150C" w:rsidRDefault="00E3150C" w:rsidP="00E3150C"/>
    <w:p w14:paraId="40380F91" w14:textId="77777777" w:rsidR="00E3150C" w:rsidRDefault="00E3150C" w:rsidP="00E3150C"/>
    <w:p w14:paraId="160A63CC" w14:textId="77777777" w:rsidR="00E3150C" w:rsidRDefault="00E3150C" w:rsidP="00E3150C"/>
    <w:p w14:paraId="3BA30050" w14:textId="77777777" w:rsidR="00E3150C" w:rsidRDefault="00E3150C" w:rsidP="00E3150C"/>
    <w:p w14:paraId="4B8CDDC1" w14:textId="77777777" w:rsidR="00E3150C" w:rsidRDefault="00E3150C" w:rsidP="00E3150C"/>
    <w:p w14:paraId="62C59CA3" w14:textId="77777777" w:rsidR="00E3150C" w:rsidRDefault="00E3150C" w:rsidP="00E3150C"/>
    <w:p w14:paraId="557731C2" w14:textId="77777777" w:rsidR="00E3150C" w:rsidRDefault="00E3150C" w:rsidP="00E3150C"/>
    <w:p w14:paraId="5B0CEADF" w14:textId="63236045" w:rsidR="00E3150C" w:rsidRDefault="00A0562E" w:rsidP="00E3150C">
      <w:r>
        <w:t>DIVISOR DE POTENCIA WILKINSON</w:t>
      </w:r>
    </w:p>
    <w:p w14:paraId="7A6D8E6A" w14:textId="546D8BA3" w:rsidR="00A0562E" w:rsidRDefault="00A0562E" w:rsidP="00E3150C">
      <w:r w:rsidRPr="00A0562E">
        <w:rPr>
          <w:noProof/>
        </w:rPr>
        <w:drawing>
          <wp:inline distT="0" distB="0" distL="0" distR="0" wp14:anchorId="0992DE56" wp14:editId="62682EDB">
            <wp:extent cx="5391902" cy="3305636"/>
            <wp:effectExtent l="0" t="0" r="0" b="9525"/>
            <wp:docPr id="397010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100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8B92" w14:textId="7CF80DFB" w:rsidR="00A0562E" w:rsidRDefault="00A0562E" w:rsidP="00E3150C">
      <w:r w:rsidRPr="00A0562E">
        <w:rPr>
          <w:noProof/>
        </w:rPr>
        <w:lastRenderedPageBreak/>
        <w:drawing>
          <wp:inline distT="0" distB="0" distL="0" distR="0" wp14:anchorId="533D3E8F" wp14:editId="6F95CED6">
            <wp:extent cx="5668166" cy="4048690"/>
            <wp:effectExtent l="0" t="0" r="8890" b="9525"/>
            <wp:docPr id="21625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51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40F6" w14:textId="77777777" w:rsidR="00E3150C" w:rsidRDefault="00E3150C" w:rsidP="00E3150C"/>
    <w:p w14:paraId="0EF10CF3" w14:textId="77777777" w:rsidR="00A0562E" w:rsidRDefault="00A0562E" w:rsidP="00E3150C"/>
    <w:p w14:paraId="6A795DC7" w14:textId="77777777" w:rsidR="00A0562E" w:rsidRDefault="00A0562E" w:rsidP="00E3150C"/>
    <w:p w14:paraId="65BCC322" w14:textId="77777777" w:rsidR="00A0562E" w:rsidRDefault="00A0562E" w:rsidP="00E3150C"/>
    <w:p w14:paraId="6FD36FA0" w14:textId="77777777" w:rsidR="00E3150C" w:rsidRDefault="00E3150C" w:rsidP="00E3150C"/>
    <w:p w14:paraId="2C03BC67" w14:textId="65ECCF4B" w:rsidR="00E3150C" w:rsidRDefault="00E3150C" w:rsidP="00E3150C">
      <w:r>
        <w:t>BIBLIOGRAFIA</w:t>
      </w:r>
    </w:p>
    <w:p w14:paraId="5488ADD1" w14:textId="3F3CCFFA" w:rsidR="00E3150C" w:rsidRDefault="005651E7" w:rsidP="005651E7">
      <w:r w:rsidRPr="005651E7">
        <w:t xml:space="preserve">[1] J. E. </w:t>
      </w:r>
      <w:proofErr w:type="spellStart"/>
      <w:r w:rsidRPr="005651E7">
        <w:t>Ise</w:t>
      </w:r>
      <w:proofErr w:type="spellEnd"/>
      <w:r w:rsidRPr="005651E7">
        <w:t xml:space="preserve">, F. A. Miranda Bonomi, </w:t>
      </w:r>
      <w:r w:rsidRPr="005651E7">
        <w:rPr>
          <w:i/>
          <w:iCs/>
        </w:rPr>
        <w:t>et al.</w:t>
      </w:r>
      <w:r w:rsidRPr="005651E7">
        <w:t>, “Antena parche acoplada por ranura a 750 MHz - 50 Ω”</w:t>
      </w:r>
      <w:r>
        <w:t xml:space="preserve">, </w:t>
      </w:r>
      <w:r w:rsidRPr="005651E7">
        <w:rPr>
          <w:i/>
          <w:iCs/>
        </w:rPr>
        <w:t>XI Jornadas de Ciencia y Tecnología de Facultades de Ingeniería del NOA</w:t>
      </w:r>
      <w:r>
        <w:t>.</w:t>
      </w:r>
      <w:r w:rsidRPr="005651E7">
        <w:t xml:space="preserve"> Jun</w:t>
      </w:r>
      <w:r>
        <w:t>io</w:t>
      </w:r>
      <w:r w:rsidRPr="005651E7">
        <w:t xml:space="preserve"> 2016.</w:t>
      </w:r>
    </w:p>
    <w:p w14:paraId="2C774C66" w14:textId="77777777" w:rsidR="00C27BD0" w:rsidRDefault="00C27BD0" w:rsidP="005651E7"/>
    <w:p w14:paraId="5031E045" w14:textId="0F640621" w:rsidR="00C27BD0" w:rsidRDefault="00C27BD0" w:rsidP="005651E7">
      <w:proofErr w:type="spellStart"/>
      <w:r w:rsidRPr="00C27BD0">
        <w:t>Divisosr</w:t>
      </w:r>
      <w:proofErr w:type="spellEnd"/>
      <w:r w:rsidRPr="00C27BD0">
        <w:t xml:space="preserve"> de potencia Wilkinson. D. Armijos ˚ ˚Universidad Nacional de Chimborazo</w:t>
      </w:r>
    </w:p>
    <w:p w14:paraId="5A4454CC" w14:textId="0FA6A754" w:rsidR="00C27BD0" w:rsidRDefault="00C27BD0" w:rsidP="005651E7">
      <w:r>
        <w:t xml:space="preserve">Tesis de </w:t>
      </w:r>
      <w:proofErr w:type="spellStart"/>
      <w:r>
        <w:t>wilkinson</w:t>
      </w:r>
      <w:proofErr w:type="spellEnd"/>
      <w:r>
        <w:t xml:space="preserve"> – ver descargas</w:t>
      </w:r>
    </w:p>
    <w:p w14:paraId="71D03133" w14:textId="77777777" w:rsidR="005651E7" w:rsidRPr="005651E7" w:rsidRDefault="005651E7" w:rsidP="005651E7"/>
    <w:sectPr w:rsidR="005651E7" w:rsidRPr="0056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A93"/>
    <w:multiLevelType w:val="hybridMultilevel"/>
    <w:tmpl w:val="A2CE518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245579"/>
    <w:multiLevelType w:val="multilevel"/>
    <w:tmpl w:val="9480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07CAD"/>
    <w:multiLevelType w:val="hybridMultilevel"/>
    <w:tmpl w:val="5DC00C7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A6B74"/>
    <w:multiLevelType w:val="hybridMultilevel"/>
    <w:tmpl w:val="F1E20C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67547E"/>
    <w:multiLevelType w:val="hybridMultilevel"/>
    <w:tmpl w:val="3050EC94"/>
    <w:lvl w:ilvl="0" w:tplc="F586A4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4657B"/>
    <w:multiLevelType w:val="hybridMultilevel"/>
    <w:tmpl w:val="A22298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86781"/>
    <w:multiLevelType w:val="hybridMultilevel"/>
    <w:tmpl w:val="E436B152"/>
    <w:lvl w:ilvl="0" w:tplc="B8A4DE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35D0E"/>
    <w:multiLevelType w:val="hybridMultilevel"/>
    <w:tmpl w:val="2FB0BD84"/>
    <w:lvl w:ilvl="0" w:tplc="2EDC19B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7A52"/>
    <w:multiLevelType w:val="multilevel"/>
    <w:tmpl w:val="CE38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34520"/>
    <w:multiLevelType w:val="hybridMultilevel"/>
    <w:tmpl w:val="D17E6D46"/>
    <w:lvl w:ilvl="0" w:tplc="AA9CD682">
      <w:start w:val="2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6044472">
    <w:abstractNumId w:val="0"/>
  </w:num>
  <w:num w:numId="2" w16cid:durableId="289093333">
    <w:abstractNumId w:val="8"/>
  </w:num>
  <w:num w:numId="3" w16cid:durableId="931204893">
    <w:abstractNumId w:val="4"/>
  </w:num>
  <w:num w:numId="4" w16cid:durableId="658923041">
    <w:abstractNumId w:val="2"/>
  </w:num>
  <w:num w:numId="5" w16cid:durableId="1272083470">
    <w:abstractNumId w:val="7"/>
  </w:num>
  <w:num w:numId="6" w16cid:durableId="105123410">
    <w:abstractNumId w:val="3"/>
  </w:num>
  <w:num w:numId="7" w16cid:durableId="399836882">
    <w:abstractNumId w:val="6"/>
  </w:num>
  <w:num w:numId="8" w16cid:durableId="2069764579">
    <w:abstractNumId w:val="9"/>
  </w:num>
  <w:num w:numId="9" w16cid:durableId="1621917183">
    <w:abstractNumId w:val="1"/>
  </w:num>
  <w:num w:numId="10" w16cid:durableId="1540514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07"/>
    <w:rsid w:val="000109A5"/>
    <w:rsid w:val="000946DE"/>
    <w:rsid w:val="00105CCF"/>
    <w:rsid w:val="0016026B"/>
    <w:rsid w:val="001C3500"/>
    <w:rsid w:val="001E7695"/>
    <w:rsid w:val="001F7CFC"/>
    <w:rsid w:val="002B0707"/>
    <w:rsid w:val="00301EA0"/>
    <w:rsid w:val="00303C89"/>
    <w:rsid w:val="00323A03"/>
    <w:rsid w:val="00330E0B"/>
    <w:rsid w:val="00363250"/>
    <w:rsid w:val="00371F76"/>
    <w:rsid w:val="003B1EB0"/>
    <w:rsid w:val="003D1640"/>
    <w:rsid w:val="00431D36"/>
    <w:rsid w:val="00472D7F"/>
    <w:rsid w:val="004D59AA"/>
    <w:rsid w:val="00513B47"/>
    <w:rsid w:val="00514D31"/>
    <w:rsid w:val="005276D1"/>
    <w:rsid w:val="0054271C"/>
    <w:rsid w:val="005651E7"/>
    <w:rsid w:val="005A5A4A"/>
    <w:rsid w:val="006B239C"/>
    <w:rsid w:val="006C704E"/>
    <w:rsid w:val="007511DD"/>
    <w:rsid w:val="007A021A"/>
    <w:rsid w:val="007A2D0D"/>
    <w:rsid w:val="007D773C"/>
    <w:rsid w:val="007E039F"/>
    <w:rsid w:val="008002B2"/>
    <w:rsid w:val="0087675A"/>
    <w:rsid w:val="008827BD"/>
    <w:rsid w:val="008938B7"/>
    <w:rsid w:val="009816A9"/>
    <w:rsid w:val="009E0901"/>
    <w:rsid w:val="00A0562E"/>
    <w:rsid w:val="00A42C9E"/>
    <w:rsid w:val="00A552DA"/>
    <w:rsid w:val="00AA5325"/>
    <w:rsid w:val="00AF6EBC"/>
    <w:rsid w:val="00B86F5A"/>
    <w:rsid w:val="00B96E8D"/>
    <w:rsid w:val="00C27BD0"/>
    <w:rsid w:val="00CB228D"/>
    <w:rsid w:val="00CC10D3"/>
    <w:rsid w:val="00CF454E"/>
    <w:rsid w:val="00D4017A"/>
    <w:rsid w:val="00D41306"/>
    <w:rsid w:val="00D56915"/>
    <w:rsid w:val="00D96154"/>
    <w:rsid w:val="00DB64A5"/>
    <w:rsid w:val="00DE1924"/>
    <w:rsid w:val="00DE6B22"/>
    <w:rsid w:val="00E3150C"/>
    <w:rsid w:val="00E36A35"/>
    <w:rsid w:val="00E829BF"/>
    <w:rsid w:val="00F11087"/>
    <w:rsid w:val="00F24001"/>
    <w:rsid w:val="00F64BF1"/>
    <w:rsid w:val="00FA3700"/>
    <w:rsid w:val="00FB1A88"/>
    <w:rsid w:val="00FC6A47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FBDB"/>
  <w15:chartTrackingRefBased/>
  <w15:docId w15:val="{6DC407CC-E301-43C0-8494-4CE89069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0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0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0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0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0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0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0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0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0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0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07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07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07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07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07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07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0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0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0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0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0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07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07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07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0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07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070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E6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E6B22"/>
    <w:rPr>
      <w:color w:val="666666"/>
    </w:rPr>
  </w:style>
  <w:style w:type="paragraph" w:styleId="Descripcin">
    <w:name w:val="caption"/>
    <w:basedOn w:val="Normal"/>
    <w:next w:val="Normal"/>
    <w:uiPriority w:val="35"/>
    <w:unhideWhenUsed/>
    <w:qFormat/>
    <w:rsid w:val="00CF454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Noelia Defrancesco Castro</dc:creator>
  <cp:keywords/>
  <dc:description/>
  <cp:lastModifiedBy>Noe D</cp:lastModifiedBy>
  <cp:revision>4</cp:revision>
  <dcterms:created xsi:type="dcterms:W3CDTF">2025-03-16T01:18:00Z</dcterms:created>
  <dcterms:modified xsi:type="dcterms:W3CDTF">2025-03-16T01:21:00Z</dcterms:modified>
</cp:coreProperties>
</file>