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Técnicas de sondaje ionosférico:</w:t>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r>
    </w:p>
    <w:p>
      <w:pPr>
        <w:pStyle w:val="Normal"/>
        <w:bidi w:val="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1. Técnicas de Incidencia Terrestre (Basadas en Geometría)</w:t>
      </w:r>
    </w:p>
    <w:p>
      <w:pPr>
        <w:pStyle w:val="TextBody"/>
        <w:numPr>
          <w:ilvl w:val="0"/>
          <w:numId w:val="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Incidencia Vertical (VIS - Vertical Incidence Sounding):</w:t>
      </w:r>
    </w:p>
    <w:p>
      <w:pPr>
        <w:pStyle w:val="TextBody"/>
        <w:numPr>
          <w:ilvl w:val="1"/>
          <w:numId w:val="1"/>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Emisión de ondas de radio hacia el cenit (90°) y recepción del eco reflejado en el mismo punto de origen.</w:t>
      </w:r>
    </w:p>
    <w:p>
      <w:pPr>
        <w:pStyle w:val="TextBody"/>
        <w:numPr>
          <w:ilvl w:val="1"/>
          <w:numId w:val="1"/>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Uso en el informe:</w:t>
      </w:r>
      <w:r>
        <w:rPr>
          <w:rFonts w:ascii="Google Sans;sans-serif" w:hAnsi="Google Sans;sans-serif"/>
          <w:b w:val="false"/>
          <w:strike w:val="false"/>
          <w:dstrike w:val="false"/>
          <w:sz w:val="24"/>
          <w:u w:val="none"/>
          <w:effect w:val="none"/>
        </w:rPr>
        <w:t xml:space="preserve"> Es el método estándar para obtener perfiles locales de la ionosfera inferior (capas D, E, F1 y F2) y generar el ionograma clásico.</w:t>
      </w:r>
    </w:p>
    <w:p>
      <w:pPr>
        <w:pStyle w:val="TextBody"/>
        <w:numPr>
          <w:ilvl w:val="0"/>
          <w:numId w:val="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Incidencia Oblicua (OIS - Oblique Incidence Sounding):</w:t>
      </w:r>
    </w:p>
    <w:p>
      <w:pPr>
        <w:pStyle w:val="TextBody"/>
        <w:numPr>
          <w:ilvl w:val="1"/>
          <w:numId w:val="1"/>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El transmisor y el receptor están separados por distancias que van desde cientos hasta miles de kilómetros.</w:t>
      </w:r>
    </w:p>
    <w:p>
      <w:pPr>
        <w:pStyle w:val="TextBody"/>
        <w:numPr>
          <w:ilvl w:val="1"/>
          <w:numId w:val="1"/>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Uso en el informe:</w:t>
      </w:r>
      <w:r>
        <w:rPr>
          <w:rFonts w:ascii="Google Sans;sans-serif" w:hAnsi="Google Sans;sans-serif"/>
          <w:b w:val="false"/>
          <w:strike w:val="false"/>
          <w:dstrike w:val="false"/>
          <w:sz w:val="24"/>
          <w:u w:val="none"/>
          <w:effect w:val="none"/>
        </w:rPr>
        <w:t xml:space="preserve"> Evalúa el comportamiento real del canal de comunicaciones HF entre dos regiones geográficas específicas.</w:t>
      </w:r>
    </w:p>
    <w:p>
      <w:pPr>
        <w:pStyle w:val="TextBody"/>
        <w:numPr>
          <w:ilvl w:val="0"/>
          <w:numId w:val="1"/>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Retrodispersión (BSS - Backscatter Sounding):</w:t>
      </w:r>
    </w:p>
    <w:p>
      <w:pPr>
        <w:pStyle w:val="TextBody"/>
        <w:numPr>
          <w:ilvl w:val="1"/>
          <w:numId w:val="1"/>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Las ondas se emiten de forma oblicua, se reflejan en la ionosfera hacia la superficie terrestre (mar o tierra) y una fracción de la energía regresa dispersada hacia el sitio de transmisión.</w:t>
      </w:r>
    </w:p>
    <w:p>
      <w:pPr>
        <w:pStyle w:val="TextBody"/>
        <w:numPr>
          <w:ilvl w:val="1"/>
          <w:numId w:val="1"/>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Uso en el informe:</w:t>
      </w:r>
      <w:r>
        <w:rPr>
          <w:rFonts w:ascii="Google Sans;sans-serif" w:hAnsi="Google Sans;sans-serif"/>
          <w:b w:val="false"/>
          <w:strike w:val="false"/>
          <w:dstrike w:val="false"/>
          <w:sz w:val="24"/>
          <w:u w:val="none"/>
          <w:effect w:val="none"/>
        </w:rPr>
        <w:t xml:space="preserve"> Monitoreo de extensas áreas ionosféricas remotas (más allá del horizonte) desde una única estación terrestre.</w:t>
      </w:r>
    </w:p>
    <w:p>
      <w:pPr>
        <w:pStyle w:val="HorizontalLine"/>
        <w:bidi w:val="0"/>
        <w:jc w:val="left"/>
        <w:rPr/>
      </w:pPr>
      <w:r>
        <w:rPr/>
      </w:r>
    </w:p>
    <w:p>
      <w:pPr>
        <w:pStyle w:val="TextBody"/>
        <w:bidi w:val="0"/>
        <w:spacing w:before="360" w:after="180"/>
        <w:ind w:left="0" w:right="0" w:hanging="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2. Técnicas según la Modulación y Forma de Onda (Hardware)</w:t>
      </w:r>
    </w:p>
    <w:p>
      <w:pPr>
        <w:pStyle w:val="TextBody"/>
        <w:numPr>
          <w:ilvl w:val="0"/>
          <w:numId w:val="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Pulsos (Pulse Sounding):</w:t>
      </w:r>
    </w:p>
    <w:p>
      <w:pPr>
        <w:pStyle w:val="TextBody"/>
        <w:numPr>
          <w:ilvl w:val="1"/>
          <w:numId w:val="2"/>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Transmisión de pulsos cortos de radiofrecuencia de alta potencia (kilovatios) a frecuencias variables, midiendo el tiempo de tránsito del eco directo.</w:t>
      </w:r>
    </w:p>
    <w:p>
      <w:pPr>
        <w:pStyle w:val="TextBody"/>
        <w:numPr>
          <w:ilvl w:val="1"/>
          <w:numId w:val="2"/>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Uso en el informe:</w:t>
      </w:r>
      <w:r>
        <w:rPr>
          <w:rFonts w:ascii="Google Sans;sans-serif" w:hAnsi="Google Sans;sans-serif"/>
          <w:b w:val="false"/>
          <w:strike w:val="false"/>
          <w:dstrike w:val="false"/>
          <w:sz w:val="24"/>
          <w:u w:val="none"/>
          <w:effect w:val="none"/>
        </w:rPr>
        <w:t xml:space="preserve"> Técnica histórica y base de las primeras ionosondas; precisa pero requiere hardware complejo y costoso de alta potencia.</w:t>
      </w:r>
    </w:p>
    <w:p>
      <w:pPr>
        <w:pStyle w:val="TextBody"/>
        <w:numPr>
          <w:ilvl w:val="0"/>
          <w:numId w:val="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 Onda Continua Modulada en Frecuencia (FMCW / Chirp Sounding):</w:t>
      </w:r>
    </w:p>
    <w:p>
      <w:pPr>
        <w:pStyle w:val="TextBody"/>
        <w:numPr>
          <w:ilvl w:val="1"/>
          <w:numId w:val="2"/>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Emisión continua de una señal cuya frecuencia aumenta linealmente con el tiempo. El receptor mezcla la señal recibida con la transmitida en ese instante para obtener una frecuencia de batido proporcional al retardo.</w:t>
      </w:r>
    </w:p>
    <w:p>
      <w:pPr>
        <w:pStyle w:val="TextBody"/>
        <w:numPr>
          <w:ilvl w:val="1"/>
          <w:numId w:val="2"/>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Uso en el informe:</w:t>
      </w:r>
      <w:r>
        <w:rPr>
          <w:rFonts w:ascii="Google Sans;sans-serif" w:hAnsi="Google Sans;sans-serif"/>
          <w:b w:val="false"/>
          <w:strike w:val="false"/>
          <w:dstrike w:val="false"/>
          <w:sz w:val="24"/>
          <w:u w:val="none"/>
          <w:effect w:val="none"/>
        </w:rPr>
        <w:t xml:space="preserve"> Es la técnica moderna más eficiente. Permite diseñar sondadores con potencias de transmisión muy bajas (pocos vatios) mediante procesamiento digital de señales (DSP).</w:t>
      </w:r>
    </w:p>
    <w:p>
      <w:pPr>
        <w:pStyle w:val="TextBody"/>
        <w:numPr>
          <w:ilvl w:val="0"/>
          <w:numId w:val="2"/>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por Secuencias Pseudoaleatorias (PRN / Phase-Coded Sounding):</w:t>
      </w:r>
    </w:p>
    <w:p>
      <w:pPr>
        <w:pStyle w:val="TextBody"/>
        <w:numPr>
          <w:ilvl w:val="1"/>
          <w:numId w:val="2"/>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Modulación de la fase de la portadora utilizando códigos digitales pseudoaleatorios (como los códigos Barker o secuencias m).</w:t>
      </w:r>
    </w:p>
    <w:p>
      <w:pPr>
        <w:pStyle w:val="TextBody"/>
        <w:numPr>
          <w:ilvl w:val="1"/>
          <w:numId w:val="2"/>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Uso en el informe:</w:t>
      </w:r>
      <w:r>
        <w:rPr>
          <w:rFonts w:ascii="Google Sans;sans-serif" w:hAnsi="Google Sans;sans-serif"/>
          <w:b w:val="false"/>
          <w:strike w:val="false"/>
          <w:dstrike w:val="false"/>
          <w:sz w:val="24"/>
          <w:u w:val="none"/>
          <w:effect w:val="none"/>
        </w:rPr>
        <w:t xml:space="preserve"> Técnica avanzada que ofrece una alta inmunidad al ruido y permite la coexistencia de múltiples sondadores en la misma banda de frecuencia.</w:t>
      </w:r>
    </w:p>
    <w:p>
      <w:pPr>
        <w:pStyle w:val="HorizontalLine"/>
        <w:bidi w:val="0"/>
        <w:jc w:val="left"/>
        <w:rPr/>
      </w:pPr>
      <w:r>
        <w:rPr/>
      </w:r>
    </w:p>
    <w:p>
      <w:pPr>
        <w:pStyle w:val="TextBody"/>
        <w:bidi w:val="0"/>
        <w:spacing w:before="360" w:after="180"/>
        <w:ind w:left="0" w:right="0" w:hanging="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3. Técnicas de Radar por Dispersión de Plasma</w:t>
      </w:r>
    </w:p>
    <w:p>
      <w:pPr>
        <w:pStyle w:val="TextBody"/>
        <w:numPr>
          <w:ilvl w:val="0"/>
          <w:numId w:val="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Dispersión Incoherente (ISR - Incoherent Scatter Radar):</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Uso de frecuencias de radar muy altas (VHF/UHF) que no se reflejan, sino que atraviesan la ionosfera. Mide la dispersión Thomson extremadamente débil producida por los electrones libres en equilibrio térmico.</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Uso en el informe:</w:t>
      </w:r>
      <w:r>
        <w:rPr>
          <w:rFonts w:ascii="Google Sans;sans-serif" w:hAnsi="Google Sans;sans-serif"/>
          <w:b w:val="false"/>
          <w:strike w:val="false"/>
          <w:dstrike w:val="false"/>
          <w:sz w:val="24"/>
          <w:u w:val="none"/>
          <w:effect w:val="none"/>
        </w:rPr>
        <w:t xml:space="preserve"> Proporciona el perfil físico más completo (densidad, temperatura electrónica e iónica, velocidad de deriva), alcanzando la ionosfera superior (hasta miles de km de altitud), pero requiere instalaciones gigantescas.</w:t>
      </w:r>
    </w:p>
    <w:p>
      <w:pPr>
        <w:pStyle w:val="TextBody"/>
        <w:numPr>
          <w:ilvl w:val="0"/>
          <w:numId w:val="3"/>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Dispersión Coherente (Coherent Scatter Radar):</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Radares diseñados para rebotar ondas en irregularidades del plasma ionosférico que están alineadas con el campo magnético terrestre.</w:t>
      </w:r>
    </w:p>
    <w:p>
      <w:pPr>
        <w:pStyle w:val="TextBody"/>
        <w:numPr>
          <w:ilvl w:val="1"/>
          <w:numId w:val="3"/>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Uso en el informe:</w:t>
      </w:r>
      <w:r>
        <w:rPr>
          <w:rFonts w:ascii="Google Sans;sans-serif" w:hAnsi="Google Sans;sans-serif"/>
          <w:b w:val="false"/>
          <w:strike w:val="false"/>
          <w:dstrike w:val="false"/>
          <w:sz w:val="24"/>
          <w:u w:val="none"/>
          <w:effect w:val="none"/>
        </w:rPr>
        <w:t xml:space="preserve"> Esencial para el estudio de turbulencias, burbujas de plasma, auroras boreales y capas </w:t>
      </w:r>
      <w:r>
        <w:rPr>
          <w:rStyle w:val="Emphasis"/>
          <w:rFonts w:ascii="Google Sans;sans-serif" w:hAnsi="Google Sans;sans-serif"/>
          <w:b w:val="false"/>
          <w:strike w:val="false"/>
          <w:dstrike w:val="false"/>
          <w:sz w:val="24"/>
          <w:u w:val="none"/>
          <w:effect w:val="none"/>
        </w:rPr>
        <w:t>E esporádicas</w:t>
      </w:r>
      <w:r>
        <w:rPr>
          <w:rFonts w:ascii="Google Sans;sans-serif" w:hAnsi="Google Sans;sans-serif"/>
          <w:b w:val="false"/>
          <w:strike w:val="false"/>
          <w:dstrike w:val="false"/>
          <w:sz w:val="24"/>
          <w:u w:val="none"/>
          <w:effect w:val="none"/>
        </w:rPr>
        <w:t>.</w:t>
      </w:r>
    </w:p>
    <w:p>
      <w:pPr>
        <w:pStyle w:val="HorizontalLine"/>
        <w:bidi w:val="0"/>
        <w:jc w:val="left"/>
        <w:rPr/>
      </w:pPr>
      <w:r>
        <w:rPr/>
      </w:r>
    </w:p>
    <w:p>
      <w:pPr>
        <w:pStyle w:val="TextBody"/>
        <w:bidi w:val="0"/>
        <w:spacing w:before="360" w:after="180"/>
        <w:ind w:left="0" w:right="0" w:hanging="0"/>
        <w:jc w:val="left"/>
        <w:rPr>
          <w:rFonts w:ascii="Google Sans;sans-serif" w:hAnsi="Google Sans;sans-serif"/>
          <w:b/>
          <w:strike w:val="false"/>
          <w:dstrike w:val="false"/>
          <w:sz w:val="36"/>
          <w:u w:val="none"/>
          <w:effect w:val="none"/>
        </w:rPr>
      </w:pPr>
      <w:r>
        <w:rPr>
          <w:rFonts w:ascii="Google Sans;sans-serif" w:hAnsi="Google Sans;sans-serif"/>
          <w:b/>
          <w:strike w:val="false"/>
          <w:dstrike w:val="false"/>
          <w:sz w:val="36"/>
          <w:u w:val="none"/>
          <w:effect w:val="none"/>
        </w:rPr>
        <w:t>4. Técnicas Espaciales y Transionosféricas (Satelitales)</w:t>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Sondaje desde el Espacio Exterior (Top-side Sounding):</w:t>
      </w:r>
    </w:p>
    <w:p>
      <w:pPr>
        <w:pStyle w:val="TextBody"/>
        <w:numPr>
          <w:ilvl w:val="1"/>
          <w:numId w:val="4"/>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Ionosondas instaladas a bordo de satélites en órbitas bajas (LEO) que emiten pulsos hacia abajo (hacia la Tierra).</w:t>
      </w:r>
    </w:p>
    <w:p>
      <w:pPr>
        <w:pStyle w:val="TextBody"/>
        <w:numPr>
          <w:ilvl w:val="1"/>
          <w:numId w:val="4"/>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Uso en el informe:</w:t>
      </w:r>
      <w:r>
        <w:rPr>
          <w:rFonts w:ascii="Google Sans;sans-serif" w:hAnsi="Google Sans;sans-serif"/>
          <w:b w:val="false"/>
          <w:strike w:val="false"/>
          <w:dstrike w:val="false"/>
          <w:sz w:val="24"/>
          <w:u w:val="none"/>
          <w:effect w:val="none"/>
        </w:rPr>
        <w:t xml:space="preserve"> Mide la densidad electrónica de la región superior de la ionosfera (por encima del pico de máxima densidad de la capa F2), zona inaccesible para los sondadores VIS terrestres.</w:t>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Ocultación de Radio GNSS (RO - Radio Occultation):</w:t>
      </w:r>
    </w:p>
    <w:p>
      <w:pPr>
        <w:pStyle w:val="TextBody"/>
        <w:numPr>
          <w:ilvl w:val="1"/>
          <w:numId w:val="4"/>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Un satélite LEO recibe las señales de doble frecuencia de la constelación GNSS (GPS, Galileo) justo cuando el satélite emisor se oculta tras el limbo terrestre, midiendo la refracción de la señal al atravesar la atmósfera.</w:t>
      </w:r>
    </w:p>
    <w:p>
      <w:pPr>
        <w:pStyle w:val="TextBody"/>
        <w:numPr>
          <w:ilvl w:val="1"/>
          <w:numId w:val="4"/>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Uso en el informe:</w:t>
      </w:r>
      <w:r>
        <w:rPr>
          <w:rFonts w:ascii="Google Sans;sans-serif" w:hAnsi="Google Sans;sans-serif"/>
          <w:b w:val="false"/>
          <w:strike w:val="false"/>
          <w:dstrike w:val="false"/>
          <w:sz w:val="24"/>
          <w:u w:val="none"/>
          <w:effect w:val="none"/>
        </w:rPr>
        <w:t xml:space="preserve"> Proporciona perfiles globales y continuos de la densidad ionosférica con alta resolución vertical.</w:t>
      </w:r>
    </w:p>
    <w:p>
      <w:pPr>
        <w:pStyle w:val="TextBody"/>
        <w:numPr>
          <w:ilvl w:val="0"/>
          <w:numId w:val="4"/>
        </w:numPr>
        <w:pBdr/>
        <w:tabs>
          <w:tab w:val="clear" w:pos="709"/>
          <w:tab w:val="left" w:pos="0" w:leader="none"/>
        </w:tabs>
        <w:bidi w:val="0"/>
        <w:spacing w:before="0" w:after="0"/>
        <w:ind w:left="0" w:right="0" w:hanging="283"/>
        <w:jc w:val="left"/>
        <w:rPr/>
      </w:pPr>
      <w:r>
        <w:rPr>
          <w:rStyle w:val="StrongEmphasis"/>
          <w:rFonts w:ascii="Google Sans;sans-serif" w:hAnsi="Google Sans;sans-serif"/>
          <w:b/>
          <w:strike w:val="false"/>
          <w:dstrike w:val="false"/>
          <w:sz w:val="24"/>
          <w:u w:val="none"/>
          <w:effect w:val="none"/>
        </w:rPr>
        <w:t>Medición del Contenido Electrónico Total (TEC - Total Electron Content):</w:t>
      </w:r>
    </w:p>
    <w:p>
      <w:pPr>
        <w:pStyle w:val="TextBody"/>
        <w:numPr>
          <w:ilvl w:val="1"/>
          <w:numId w:val="4"/>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Principio:</w:t>
      </w:r>
      <w:r>
        <w:rPr>
          <w:rFonts w:ascii="Google Sans;sans-serif" w:hAnsi="Google Sans;sans-serif"/>
          <w:b w:val="false"/>
          <w:strike w:val="false"/>
          <w:dstrike w:val="false"/>
          <w:sz w:val="24"/>
          <w:u w:val="none"/>
          <w:effect w:val="none"/>
        </w:rPr>
        <w:t xml:space="preserve"> Técnica pasiva terrestres que utiliza receptores GNSS de doble frecuencia para medir la diferencia de fase y retardo de grupo que sufre la señal espacial al atravesar toda la ionosfera.</w:t>
      </w:r>
    </w:p>
    <w:p>
      <w:pPr>
        <w:pStyle w:val="TextBody"/>
        <w:numPr>
          <w:ilvl w:val="1"/>
          <w:numId w:val="4"/>
        </w:numPr>
        <w:pBdr/>
        <w:tabs>
          <w:tab w:val="clear" w:pos="709"/>
          <w:tab w:val="left" w:pos="0" w:leader="none"/>
        </w:tabs>
        <w:bidi w:val="0"/>
        <w:spacing w:before="0" w:after="0"/>
        <w:ind w:left="0" w:right="0" w:hanging="283"/>
        <w:jc w:val="left"/>
        <w:rPr/>
      </w:pPr>
      <w:r>
        <w:rPr>
          <w:rStyle w:val="Emphasis"/>
          <w:rFonts w:ascii="Google Sans;sans-serif" w:hAnsi="Google Sans;sans-serif"/>
          <w:b w:val="false"/>
          <w:strike w:val="false"/>
          <w:dstrike w:val="false"/>
          <w:sz w:val="24"/>
          <w:u w:val="none"/>
          <w:effect w:val="none"/>
        </w:rPr>
        <w:t>Uso en el informe:</w:t>
      </w:r>
      <w:r>
        <w:rPr>
          <w:rFonts w:ascii="Google Sans;sans-serif" w:hAnsi="Google Sans;sans-serif"/>
          <w:b w:val="false"/>
          <w:strike w:val="false"/>
          <w:dstrike w:val="false"/>
          <w:sz w:val="24"/>
          <w:u w:val="none"/>
          <w:effect w:val="none"/>
        </w:rPr>
        <w:t xml:space="preserve"> Permite mapear de forma bidimensional y en tiempo real la cantidad total de electrones en una columna vertical de la atmósfera.</w:t>
      </w:r>
    </w:p>
    <w:p>
      <w:pPr>
        <w:pStyle w:val="TextBody"/>
        <w:bidi w:val="0"/>
        <w:spacing w:before="180" w:after="240"/>
        <w:ind w:left="0" w:right="0" w:hanging="0"/>
        <w:jc w:val="left"/>
        <w:rPr>
          <w:rFonts w:ascii="Google Sans;sans-serif" w:hAnsi="Google Sans;sans-serif"/>
          <w:b w:val="false"/>
          <w:strike w:val="false"/>
          <w:dstrike w:val="false"/>
          <w:sz w:val="24"/>
          <w:u w:val="none"/>
          <w:effect w:val="none"/>
        </w:rPr>
      </w:pPr>
      <w:r>
        <w:rPr>
          <w:rFonts w:ascii="Google Sans;sans-serif" w:hAnsi="Google Sans;sans-serif"/>
          <w:b w:val="false"/>
          <w:strike w:val="false"/>
          <w:dstrike w:val="false"/>
          <w:sz w:val="24"/>
          <w:u w:val="none"/>
          <w:effect w:val="none"/>
        </w:rPr>
        <w:t>Para estructurar mejor las secciones del informe técnico que estás preparando, ¿cuál de los siguientes enfoques prefieres que desarrollemos a continuación?</w:t>
      </w:r>
    </w:p>
    <w:p>
      <w:pPr>
        <w:pStyle w:val="TextBody"/>
        <w:numPr>
          <w:ilvl w:val="0"/>
          <w:numId w:val="5"/>
        </w:numPr>
        <w:pBdr/>
        <w:tabs>
          <w:tab w:val="clear" w:pos="709"/>
          <w:tab w:val="left" w:pos="0" w:leader="none"/>
        </w:tabs>
        <w:bidi w:val="0"/>
        <w:spacing w:before="0" w:after="0"/>
        <w:ind w:left="0" w:right="0" w:hanging="283"/>
        <w:jc w:val="left"/>
        <w:rPr/>
      </w:pPr>
      <w:r>
        <w:rPr>
          <w:rFonts w:ascii="Google Sans;sans-serif" w:hAnsi="Google Sans;sans-serif"/>
          <w:b w:val="false"/>
          <w:strike w:val="false"/>
          <w:dstrike w:val="false"/>
          <w:sz w:val="24"/>
          <w:u w:val="none"/>
          <w:effect w:val="none"/>
        </w:rPr>
        <w:t xml:space="preserve">Profundizar en las fórmulas matemáticas del </w:t>
      </w:r>
      <w:r>
        <w:rPr>
          <w:rStyle w:val="StrongEmphasis"/>
          <w:rFonts w:ascii="Google Sans;sans-serif" w:hAnsi="Google Sans;sans-serif"/>
          <w:b/>
          <w:strike w:val="false"/>
          <w:dstrike w:val="false"/>
          <w:sz w:val="24"/>
          <w:u w:val="none"/>
          <w:effect w:val="none"/>
        </w:rPr>
        <w:t>Sondaje FMCW (Chirp)</w:t>
      </w:r>
    </w:p>
    <w:p>
      <w:pPr>
        <w:pStyle w:val="TextBody"/>
        <w:numPr>
          <w:ilvl w:val="0"/>
          <w:numId w:val="5"/>
        </w:numPr>
        <w:pBdr/>
        <w:tabs>
          <w:tab w:val="clear" w:pos="709"/>
          <w:tab w:val="left" w:pos="0" w:leader="none"/>
        </w:tabs>
        <w:bidi w:val="0"/>
        <w:spacing w:before="0" w:after="0"/>
        <w:ind w:left="0" w:right="0" w:hanging="283"/>
        <w:jc w:val="left"/>
        <w:rPr/>
      </w:pPr>
      <w:r>
        <w:rPr>
          <w:rFonts w:ascii="Google Sans;sans-serif" w:hAnsi="Google Sans;sans-serif"/>
          <w:b w:val="false"/>
          <w:strike w:val="false"/>
          <w:dstrike w:val="false"/>
          <w:sz w:val="24"/>
          <w:u w:val="none"/>
          <w:effect w:val="none"/>
        </w:rPr>
        <w:t xml:space="preserve">Comparar las </w:t>
      </w:r>
      <w:r>
        <w:rPr>
          <w:rStyle w:val="StrongEmphasis"/>
          <w:rFonts w:ascii="Google Sans;sans-serif" w:hAnsi="Google Sans;sans-serif"/>
          <w:b/>
          <w:strike w:val="false"/>
          <w:dstrike w:val="false"/>
          <w:sz w:val="24"/>
          <w:u w:val="none"/>
          <w:effect w:val="none"/>
        </w:rPr>
        <w:t>ventajas y desventajas de infraestructura</w:t>
      </w:r>
      <w:r>
        <w:rPr>
          <w:rFonts w:ascii="Google Sans;sans-serif" w:hAnsi="Google Sans;sans-serif"/>
          <w:b w:val="false"/>
          <w:strike w:val="false"/>
          <w:dstrike w:val="false"/>
          <w:sz w:val="24"/>
          <w:u w:val="none"/>
          <w:effect w:val="none"/>
        </w:rPr>
        <w:t xml:space="preserve"> entre cada técnica</w:t>
      </w:r>
    </w:p>
    <w:p>
      <w:pPr>
        <w:pStyle w:val="TextBody"/>
        <w:numPr>
          <w:ilvl w:val="0"/>
          <w:numId w:val="5"/>
        </w:numPr>
        <w:pBdr/>
        <w:tabs>
          <w:tab w:val="clear" w:pos="709"/>
          <w:tab w:val="left" w:pos="0" w:leader="none"/>
        </w:tabs>
        <w:bidi w:val="0"/>
        <w:spacing w:before="0" w:after="0"/>
        <w:ind w:left="0" w:right="0" w:hanging="283"/>
        <w:jc w:val="left"/>
        <w:rPr/>
      </w:pPr>
      <w:r>
        <w:rPr>
          <w:rFonts w:ascii="Google Sans;sans-serif" w:hAnsi="Google Sans;sans-serif"/>
          <w:b w:val="false"/>
          <w:strike w:val="false"/>
          <w:dstrike w:val="false"/>
          <w:sz w:val="24"/>
          <w:u w:val="none"/>
          <w:effect w:val="none"/>
        </w:rPr>
        <w:t xml:space="preserve">Analizar los tipos de </w:t>
      </w:r>
      <w:r>
        <w:rPr>
          <w:rStyle w:val="StrongEmphasis"/>
          <w:rFonts w:ascii="Google Sans;sans-serif" w:hAnsi="Google Sans;sans-serif"/>
          <w:b/>
          <w:strike w:val="false"/>
          <w:dstrike w:val="false"/>
          <w:sz w:val="24"/>
          <w:u w:val="none"/>
          <w:effect w:val="none"/>
        </w:rPr>
        <w:t>antenas requeridas</w:t>
      </w:r>
      <w:r>
        <w:rPr>
          <w:rFonts w:ascii="Google Sans;sans-serif" w:hAnsi="Google Sans;sans-serif"/>
          <w:b w:val="false"/>
          <w:strike w:val="false"/>
          <w:dstrike w:val="false"/>
          <w:sz w:val="24"/>
          <w:u w:val="none"/>
          <w:effect w:val="none"/>
        </w:rPr>
        <w:t xml:space="preserve"> para los métodos terrestres</w:t>
      </w:r>
    </w:p>
    <w:p>
      <w:pPr>
        <w:pStyle w:val="Normal"/>
        <w:bidi w:val="0"/>
        <w:jc w:val="lef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Google Sans">
    <w:altName w:val="sans-serif"/>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A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s-AR" w:eastAsia="zh-CN" w:bidi="hi-IN"/>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TotalTime>
  <Application>LibreOffice/7.3.7.2$Linux_X86_64 LibreOffice_project/30$Build-2</Application>
  <AppVersion>15.0000</AppVersion>
  <Pages>3</Pages>
  <Words>758</Words>
  <Characters>4173</Characters>
  <CharactersWithSpaces>4853</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2026-09-01T09:46:25Z</dcterms:created>
  <dc:creator/>
  <dc:description/>
  <dc:language>es-AR</dc:language>
  <cp:lastModifiedBy/>
  <dcterms:modified xsi:type="dcterms:W3CDTF">2026-09-01T09:50:15Z</dcterms:modified>
  <cp:revision>2</cp:revision>
  <dc:subject/>
  <dc:title/>
</cp:coreProperties>
</file>