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AquaTracking</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AT</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[11/08/2025]</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c88xenkhu09u"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id w:val="332244135"/>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r599y68ztg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kr8vep3ec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del Proyecto Scrum “ nombre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sdwek17my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Roles</w:t>
              <w:tab/>
              <w:t xml:space="preserve">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b w:val="1"/>
          <w:color w:val="366091"/>
          <w:sz w:val="28"/>
          <w:szCs w:val="28"/>
        </w:rPr>
      </w:pPr>
      <w:bookmarkStart w:colFirst="0" w:colLast="0" w:name="_heading=h.3ps3cekeqx77"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r599y68ztgml" w:id="2"/>
      <w:bookmarkEnd w:id="2"/>
      <w:r w:rsidDel="00000000" w:rsidR="00000000" w:rsidRPr="00000000">
        <w:rPr>
          <w:rtl w:val="0"/>
        </w:rPr>
        <w:t xml:space="preserve">Datos del documento</w:t>
      </w:r>
    </w:p>
    <w:p w:rsidR="00000000" w:rsidDel="00000000" w:rsidP="00000000" w:rsidRDefault="00000000" w:rsidRPr="00000000" w14:paraId="0000002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0.1</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11/08</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Comienzo documento</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Andrés Silva</w:t>
            </w:r>
            <w:r w:rsidDel="00000000" w:rsidR="00000000" w:rsidRPr="00000000">
              <w:rPr>
                <w:rtl w:val="0"/>
              </w:rPr>
            </w:r>
          </w:p>
        </w:tc>
      </w:tr>
      <w:tr>
        <w:trPr>
          <w:cantSplit w:val="0"/>
          <w:tblHeader w:val="0"/>
        </w:trPr>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2">
      <w:pPr>
        <w:spacing w:after="0" w:line="240" w:lineRule="auto"/>
        <w:rPr>
          <w:color w:val="000000"/>
          <w:sz w:val="24"/>
          <w:szCs w:val="24"/>
        </w:rPr>
      </w:pPr>
      <w:bookmarkStart w:colFirst="0" w:colLast="0" w:name="_heading=h.likjsxf7ghlh"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003V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AquaTracking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10/08/2025</w:t>
            </w:r>
            <w:r w:rsidDel="00000000" w:rsidR="00000000" w:rsidRPr="00000000">
              <w:rPr>
                <w:rtl w:val="0"/>
              </w:rPr>
            </w:r>
          </w:p>
        </w:tc>
      </w:tr>
      <w:tr>
        <w:trPr>
          <w:cantSplit w:val="0"/>
          <w:trHeight w:val="238.5546875" w:hRule="atLeast"/>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23/11/2025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APR Puerto Montt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Luis Yagi</w:t>
            </w:r>
            <w:r w:rsidDel="00000000" w:rsidR="00000000" w:rsidRPr="00000000">
              <w:rPr>
                <w:rtl w:val="0"/>
              </w:rPr>
            </w:r>
          </w:p>
        </w:tc>
      </w:tr>
    </w:tbl>
    <w:p w:rsidR="00000000" w:rsidDel="00000000" w:rsidP="00000000" w:rsidRDefault="00000000" w:rsidRPr="00000000" w14:paraId="00000051">
      <w:pPr>
        <w:spacing w:after="0" w:line="240" w:lineRule="auto"/>
        <w:rPr>
          <w:color w:val="000000"/>
          <w:sz w:val="24"/>
          <w:szCs w:val="24"/>
        </w:rPr>
      </w:pPr>
      <w:bookmarkStart w:colFirst="0" w:colLast="0" w:name="_heading=h.ck9inr1243ct" w:id="4"/>
      <w:bookmarkEnd w:id="4"/>
      <w:r w:rsidDel="00000000" w:rsidR="00000000" w:rsidRPr="00000000">
        <w:rPr>
          <w:rtl w:val="0"/>
        </w:rPr>
      </w:r>
    </w:p>
    <w:p w:rsidR="00000000" w:rsidDel="00000000" w:rsidP="00000000" w:rsidRDefault="00000000" w:rsidRPr="00000000" w14:paraId="00000052">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6">
            <w:pPr>
              <w:spacing w:after="160" w:line="259" w:lineRule="auto"/>
              <w:rPr>
                <w:b w:val="1"/>
                <w:color w:val="000000"/>
              </w:rPr>
            </w:pPr>
            <w:r w:rsidDel="00000000" w:rsidR="00000000" w:rsidRPr="00000000">
              <w:rPr>
                <w:b w:val="1"/>
                <w:rtl w:val="0"/>
              </w:rPr>
              <w:t xml:space="preserve">21408175-K</w:t>
            </w:r>
            <w:r w:rsidDel="00000000" w:rsidR="00000000" w:rsidRPr="00000000">
              <w:rPr>
                <w:rtl w:val="0"/>
              </w:rPr>
            </w:r>
          </w:p>
        </w:tc>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Juan José Agüero</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rFonts w:ascii="Roboto" w:cs="Roboto" w:eastAsia="Roboto" w:hAnsi="Roboto"/>
                <w:b w:val="1"/>
                <w:color w:val="444746"/>
                <w:sz w:val="18"/>
                <w:szCs w:val="18"/>
                <w:rtl w:val="0"/>
              </w:rPr>
              <w:t xml:space="preserve">ju.agueroc@duocuc.cl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160" w:line="259" w:lineRule="auto"/>
              <w:rPr>
                <w:b w:val="1"/>
                <w:color w:val="000000"/>
              </w:rPr>
            </w:pPr>
            <w:r w:rsidDel="00000000" w:rsidR="00000000" w:rsidRPr="00000000">
              <w:rPr>
                <w:b w:val="1"/>
                <w:rtl w:val="0"/>
              </w:rPr>
              <w:t xml:space="preserve">21198063-K</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Andrés Silva</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an.silvaa@duocuc.cl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5">
      <w:pPr>
        <w:pStyle w:val="Heading1"/>
        <w:rPr/>
      </w:pPr>
      <w:r w:rsidDel="00000000" w:rsidR="00000000" w:rsidRPr="00000000">
        <w:rPr>
          <w:rtl w:val="0"/>
        </w:rPr>
      </w:r>
    </w:p>
    <w:p w:rsidR="00000000" w:rsidDel="00000000" w:rsidP="00000000" w:rsidRDefault="00000000" w:rsidRPr="00000000" w14:paraId="00000066">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vkr8vep3ec6o" w:id="5"/>
      <w:bookmarkEnd w:id="5"/>
      <w:r w:rsidDel="00000000" w:rsidR="00000000" w:rsidRPr="00000000">
        <w:rPr>
          <w:rtl w:val="0"/>
        </w:rPr>
        <w:t xml:space="preserve">Visión del Proyecto Scrum “ nombre del proyecto”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4"/>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4"/>
        <w:gridCol w:w="2199"/>
        <w:gridCol w:w="2195"/>
        <w:gridCol w:w="2190"/>
        <w:tblGridChange w:id="0">
          <w:tblGrid>
            <w:gridCol w:w="2194"/>
            <w:gridCol w:w="2199"/>
            <w:gridCol w:w="2195"/>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B">
            <w:pPr>
              <w:jc w:val="center"/>
              <w:rPr>
                <w:b w:val="1"/>
                <w:sz w:val="24"/>
                <w:szCs w:val="24"/>
              </w:rPr>
            </w:pPr>
            <w:r w:rsidDel="00000000" w:rsidR="00000000" w:rsidRPr="00000000">
              <w:rPr>
                <w:b w:val="1"/>
                <w:sz w:val="24"/>
                <w:szCs w:val="24"/>
              </w:rPr>
              <w:drawing>
                <wp:inline distB="0" distT="0" distL="0" distR="0">
                  <wp:extent cx="563439" cy="536924"/>
                  <wp:effectExtent b="0" l="0" r="0" t="0"/>
                  <wp:docPr id="102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 visión para el desarrollo de la plataforma web AquaTracking es empoderar a los hogares de Puerto Montt en la gestión eficiente de su consumo de agua, mediante una plataforma digital accesible y fácil de usar, que combina análisis de datos, visualizaciones intuitivas y un asistente virtual. Queremos transformar información compleja en recomendaciones prácticas, fomentando hábitos sostenibles, reduciendo costos familiares y contribuyendo al cuidado de un recurso vital para las generaciones presentes y futuras.</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Pr>
              <w:drawing>
                <wp:inline distB="0" distT="0" distL="0" distR="0">
                  <wp:extent cx="541690" cy="518541"/>
                  <wp:effectExtent b="0" l="0" r="0" t="0"/>
                  <wp:docPr id="10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30" name="image1.png"/>
                  <a:graphic>
                    <a:graphicData uri="http://schemas.openxmlformats.org/drawingml/2006/picture">
                      <pic:pic>
                        <pic:nvPicPr>
                          <pic:cNvPr descr="Resultado de imagen para necesidades software" id="0" name="image1.png"/>
                          <pic:cNvPicPr preferRelativeResize="0"/>
                        </pic:nvPicPr>
                        <pic:blipFill>
                          <a:blip r:embed="rId9"/>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33" name="image6.jpg"/>
                  <a:graphic>
                    <a:graphicData uri="http://schemas.openxmlformats.org/drawingml/2006/picture">
                      <pic:pic>
                        <pic:nvPicPr>
                          <pic:cNvPr descr="Resultado de imagen para software" id="0" name="image6.jpg"/>
                          <pic:cNvPicPr preferRelativeResize="0"/>
                        </pic:nvPicPr>
                        <pic:blipFill>
                          <a:blip r:embed="rId10"/>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b w:val="1"/>
                <w:sz w:val="24"/>
                <w:szCs w:val="24"/>
              </w:rPr>
              <w:drawing>
                <wp:inline distB="0" distT="0" distL="0" distR="0">
                  <wp:extent cx="902549" cy="453373"/>
                  <wp:effectExtent b="0" l="0" r="0" t="0"/>
                  <wp:docPr id="103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b w:val="1"/>
                <w:sz w:val="20"/>
                <w:szCs w:val="20"/>
                <w:rtl w:val="0"/>
              </w:rPr>
              <w:t xml:space="preserve">Grupo objetivo principal:</w:t>
              <w:br w:type="textWrapping"/>
            </w:r>
            <w:r w:rsidDel="00000000" w:rsidR="00000000" w:rsidRPr="00000000">
              <w:rPr>
                <w:sz w:val="20"/>
                <w:szCs w:val="20"/>
                <w:rtl w:val="0"/>
              </w:rPr>
              <w:t xml:space="preserve">Hogares de la comuna de Puerto Montt que forman parte de la Asociación de Agua Potable Rural (APR), interesados en monitorear y optimizar su consumo de agua a través de soluciones tecnológicas accesibles y fáciles de usar.</w:t>
            </w:r>
          </w:p>
          <w:p w:rsidR="00000000" w:rsidDel="00000000" w:rsidP="00000000" w:rsidRDefault="00000000" w:rsidRPr="00000000" w14:paraId="00000088">
            <w:pPr>
              <w:rPr>
                <w:sz w:val="20"/>
                <w:szCs w:val="20"/>
              </w:rPr>
            </w:pPr>
            <w:r w:rsidDel="00000000" w:rsidR="00000000" w:rsidRPr="00000000">
              <w:rPr>
                <w:sz w:val="20"/>
                <w:szCs w:val="20"/>
                <w:rtl w:val="0"/>
              </w:rPr>
              <w:br w:type="textWrapping"/>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Grupo objetivo secundario:</w:t>
              <w:br w:type="textWrapping"/>
            </w:r>
          </w:p>
          <w:p w:rsidR="00000000" w:rsidDel="00000000" w:rsidP="00000000" w:rsidRDefault="00000000" w:rsidRPr="00000000" w14:paraId="0000008A">
            <w:pPr>
              <w:spacing w:after="240" w:before="240" w:lineRule="auto"/>
              <w:ind w:left="0" w:firstLine="0"/>
              <w:rPr>
                <w:sz w:val="20"/>
                <w:szCs w:val="20"/>
              </w:rPr>
            </w:pPr>
            <w:r w:rsidDel="00000000" w:rsidR="00000000" w:rsidRPr="00000000">
              <w:rPr>
                <w:sz w:val="20"/>
                <w:szCs w:val="20"/>
                <w:rtl w:val="0"/>
              </w:rPr>
              <w:t xml:space="preserve">Familias que buscan reducir sus costos en servicios básicos mediante hábitos de consumo sostenibles.</w:t>
              <w:br w:type="textWrapping"/>
            </w:r>
          </w:p>
          <w:p w:rsidR="00000000" w:rsidDel="00000000" w:rsidP="00000000" w:rsidRDefault="00000000" w:rsidRPr="00000000" w14:paraId="0000008B">
            <w:pPr>
              <w:spacing w:after="240" w:before="240" w:lineRule="auto"/>
              <w:ind w:left="0" w:firstLine="0"/>
              <w:rPr>
                <w:sz w:val="20"/>
                <w:szCs w:val="20"/>
              </w:rPr>
            </w:pPr>
            <w:r w:rsidDel="00000000" w:rsidR="00000000" w:rsidRPr="00000000">
              <w:rPr>
                <w:sz w:val="20"/>
                <w:szCs w:val="20"/>
                <w:rtl w:val="0"/>
              </w:rPr>
              <w:t xml:space="preserve">Comunidades rurales y urbanas que valoran la gestión eficiente del agua como recurso vital.</w:t>
              <w:br w:type="textWrapping"/>
            </w:r>
          </w:p>
          <w:p w:rsidR="00000000" w:rsidDel="00000000" w:rsidP="00000000" w:rsidRDefault="00000000" w:rsidRPr="00000000" w14:paraId="0000008C">
            <w:pPr>
              <w:spacing w:after="240" w:before="240" w:lineRule="auto"/>
              <w:ind w:left="0" w:firstLine="0"/>
              <w:rPr>
                <w:sz w:val="20"/>
                <w:szCs w:val="20"/>
              </w:rPr>
            </w:pPr>
            <w:r w:rsidDel="00000000" w:rsidR="00000000" w:rsidRPr="00000000">
              <w:rPr>
                <w:sz w:val="20"/>
                <w:szCs w:val="20"/>
                <w:rtl w:val="0"/>
              </w:rPr>
              <w:t xml:space="preserve">La APR de Puerto Montt, en su rol de entidad promotora de buenas prácticas en el cuidado del agua.</w:t>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9">
            <w:pPr>
              <w:spacing w:after="240" w:before="240" w:lineRule="auto"/>
              <w:rPr>
                <w:sz w:val="20"/>
                <w:szCs w:val="20"/>
              </w:rPr>
            </w:pPr>
            <w:r w:rsidDel="00000000" w:rsidR="00000000" w:rsidRPr="00000000">
              <w:rPr>
                <w:sz w:val="20"/>
                <w:szCs w:val="20"/>
                <w:rtl w:val="0"/>
              </w:rPr>
              <w:t xml:space="preserve">Los hogares de Puerto Montt, en particular aquellos vinculados a la Asociación de Agua Potable Rural (APR), enfrentan la necesidad de contar con herramientas que les permitan comprender y gestionar de manera más eficiente su consumo de agua. Actualmente, no disponen de sistemas accesibles que entreguen información clara sobre sus patrones de uso, lo que dificulta la toma de decisiones para reducir gastos en el servicio y adoptar prácticas sostenibles en su vida diaria.</w:t>
            </w:r>
          </w:p>
          <w:p w:rsidR="00000000" w:rsidDel="00000000" w:rsidP="00000000" w:rsidRDefault="00000000" w:rsidRPr="00000000" w14:paraId="0000009A">
            <w:pPr>
              <w:spacing w:after="240" w:before="240" w:lineRule="auto"/>
              <w:rPr>
                <w:sz w:val="20"/>
                <w:szCs w:val="20"/>
              </w:rPr>
            </w:pPr>
            <w:r w:rsidDel="00000000" w:rsidR="00000000" w:rsidRPr="00000000">
              <w:rPr>
                <w:sz w:val="20"/>
                <w:szCs w:val="20"/>
                <w:rtl w:val="0"/>
              </w:rPr>
              <w:t xml:space="preserve">Asimismo, la comunidad requiere soluciones tecnológicas que sean fáciles de utilizar y se integren en sus plataformas de uso cotidiano, como navegadores web o aplicaciones de mensajería. A esto se suma la necesidad de la APR de disponer de recursos digitales que fortalezcan su rol de apoyo y educación hacia las familias, fomentando el cuidado de un recurso vital y contribuyendo a la creación de una conciencia ambiental colectiva.</w:t>
            </w:r>
          </w:p>
          <w:p w:rsidR="00000000" w:rsidDel="00000000" w:rsidP="00000000" w:rsidRDefault="00000000" w:rsidRPr="00000000" w14:paraId="0000009B">
            <w:pPr>
              <w:rPr>
                <w:sz w:val="20"/>
                <w:szCs w:val="20"/>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El producto consiste en un sistema web interactivo integrado con sensores de flujo de agua que permite a los hogares registrar y analizar en tiempo real su consumo. El sistema recopila datos como caudal, presión y tiempo de uso en distintos puntos del hogar, los almacena en una base de datos en la nube y los procesa para identificar patrones de consumo. Esta información se convierte en gráficos, tablas y reportes que pueden consultarse fácilmente desde un portal web accesible y diseñado con criterios de usabilidad y accesibilidad.</w:t>
            </w:r>
          </w:p>
          <w:p w:rsidR="00000000" w:rsidDel="00000000" w:rsidP="00000000" w:rsidRDefault="00000000" w:rsidRPr="00000000" w14:paraId="0000009E">
            <w:pPr>
              <w:spacing w:after="240" w:before="240" w:lineRule="auto"/>
              <w:rPr/>
            </w:pPr>
            <w:r w:rsidDel="00000000" w:rsidR="00000000" w:rsidRPr="00000000">
              <w:rPr>
                <w:rtl w:val="0"/>
              </w:rPr>
              <w:t xml:space="preserve">Entre sus funcionalidades principales, AquaTracking ofrece visualizaciones personalizadas que permiten a los usuarios entender sus hábitos de consumo por día, semana o mes, además de comparaciones entre periodos. El sistema también integra un asistente virtual mediante WhatsApp, que entrega recomendaciones prácticas en lenguaje sencillo, facilitando la comprensión de los datos y ayudando a las familias a reducir su gasto mensual en agua potable.</w:t>
            </w:r>
          </w:p>
          <w:p w:rsidR="00000000" w:rsidDel="00000000" w:rsidP="00000000" w:rsidRDefault="00000000" w:rsidRPr="00000000" w14:paraId="0000009F">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AquaTracking aporta un valor significativo a los hogares y a la comunidad, al transformar datos complejos de consumo de agua en información clara y accesible, facilitando la toma de decisiones para reducir gastos y fomentar hábitos sostenibles. Además, fortalece la conciencia ambiental, promueve la eficiencia en el uso de un recurso vital y permite a la APR cumplir su rol educativo y de acompañamiento de manera más efectiva. La combinación de ahorro económico, sostenibilidad y acceso a tecnología fácil de usar convierte a AquaTracking en una solución innovadora con impacto tangible tanto a nivel individual como comunitario.</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heading=h.nsdwek17myxk" w:id="6"/>
      <w:bookmarkEnd w:id="6"/>
      <w:r w:rsidDel="00000000" w:rsidR="00000000" w:rsidRPr="00000000">
        <w:rPr>
          <w:rtl w:val="0"/>
        </w:rPr>
        <w:t xml:space="preserve">Definición de Roles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5"/>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4245"/>
        <w:gridCol w:w="2940"/>
        <w:tblGridChange w:id="0">
          <w:tblGrid>
            <w:gridCol w:w="1650"/>
            <w:gridCol w:w="4245"/>
            <w:gridCol w:w="2940"/>
          </w:tblGrid>
        </w:tblGridChange>
      </w:tblGrid>
      <w:tr>
        <w:trPr>
          <w:cantSplit w:val="0"/>
          <w:tblHeader w:val="0"/>
        </w:trPr>
        <w:tc>
          <w:tcPr>
            <w:shd w:fill="f2f2f2" w:val="clear"/>
          </w:tcPr>
          <w:p w:rsidR="00000000" w:rsidDel="00000000" w:rsidP="00000000" w:rsidRDefault="00000000" w:rsidRPr="00000000" w14:paraId="000000AB">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AC">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AD">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Stakeholder</w:t>
            </w:r>
          </w:p>
        </w:tc>
        <w:tc>
          <w:tcPr/>
          <w:p w:rsidR="00000000" w:rsidDel="00000000" w:rsidP="00000000" w:rsidRDefault="00000000" w:rsidRPr="00000000" w14:paraId="000000AF">
            <w:pPr>
              <w:rPr/>
            </w:pPr>
            <w:r w:rsidDel="00000000" w:rsidR="00000000" w:rsidRPr="00000000">
              <w:rPr>
                <w:rtl w:val="0"/>
              </w:rPr>
              <w:t xml:space="preserve">Asociación de Agua Potable Rural (APR)</w:t>
            </w:r>
          </w:p>
        </w:tc>
        <w:tc>
          <w:tcPr/>
          <w:p w:rsidR="00000000" w:rsidDel="00000000" w:rsidP="00000000" w:rsidRDefault="00000000" w:rsidRPr="00000000" w14:paraId="000000B0">
            <w:pPr>
              <w:rPr/>
            </w:pPr>
            <w:r w:rsidDel="00000000" w:rsidR="00000000" w:rsidRPr="00000000">
              <w:rPr>
                <w:rtl w:val="0"/>
              </w:rPr>
              <w:t xml:space="preserve">Proveer requerimientos, validar avances, entregar feedback continuo, participar en revisiones de sprint y asegurar que el producto final cumpla con las necesidades de la comunidad.</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Product Owner</w:t>
            </w:r>
          </w:p>
        </w:tc>
        <w:tc>
          <w:tcPr/>
          <w:p w:rsidR="00000000" w:rsidDel="00000000" w:rsidP="00000000" w:rsidRDefault="00000000" w:rsidRPr="00000000" w14:paraId="000000B2">
            <w:pPr>
              <w:rPr/>
            </w:pPr>
            <w:r w:rsidDel="00000000" w:rsidR="00000000" w:rsidRPr="00000000">
              <w:rPr>
                <w:rtl w:val="0"/>
              </w:rPr>
              <w:t xml:space="preserve">Andrés Silva</w:t>
            </w:r>
          </w:p>
        </w:tc>
        <w:tc>
          <w:tcPr/>
          <w:p w:rsidR="00000000" w:rsidDel="00000000" w:rsidP="00000000" w:rsidRDefault="00000000" w:rsidRPr="00000000" w14:paraId="000000B3">
            <w:pPr>
              <w:rPr/>
            </w:pPr>
            <w:r w:rsidDel="00000000" w:rsidR="00000000" w:rsidRPr="00000000">
              <w:rPr>
                <w:rtl w:val="0"/>
              </w:rPr>
              <w:t xml:space="preserve">Representar al cliente, definir y priorizar los requerimientos en el Product Backlog, asegurar que el proyecto entregue valor a los usuarios y coordinar la comunicación con la APR.</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Scrum Master / Desarrollador</w:t>
            </w:r>
          </w:p>
        </w:tc>
        <w:tc>
          <w:tcPr/>
          <w:p w:rsidR="00000000" w:rsidDel="00000000" w:rsidP="00000000" w:rsidRDefault="00000000" w:rsidRPr="00000000" w14:paraId="000000B5">
            <w:pPr>
              <w:rPr/>
            </w:pPr>
            <w:r w:rsidDel="00000000" w:rsidR="00000000" w:rsidRPr="00000000">
              <w:rPr>
                <w:rtl w:val="0"/>
              </w:rPr>
              <w:t xml:space="preserve">Juan José Agüero</w:t>
            </w:r>
          </w:p>
        </w:tc>
        <w:tc>
          <w:tcPr/>
          <w:p w:rsidR="00000000" w:rsidDel="00000000" w:rsidP="00000000" w:rsidRDefault="00000000" w:rsidRPr="00000000" w14:paraId="000000B6">
            <w:pPr>
              <w:rPr/>
            </w:pPr>
            <w:r w:rsidDel="00000000" w:rsidR="00000000" w:rsidRPr="00000000">
              <w:rPr>
                <w:rtl w:val="0"/>
              </w:rPr>
              <w:t xml:space="preserve">Facilitar la metodología Scrum, asegurar que el equipo siga buenas prácticas ágiles, eliminar obstáculos, coordinar sprints y contribuir al desarrollo del sistema (programación, integración de sensores y plataforma web).</w:t>
            </w:r>
          </w:p>
        </w:tc>
      </w:tr>
      <w:tr>
        <w:trPr>
          <w:cantSplit w:val="0"/>
          <w:tblHeader w:val="0"/>
        </w:trPr>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Visión Scrum, Ingeniería de Software – DuocUC</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Visión y Roles del Proyecto</w:t>
    </w:r>
  </w:p>
  <w:p w:rsidR="00000000" w:rsidDel="00000000" w:rsidP="00000000" w:rsidRDefault="00000000" w:rsidRPr="00000000" w14:paraId="000000C3">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9EvIhgMTf3gUc4Dhc+JZPeY8Sg==">CgMxLjAyDmguYzg4eGVua2h1MDl1Mg5oLjNwczNjZWtlcXg3NzIOaC5yNTk5eTY4enRnbWwyDmgubGlranN4ZjdnaGxoMg5oLmNrOWlucjEyNDNjdDIOaC52a3I4dmVwM2VjNm8yDmgubnNkd2VrMTdteXhrOAByITFudmpSMExKMnpwVlhPODZsYThzSWZaZ0JmQ3J4Yll2Rg==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